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F0D85" w:rsidRDefault="008F0D85">
      <w:pPr>
        <w:spacing w:after="160" w:line="240" w:lineRule="auto"/>
        <w:jc w:val="center"/>
        <w:rPr>
          <w:b/>
          <w:i/>
          <w:sz w:val="56"/>
          <w:szCs w:val="56"/>
        </w:rPr>
      </w:pPr>
    </w:p>
    <w:p w:rsidR="008F0D85" w:rsidRDefault="008F0D85">
      <w:pPr>
        <w:spacing w:after="160" w:line="240" w:lineRule="auto"/>
        <w:jc w:val="center"/>
        <w:rPr>
          <w:b/>
          <w:i/>
          <w:color w:val="FF0000"/>
          <w:sz w:val="56"/>
          <w:szCs w:val="56"/>
        </w:rPr>
      </w:pPr>
    </w:p>
    <w:p w:rsidR="008F0D85" w:rsidRDefault="008F0D85">
      <w:pPr>
        <w:spacing w:after="160" w:line="240" w:lineRule="auto"/>
        <w:jc w:val="center"/>
        <w:rPr>
          <w:b/>
          <w:i/>
          <w:sz w:val="56"/>
          <w:szCs w:val="56"/>
        </w:rPr>
      </w:pPr>
    </w:p>
    <w:p w:rsidR="008F0D85" w:rsidRDefault="00AE42A1">
      <w:pPr>
        <w:spacing w:after="160" w:line="240" w:lineRule="auto"/>
        <w:jc w:val="center"/>
        <w:rPr>
          <w:b/>
          <w:i/>
          <w:sz w:val="56"/>
          <w:szCs w:val="56"/>
        </w:rPr>
      </w:pPr>
      <w:r>
        <w:rPr>
          <w:b/>
          <w:i/>
          <w:sz w:val="56"/>
          <w:szCs w:val="56"/>
        </w:rPr>
        <w:t>Procjena rizika od velikih nesreća za Općinu Kloštar Podravski</w:t>
      </w:r>
    </w:p>
    <w:p w:rsidR="008F0D85" w:rsidRDefault="008F0D85">
      <w:pPr>
        <w:jc w:val="center"/>
      </w:pPr>
    </w:p>
    <w:p w:rsidR="008F0D85" w:rsidRDefault="008F0D85">
      <w:pPr>
        <w:jc w:val="center"/>
      </w:pPr>
    </w:p>
    <w:p w:rsidR="008F0D85" w:rsidRDefault="008F0D85">
      <w:pPr>
        <w:jc w:val="center"/>
      </w:pPr>
    </w:p>
    <w:p w:rsidR="008F0D85" w:rsidRDefault="00AE42A1">
      <w:pPr>
        <w:jc w:val="center"/>
      </w:pPr>
      <w:r>
        <w:rPr>
          <w:noProof/>
        </w:rPr>
        <w:drawing>
          <wp:inline distT="0" distB="0" distL="0" distR="0">
            <wp:extent cx="1867535" cy="2181860"/>
            <wp:effectExtent l="0" t="0" r="0" b="0"/>
            <wp:docPr id="1"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72"/>
                    <pic:cNvPicPr>
                      <a:picLocks noChangeAspect="1" noChangeArrowheads="1"/>
                    </pic:cNvPicPr>
                  </pic:nvPicPr>
                  <pic:blipFill>
                    <a:blip r:embed="rId7"/>
                    <a:stretch>
                      <a:fillRect/>
                    </a:stretch>
                  </pic:blipFill>
                  <pic:spPr bwMode="auto">
                    <a:xfrm>
                      <a:off x="0" y="0"/>
                      <a:ext cx="1867535" cy="2181860"/>
                    </a:xfrm>
                    <a:prstGeom prst="rect">
                      <a:avLst/>
                    </a:prstGeom>
                  </pic:spPr>
                </pic:pic>
              </a:graphicData>
            </a:graphic>
          </wp:inline>
        </w:drawing>
      </w:r>
    </w:p>
    <w:p w:rsidR="008F0D85" w:rsidRDefault="008F0D85">
      <w:pPr>
        <w:jc w:val="center"/>
      </w:pPr>
    </w:p>
    <w:p w:rsidR="008F0D85" w:rsidRDefault="008F0D85">
      <w:pPr>
        <w:jc w:val="center"/>
      </w:pPr>
    </w:p>
    <w:p w:rsidR="008F0D85" w:rsidRDefault="008F0D85">
      <w:pPr>
        <w:jc w:val="center"/>
      </w:pPr>
    </w:p>
    <w:p w:rsidR="008F0D85" w:rsidRDefault="008F0D85">
      <w:pPr>
        <w:jc w:val="center"/>
      </w:pPr>
    </w:p>
    <w:p w:rsidR="008F0D85" w:rsidRDefault="008F0D85">
      <w:pPr>
        <w:jc w:val="center"/>
      </w:pPr>
    </w:p>
    <w:p w:rsidR="008F0D85" w:rsidRDefault="008F0D85">
      <w:pPr>
        <w:jc w:val="center"/>
      </w:pPr>
    </w:p>
    <w:p w:rsidR="008F0D85" w:rsidRDefault="008F0D85">
      <w:pPr>
        <w:jc w:val="center"/>
      </w:pPr>
    </w:p>
    <w:p w:rsidR="008F0D85" w:rsidRDefault="00AE42A1">
      <w:pPr>
        <w:jc w:val="center"/>
      </w:pPr>
      <w:r>
        <w:t>Kloštar Podravski, listopad 2018.god.</w:t>
      </w:r>
    </w:p>
    <w:p w:rsidR="008F0D85" w:rsidRDefault="008F0D85">
      <w:pPr>
        <w:jc w:val="center"/>
      </w:pPr>
    </w:p>
    <w:p w:rsidR="008F0D85" w:rsidRDefault="008F0D85">
      <w:pPr>
        <w:jc w:val="center"/>
      </w:pPr>
    </w:p>
    <w:p w:rsidR="008F0D85" w:rsidRDefault="008F0D85">
      <w:pPr>
        <w:jc w:val="center"/>
      </w:pPr>
    </w:p>
    <w:p w:rsidR="008F0D85" w:rsidRDefault="00AE42A1">
      <w:pPr>
        <w:jc w:val="center"/>
      </w:pPr>
      <w:r>
        <w:rPr>
          <w:b/>
          <w:i/>
        </w:rPr>
        <w:t>SADRŽAJ:</w:t>
      </w:r>
    </w:p>
    <w:p w:rsidR="008F0D85" w:rsidRDefault="00AE42A1">
      <w:pPr>
        <w:pStyle w:val="Sadraj1"/>
        <w:tabs>
          <w:tab w:val="right" w:leader="dot" w:pos="9062"/>
        </w:tabs>
        <w:rPr>
          <w:rFonts w:cs="Times New Roman"/>
          <w:b w:val="0"/>
          <w:bCs w:val="0"/>
          <w:caps w:val="0"/>
          <w:sz w:val="22"/>
          <w:szCs w:val="22"/>
          <w:lang w:eastAsia="hr-HR"/>
        </w:rPr>
      </w:pPr>
      <w:r>
        <w:fldChar w:fldCharType="begin"/>
      </w:r>
      <w:r>
        <w:instrText>TOC \z \o "1-5" \u \h</w:instrText>
      </w:r>
      <w:r>
        <w:fldChar w:fldCharType="separate"/>
      </w:r>
      <w:hyperlink w:anchor="_Toc527969325">
        <w:r>
          <w:rPr>
            <w:rStyle w:val="Indeksirajvezu"/>
            <w:webHidden/>
          </w:rPr>
          <w:t>1. UVOD</w:t>
        </w:r>
        <w:r>
          <w:rPr>
            <w:webHidden/>
          </w:rPr>
          <w:fldChar w:fldCharType="begin"/>
        </w:r>
        <w:r>
          <w:rPr>
            <w:webHidden/>
          </w:rPr>
          <w:instrText>PAGEREF _Toc527969325 \h</w:instrText>
        </w:r>
        <w:r>
          <w:rPr>
            <w:webHidden/>
          </w:rPr>
        </w:r>
        <w:r>
          <w:rPr>
            <w:webHidden/>
          </w:rPr>
          <w:fldChar w:fldCharType="separate"/>
        </w:r>
        <w:r>
          <w:rPr>
            <w:rStyle w:val="Indeksirajvezu"/>
          </w:rPr>
          <w:tab/>
          <w:t>15</w:t>
        </w:r>
        <w:r>
          <w:rPr>
            <w:webHidden/>
          </w:rPr>
          <w:fldChar w:fldCharType="end"/>
        </w:r>
      </w:hyperlink>
    </w:p>
    <w:p w:rsidR="008F0D85" w:rsidRDefault="00AE42A1">
      <w:pPr>
        <w:pStyle w:val="Sadraj1"/>
        <w:tabs>
          <w:tab w:val="right" w:leader="dot" w:pos="9062"/>
        </w:tabs>
        <w:rPr>
          <w:rFonts w:cs="Times New Roman"/>
          <w:b w:val="0"/>
          <w:bCs w:val="0"/>
          <w:caps w:val="0"/>
          <w:sz w:val="22"/>
          <w:szCs w:val="22"/>
          <w:lang w:eastAsia="hr-HR"/>
        </w:rPr>
      </w:pPr>
      <w:hyperlink w:anchor="_Toc527969326">
        <w:r>
          <w:rPr>
            <w:rStyle w:val="Indeksirajvezu"/>
            <w:webHidden/>
          </w:rPr>
          <w:t>2. OSNOVNE KARAKTERISTIKE PODRUČJA OPĆINE</w:t>
        </w:r>
        <w:r>
          <w:rPr>
            <w:webHidden/>
          </w:rPr>
          <w:fldChar w:fldCharType="begin"/>
        </w:r>
        <w:r>
          <w:rPr>
            <w:webHidden/>
          </w:rPr>
          <w:instrText>PAGEREF _Toc527969326 \h</w:instrText>
        </w:r>
        <w:r>
          <w:rPr>
            <w:webHidden/>
          </w:rPr>
        </w:r>
        <w:r>
          <w:rPr>
            <w:webHidden/>
          </w:rPr>
          <w:fldChar w:fldCharType="separate"/>
        </w:r>
        <w:r>
          <w:rPr>
            <w:rStyle w:val="Indeksirajvezu"/>
          </w:rPr>
          <w:tab/>
          <w:t>17</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27">
        <w:r>
          <w:rPr>
            <w:rStyle w:val="Indeksirajvezu"/>
            <w:webHidden/>
          </w:rPr>
          <w:t>2.1. Geografski položaj</w:t>
        </w:r>
        <w:r>
          <w:rPr>
            <w:webHidden/>
          </w:rPr>
          <w:fldChar w:fldCharType="begin"/>
        </w:r>
        <w:r>
          <w:rPr>
            <w:webHidden/>
          </w:rPr>
          <w:instrText>PAGEREF _Toc527969327 \h</w:instrText>
        </w:r>
        <w:r>
          <w:rPr>
            <w:webHidden/>
          </w:rPr>
        </w:r>
        <w:r>
          <w:rPr>
            <w:webHidden/>
          </w:rPr>
          <w:fldChar w:fldCharType="separate"/>
        </w:r>
        <w:r>
          <w:rPr>
            <w:rStyle w:val="Indeksirajvezu"/>
          </w:rPr>
          <w:tab/>
          <w:t>17</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28">
        <w:r>
          <w:rPr>
            <w:rStyle w:val="Indeksirajvezu"/>
            <w:webHidden/>
          </w:rPr>
          <w:t>2.2. Stanovništvo Općine</w:t>
        </w:r>
        <w:r>
          <w:rPr>
            <w:webHidden/>
          </w:rPr>
          <w:fldChar w:fldCharType="begin"/>
        </w:r>
        <w:r>
          <w:rPr>
            <w:webHidden/>
          </w:rPr>
          <w:instrText>PAGEREF _Toc527969328 \h</w:instrText>
        </w:r>
        <w:r>
          <w:rPr>
            <w:webHidden/>
          </w:rPr>
        </w:r>
        <w:r>
          <w:rPr>
            <w:webHidden/>
          </w:rPr>
          <w:fldChar w:fldCharType="separate"/>
        </w:r>
        <w:r>
          <w:rPr>
            <w:rStyle w:val="Indeksirajvezu"/>
          </w:rPr>
          <w:tab/>
          <w:t>19</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29">
        <w:r>
          <w:rPr>
            <w:rStyle w:val="Indeksirajvezu"/>
            <w:webHidden/>
          </w:rPr>
          <w:t>2.3. Gustoća naseljenosti</w:t>
        </w:r>
        <w:r>
          <w:rPr>
            <w:webHidden/>
          </w:rPr>
          <w:fldChar w:fldCharType="begin"/>
        </w:r>
        <w:r>
          <w:rPr>
            <w:webHidden/>
          </w:rPr>
          <w:instrText>PAGEREF _Toc527969329 \h</w:instrText>
        </w:r>
        <w:r>
          <w:rPr>
            <w:webHidden/>
          </w:rPr>
        </w:r>
        <w:r>
          <w:rPr>
            <w:webHidden/>
          </w:rPr>
          <w:fldChar w:fldCharType="separate"/>
        </w:r>
        <w:r>
          <w:rPr>
            <w:rStyle w:val="Indeksirajvezu"/>
          </w:rPr>
          <w:tab/>
          <w:t>20</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30">
        <w:r>
          <w:rPr>
            <w:rStyle w:val="Indeksirajvezu"/>
            <w:webHidden/>
          </w:rPr>
          <w:t>2.4. Razmještaj stanovništva Općine</w:t>
        </w:r>
        <w:r>
          <w:rPr>
            <w:webHidden/>
          </w:rPr>
          <w:fldChar w:fldCharType="begin"/>
        </w:r>
        <w:r>
          <w:rPr>
            <w:webHidden/>
          </w:rPr>
          <w:instrText>PAGEREF _Toc527969330 \h</w:instrText>
        </w:r>
        <w:r>
          <w:rPr>
            <w:webHidden/>
          </w:rPr>
        </w:r>
        <w:r>
          <w:rPr>
            <w:webHidden/>
          </w:rPr>
          <w:fldChar w:fldCharType="separate"/>
        </w:r>
        <w:r>
          <w:rPr>
            <w:rStyle w:val="Indeksirajvezu"/>
          </w:rPr>
          <w:tab/>
          <w:t>21</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31">
        <w:r>
          <w:rPr>
            <w:rStyle w:val="Indeksirajvezu"/>
            <w:webHidden/>
          </w:rPr>
          <w:t>2.5. Spolno – dobna struktura stanovništva te koje izazove on predstavlja za Općinu</w:t>
        </w:r>
        <w:r>
          <w:rPr>
            <w:webHidden/>
          </w:rPr>
          <w:fldChar w:fldCharType="begin"/>
        </w:r>
        <w:r>
          <w:rPr>
            <w:webHidden/>
          </w:rPr>
          <w:instrText>PAGEREF _Toc527969331 \h</w:instrText>
        </w:r>
        <w:r>
          <w:rPr>
            <w:webHidden/>
          </w:rPr>
        </w:r>
        <w:r>
          <w:rPr>
            <w:webHidden/>
          </w:rPr>
          <w:fldChar w:fldCharType="separate"/>
        </w:r>
        <w:r>
          <w:rPr>
            <w:rStyle w:val="Indeksirajvezu"/>
          </w:rPr>
          <w:tab/>
          <w:t>21</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32">
        <w:r>
          <w:rPr>
            <w:rStyle w:val="Indeksirajvezu"/>
            <w:webHidden/>
          </w:rPr>
          <w:t>2.6. Stanovništvo s obzirom na potrebu i korištenje pomoći druge osobe pri obavljanju svakodnevnih zadataka</w:t>
        </w:r>
        <w:r>
          <w:rPr>
            <w:webHidden/>
          </w:rPr>
          <w:fldChar w:fldCharType="begin"/>
        </w:r>
        <w:r>
          <w:rPr>
            <w:webHidden/>
          </w:rPr>
          <w:instrText>PAGEREF _Toc527969</w:instrText>
        </w:r>
        <w:r>
          <w:rPr>
            <w:webHidden/>
          </w:rPr>
          <w:instrText>332 \h</w:instrText>
        </w:r>
        <w:r>
          <w:rPr>
            <w:webHidden/>
          </w:rPr>
        </w:r>
        <w:r>
          <w:rPr>
            <w:webHidden/>
          </w:rPr>
          <w:fldChar w:fldCharType="separate"/>
        </w:r>
        <w:r>
          <w:rPr>
            <w:rStyle w:val="Indeksirajvezu"/>
          </w:rPr>
          <w:tab/>
          <w:t>21</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33">
        <w:r>
          <w:rPr>
            <w:rStyle w:val="Indeksirajvezu"/>
            <w:webHidden/>
          </w:rPr>
          <w:t>2.7. Prometna povezanost Općine</w:t>
        </w:r>
        <w:r>
          <w:rPr>
            <w:webHidden/>
          </w:rPr>
          <w:fldChar w:fldCharType="begin"/>
        </w:r>
        <w:r>
          <w:rPr>
            <w:webHidden/>
          </w:rPr>
          <w:instrText>PAGEREF _Toc527969333 \h</w:instrText>
        </w:r>
        <w:r>
          <w:rPr>
            <w:webHidden/>
          </w:rPr>
        </w:r>
        <w:r>
          <w:rPr>
            <w:webHidden/>
          </w:rPr>
          <w:fldChar w:fldCharType="separate"/>
        </w:r>
        <w:r>
          <w:rPr>
            <w:rStyle w:val="Indeksirajvezu"/>
          </w:rPr>
          <w:tab/>
          <w:t>22</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34">
        <w:r>
          <w:rPr>
            <w:rStyle w:val="Indeksirajvezu"/>
            <w:webHidden/>
          </w:rPr>
          <w:t>2.8. Društveno – politički pokazatelji na području Općine</w:t>
        </w:r>
        <w:r>
          <w:rPr>
            <w:webHidden/>
          </w:rPr>
          <w:fldChar w:fldCharType="begin"/>
        </w:r>
        <w:r>
          <w:rPr>
            <w:webHidden/>
          </w:rPr>
          <w:instrText>PAGEREF _Toc527969334 \h</w:instrText>
        </w:r>
        <w:r>
          <w:rPr>
            <w:webHidden/>
          </w:rPr>
        </w:r>
        <w:r>
          <w:rPr>
            <w:webHidden/>
          </w:rPr>
          <w:fldChar w:fldCharType="separate"/>
        </w:r>
        <w:r>
          <w:rPr>
            <w:rStyle w:val="Indeksirajvezu"/>
          </w:rPr>
          <w:tab/>
          <w:t>23</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35">
        <w:r>
          <w:rPr>
            <w:rStyle w:val="Indeksirajvezu"/>
            <w:webHidden/>
          </w:rPr>
          <w:t>2.8.1. Sjedišta upravnih tijela</w:t>
        </w:r>
        <w:r>
          <w:rPr>
            <w:webHidden/>
          </w:rPr>
          <w:fldChar w:fldCharType="begin"/>
        </w:r>
        <w:r>
          <w:rPr>
            <w:webHidden/>
          </w:rPr>
          <w:instrText xml:space="preserve">PAGEREF </w:instrText>
        </w:r>
        <w:r>
          <w:rPr>
            <w:webHidden/>
          </w:rPr>
          <w:instrText>_Toc527969335 \h</w:instrText>
        </w:r>
        <w:r>
          <w:rPr>
            <w:webHidden/>
          </w:rPr>
        </w:r>
        <w:r>
          <w:rPr>
            <w:webHidden/>
          </w:rPr>
          <w:fldChar w:fldCharType="separate"/>
        </w:r>
        <w:r>
          <w:rPr>
            <w:rStyle w:val="Indeksirajvezu"/>
          </w:rPr>
          <w:tab/>
          <w:t>23</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36">
        <w:r>
          <w:rPr>
            <w:rStyle w:val="Indeksirajvezu"/>
            <w:webHidden/>
          </w:rPr>
          <w:t>2.8.2. Zdravstvene ustanove na području Općine</w:t>
        </w:r>
        <w:r>
          <w:rPr>
            <w:webHidden/>
          </w:rPr>
          <w:fldChar w:fldCharType="begin"/>
        </w:r>
        <w:r>
          <w:rPr>
            <w:webHidden/>
          </w:rPr>
          <w:instrText>PAGEREF _Toc527969336 \h</w:instrText>
        </w:r>
        <w:r>
          <w:rPr>
            <w:webHidden/>
          </w:rPr>
        </w:r>
        <w:r>
          <w:rPr>
            <w:webHidden/>
          </w:rPr>
          <w:fldChar w:fldCharType="separate"/>
        </w:r>
        <w:r>
          <w:rPr>
            <w:rStyle w:val="Indeksirajvezu"/>
          </w:rPr>
          <w:tab/>
          <w:t>24</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37">
        <w:r>
          <w:rPr>
            <w:rStyle w:val="Indeksirajvezu"/>
            <w:webHidden/>
          </w:rPr>
          <w:t>2.8.3. Odgojno – obrazovne ustanove na području Općine</w:t>
        </w:r>
        <w:r>
          <w:rPr>
            <w:webHidden/>
          </w:rPr>
          <w:fldChar w:fldCharType="begin"/>
        </w:r>
        <w:r>
          <w:rPr>
            <w:webHidden/>
          </w:rPr>
          <w:instrText>PAGEREF _Toc527969337 \h</w:instrText>
        </w:r>
        <w:r>
          <w:rPr>
            <w:webHidden/>
          </w:rPr>
        </w:r>
        <w:r>
          <w:rPr>
            <w:webHidden/>
          </w:rPr>
          <w:fldChar w:fldCharType="separate"/>
        </w:r>
        <w:r>
          <w:rPr>
            <w:rStyle w:val="Indeksirajvezu"/>
          </w:rPr>
          <w:tab/>
          <w:t>24</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38">
        <w:r>
          <w:rPr>
            <w:rStyle w:val="Indeksirajvezu"/>
            <w:webHidden/>
          </w:rPr>
          <w:t>2.8.4. Broj domaćinstva n</w:t>
        </w:r>
        <w:r>
          <w:rPr>
            <w:rStyle w:val="Indeksirajvezu"/>
            <w:webHidden/>
          </w:rPr>
          <w:t>a području Općine</w:t>
        </w:r>
        <w:r>
          <w:rPr>
            <w:webHidden/>
          </w:rPr>
          <w:fldChar w:fldCharType="begin"/>
        </w:r>
        <w:r>
          <w:rPr>
            <w:webHidden/>
          </w:rPr>
          <w:instrText>PAGEREF _Toc527969338 \h</w:instrText>
        </w:r>
        <w:r>
          <w:rPr>
            <w:webHidden/>
          </w:rPr>
        </w:r>
        <w:r>
          <w:rPr>
            <w:webHidden/>
          </w:rPr>
          <w:fldChar w:fldCharType="separate"/>
        </w:r>
        <w:r>
          <w:rPr>
            <w:rStyle w:val="Indeksirajvezu"/>
          </w:rPr>
          <w:tab/>
          <w:t>25</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39">
        <w:r>
          <w:rPr>
            <w:rStyle w:val="Indeksirajvezu"/>
            <w:webHidden/>
          </w:rPr>
          <w:t>2.8.5. Privatna kućanstva prema tipu i broju članova</w:t>
        </w:r>
        <w:r>
          <w:rPr>
            <w:webHidden/>
          </w:rPr>
          <w:fldChar w:fldCharType="begin"/>
        </w:r>
        <w:r>
          <w:rPr>
            <w:webHidden/>
          </w:rPr>
          <w:instrText>PAGEREF _Toc527969339 \h</w:instrText>
        </w:r>
        <w:r>
          <w:rPr>
            <w:webHidden/>
          </w:rPr>
        </w:r>
        <w:r>
          <w:rPr>
            <w:webHidden/>
          </w:rPr>
          <w:fldChar w:fldCharType="separate"/>
        </w:r>
        <w:r>
          <w:rPr>
            <w:rStyle w:val="Indeksirajvezu"/>
          </w:rPr>
          <w:tab/>
          <w:t>25</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40">
        <w:r>
          <w:rPr>
            <w:rStyle w:val="Indeksirajvezu"/>
            <w:webHidden/>
          </w:rPr>
          <w:t>2.8.6. Broj, vrsta (namjena) i starost građevina na području Općine</w:t>
        </w:r>
        <w:r>
          <w:rPr>
            <w:webHidden/>
          </w:rPr>
          <w:fldChar w:fldCharType="begin"/>
        </w:r>
        <w:r>
          <w:rPr>
            <w:webHidden/>
          </w:rPr>
          <w:instrText>PAGEREF _Toc527969340 \h</w:instrText>
        </w:r>
        <w:r>
          <w:rPr>
            <w:webHidden/>
          </w:rPr>
        </w:r>
        <w:r>
          <w:rPr>
            <w:webHidden/>
          </w:rPr>
          <w:fldChar w:fldCharType="separate"/>
        </w:r>
        <w:r>
          <w:rPr>
            <w:rStyle w:val="Indeksirajvezu"/>
          </w:rPr>
          <w:tab/>
          <w:t>25</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41">
        <w:r>
          <w:rPr>
            <w:rStyle w:val="Indeksirajvezu"/>
            <w:webHidden/>
          </w:rPr>
          <w:t>2.9. Ekonomsko – gospodarski pokazatelji na području Općine</w:t>
        </w:r>
        <w:r>
          <w:rPr>
            <w:webHidden/>
          </w:rPr>
          <w:fldChar w:fldCharType="begin"/>
        </w:r>
        <w:r>
          <w:rPr>
            <w:webHidden/>
          </w:rPr>
          <w:instrText>PAGEREF _Toc527969341 \h</w:instrText>
        </w:r>
        <w:r>
          <w:rPr>
            <w:webHidden/>
          </w:rPr>
        </w:r>
        <w:r>
          <w:rPr>
            <w:webHidden/>
          </w:rPr>
          <w:fldChar w:fldCharType="separate"/>
        </w:r>
        <w:r>
          <w:rPr>
            <w:rStyle w:val="Indeksirajvezu"/>
          </w:rPr>
          <w:tab/>
          <w:t>28</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42">
        <w:r>
          <w:rPr>
            <w:rStyle w:val="Indeksirajvezu"/>
            <w:webHidden/>
          </w:rPr>
          <w:t>2.9.1. Broj zaposlenih i mjesta</w:t>
        </w:r>
        <w:r>
          <w:rPr>
            <w:rStyle w:val="Indeksirajvezu"/>
            <w:webHidden/>
          </w:rPr>
          <w:t xml:space="preserve"> zaposlenja</w:t>
        </w:r>
        <w:r>
          <w:rPr>
            <w:webHidden/>
          </w:rPr>
          <w:fldChar w:fldCharType="begin"/>
        </w:r>
        <w:r>
          <w:rPr>
            <w:webHidden/>
          </w:rPr>
          <w:instrText>PAGEREF _Toc527969342 \h</w:instrText>
        </w:r>
        <w:r>
          <w:rPr>
            <w:webHidden/>
          </w:rPr>
        </w:r>
        <w:r>
          <w:rPr>
            <w:webHidden/>
          </w:rPr>
          <w:fldChar w:fldCharType="separate"/>
        </w:r>
        <w:r>
          <w:rPr>
            <w:rStyle w:val="Indeksirajvezu"/>
          </w:rPr>
          <w:tab/>
          <w:t>28</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43">
        <w:r>
          <w:rPr>
            <w:rStyle w:val="Indeksirajvezu"/>
            <w:webHidden/>
          </w:rPr>
          <w:t>2.9.2. Broj primatelja socijalnih, mirovinskih i sličnih naknada na području Općine</w:t>
        </w:r>
        <w:r>
          <w:rPr>
            <w:webHidden/>
          </w:rPr>
          <w:fldChar w:fldCharType="begin"/>
        </w:r>
        <w:r>
          <w:rPr>
            <w:webHidden/>
          </w:rPr>
          <w:instrText>PAGEREF _Toc527969343 \h</w:instrText>
        </w:r>
        <w:r>
          <w:rPr>
            <w:webHidden/>
          </w:rPr>
        </w:r>
        <w:r>
          <w:rPr>
            <w:webHidden/>
          </w:rPr>
          <w:fldChar w:fldCharType="separate"/>
        </w:r>
        <w:r>
          <w:rPr>
            <w:rStyle w:val="Indeksirajvezu"/>
          </w:rPr>
          <w:tab/>
          <w:t>31</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44">
        <w:r>
          <w:rPr>
            <w:rStyle w:val="Indeksirajvezu"/>
            <w:webHidden/>
          </w:rPr>
          <w:t>2.9.3. Proračun Općine</w:t>
        </w:r>
        <w:r>
          <w:rPr>
            <w:webHidden/>
          </w:rPr>
          <w:fldChar w:fldCharType="begin"/>
        </w:r>
        <w:r>
          <w:rPr>
            <w:webHidden/>
          </w:rPr>
          <w:instrText>PAGEREF _Toc527969344 \h</w:instrText>
        </w:r>
        <w:r>
          <w:rPr>
            <w:webHidden/>
          </w:rPr>
        </w:r>
        <w:r>
          <w:rPr>
            <w:webHidden/>
          </w:rPr>
          <w:fldChar w:fldCharType="separate"/>
        </w:r>
        <w:r>
          <w:rPr>
            <w:rStyle w:val="Indeksirajvezu"/>
          </w:rPr>
          <w:tab/>
          <w:t>31</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45">
        <w:r>
          <w:rPr>
            <w:rStyle w:val="Indeksirajvezu"/>
            <w:webHidden/>
          </w:rPr>
          <w:t>2</w:t>
        </w:r>
        <w:r>
          <w:rPr>
            <w:rStyle w:val="Indeksirajvezu"/>
            <w:webHidden/>
          </w:rPr>
          <w:t>.9.4. Gospodarske grane na području Općine</w:t>
        </w:r>
        <w:r>
          <w:rPr>
            <w:webHidden/>
          </w:rPr>
          <w:fldChar w:fldCharType="begin"/>
        </w:r>
        <w:r>
          <w:rPr>
            <w:webHidden/>
          </w:rPr>
          <w:instrText>PAGEREF _Toc527969345 \h</w:instrText>
        </w:r>
        <w:r>
          <w:rPr>
            <w:webHidden/>
          </w:rPr>
        </w:r>
        <w:r>
          <w:rPr>
            <w:webHidden/>
          </w:rPr>
          <w:fldChar w:fldCharType="separate"/>
        </w:r>
        <w:r>
          <w:rPr>
            <w:rStyle w:val="Indeksirajvezu"/>
          </w:rPr>
          <w:tab/>
          <w:t>33</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46">
        <w:r>
          <w:rPr>
            <w:rStyle w:val="Indeksirajvezu"/>
            <w:webHidden/>
          </w:rPr>
          <w:t>2.9.5. Objekti kritične infrastrukture</w:t>
        </w:r>
        <w:r>
          <w:rPr>
            <w:webHidden/>
          </w:rPr>
          <w:fldChar w:fldCharType="begin"/>
        </w:r>
        <w:r>
          <w:rPr>
            <w:webHidden/>
          </w:rPr>
          <w:instrText>PAGEREF _Toc527969346 \h</w:instrText>
        </w:r>
        <w:r>
          <w:rPr>
            <w:webHidden/>
          </w:rPr>
        </w:r>
        <w:r>
          <w:rPr>
            <w:webHidden/>
          </w:rPr>
          <w:fldChar w:fldCharType="separate"/>
        </w:r>
        <w:r>
          <w:rPr>
            <w:rStyle w:val="Indeksirajvezu"/>
          </w:rPr>
          <w:tab/>
          <w:t>42</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47">
        <w:r>
          <w:rPr>
            <w:rStyle w:val="Indeksirajvezu"/>
            <w:webHidden/>
          </w:rPr>
          <w:t>2.10. Prirodno – kulturni pokazatelji na području Općine</w:t>
        </w:r>
        <w:r>
          <w:rPr>
            <w:webHidden/>
          </w:rPr>
          <w:fldChar w:fldCharType="begin"/>
        </w:r>
        <w:r>
          <w:rPr>
            <w:webHidden/>
          </w:rPr>
          <w:instrText>PAGEREF _Toc527969347 \h</w:instrText>
        </w:r>
        <w:r>
          <w:rPr>
            <w:webHidden/>
          </w:rPr>
        </w:r>
        <w:r>
          <w:rPr>
            <w:webHidden/>
          </w:rPr>
          <w:fldChar w:fldCharType="separate"/>
        </w:r>
        <w:r>
          <w:rPr>
            <w:rStyle w:val="Indeksirajvezu"/>
          </w:rPr>
          <w:tab/>
          <w:t>45</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48">
        <w:r>
          <w:rPr>
            <w:rStyle w:val="Indeksirajvezu"/>
            <w:webHidden/>
          </w:rPr>
          <w:t>2.10.1. Prirodna obilježja</w:t>
        </w:r>
        <w:r>
          <w:rPr>
            <w:webHidden/>
          </w:rPr>
          <w:fldChar w:fldCharType="begin"/>
        </w:r>
        <w:r>
          <w:rPr>
            <w:webHidden/>
          </w:rPr>
          <w:instrText>PAGEREF _Toc527969348 \h</w:instrText>
        </w:r>
        <w:r>
          <w:rPr>
            <w:webHidden/>
          </w:rPr>
        </w:r>
        <w:r>
          <w:rPr>
            <w:webHidden/>
          </w:rPr>
          <w:fldChar w:fldCharType="separate"/>
        </w:r>
        <w:r>
          <w:rPr>
            <w:rStyle w:val="Indeksirajvezu"/>
          </w:rPr>
          <w:tab/>
          <w:t>46</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49">
        <w:r>
          <w:rPr>
            <w:rStyle w:val="Indeksirajvezu"/>
            <w:webHidden/>
          </w:rPr>
          <w:t>2.10.2. Kulturna obilježja</w:t>
        </w:r>
        <w:r>
          <w:rPr>
            <w:webHidden/>
          </w:rPr>
          <w:fldChar w:fldCharType="begin"/>
        </w:r>
        <w:r>
          <w:rPr>
            <w:webHidden/>
          </w:rPr>
          <w:instrText>PAGEREF _Toc527969349 \h</w:instrText>
        </w:r>
        <w:r>
          <w:rPr>
            <w:webHidden/>
          </w:rPr>
        </w:r>
        <w:r>
          <w:rPr>
            <w:webHidden/>
          </w:rPr>
          <w:fldChar w:fldCharType="separate"/>
        </w:r>
        <w:r>
          <w:rPr>
            <w:rStyle w:val="Indeksirajvezu"/>
          </w:rPr>
          <w:tab/>
          <w:t>47</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50">
        <w:r>
          <w:rPr>
            <w:rStyle w:val="Indeksirajvezu"/>
            <w:webHidden/>
          </w:rPr>
          <w:t>2.11. Povijesni pokazatelji na području Općine</w:t>
        </w:r>
        <w:r>
          <w:rPr>
            <w:webHidden/>
          </w:rPr>
          <w:fldChar w:fldCharType="begin"/>
        </w:r>
        <w:r>
          <w:rPr>
            <w:webHidden/>
          </w:rPr>
          <w:instrText>PAGEREF _Toc527969350 \h</w:instrText>
        </w:r>
        <w:r>
          <w:rPr>
            <w:webHidden/>
          </w:rPr>
        </w:r>
        <w:r>
          <w:rPr>
            <w:webHidden/>
          </w:rPr>
          <w:fldChar w:fldCharType="separate"/>
        </w:r>
        <w:r>
          <w:rPr>
            <w:rStyle w:val="Indeksirajvezu"/>
          </w:rPr>
          <w:tab/>
          <w:t>48</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51">
        <w:r>
          <w:rPr>
            <w:rStyle w:val="Indeksirajvezu"/>
            <w:webHidden/>
          </w:rPr>
          <w:t>2.11.1. Štete uslijed prijašnjih događaja</w:t>
        </w:r>
        <w:r>
          <w:rPr>
            <w:webHidden/>
          </w:rPr>
          <w:fldChar w:fldCharType="begin"/>
        </w:r>
        <w:r>
          <w:rPr>
            <w:webHidden/>
          </w:rPr>
          <w:instrText>PAGEREF _Toc527969351 \h</w:instrText>
        </w:r>
        <w:r>
          <w:rPr>
            <w:webHidden/>
          </w:rPr>
        </w:r>
        <w:r>
          <w:rPr>
            <w:webHidden/>
          </w:rPr>
          <w:fldChar w:fldCharType="separate"/>
        </w:r>
        <w:r>
          <w:rPr>
            <w:rStyle w:val="Indeksirajvezu"/>
          </w:rPr>
          <w:tab/>
          <w:t>50</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52">
        <w:r>
          <w:rPr>
            <w:rStyle w:val="Indeksirajvezu"/>
            <w:webHidden/>
          </w:rPr>
          <w:t>2</w:t>
        </w:r>
        <w:r>
          <w:rPr>
            <w:rStyle w:val="Indeksirajvezu"/>
            <w:webHidden/>
          </w:rPr>
          <w:t>.11.2. Uvedene mjere nakon događaja koji su uzrokovali veliku štetu</w:t>
        </w:r>
        <w:r>
          <w:rPr>
            <w:webHidden/>
          </w:rPr>
          <w:fldChar w:fldCharType="begin"/>
        </w:r>
        <w:r>
          <w:rPr>
            <w:webHidden/>
          </w:rPr>
          <w:instrText>PAGEREF _Toc527969352 \h</w:instrText>
        </w:r>
        <w:r>
          <w:rPr>
            <w:webHidden/>
          </w:rPr>
        </w:r>
        <w:r>
          <w:rPr>
            <w:webHidden/>
          </w:rPr>
          <w:fldChar w:fldCharType="separate"/>
        </w:r>
        <w:r>
          <w:rPr>
            <w:rStyle w:val="Indeksirajvezu"/>
          </w:rPr>
          <w:tab/>
          <w:t>50</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53">
        <w:r>
          <w:rPr>
            <w:rStyle w:val="Indeksirajvezu"/>
            <w:webHidden/>
          </w:rPr>
          <w:t xml:space="preserve">2.12. Pokazatelji operativne sposobnosti na </w:t>
        </w:r>
        <w:r>
          <w:rPr>
            <w:rStyle w:val="Indeksirajvezu"/>
            <w:webHidden/>
          </w:rPr>
          <w:t>području Općine</w:t>
        </w:r>
        <w:r>
          <w:rPr>
            <w:webHidden/>
          </w:rPr>
          <w:fldChar w:fldCharType="begin"/>
        </w:r>
        <w:r>
          <w:rPr>
            <w:webHidden/>
          </w:rPr>
          <w:instrText>PAGEREF _Toc527969353 \h</w:instrText>
        </w:r>
        <w:r>
          <w:rPr>
            <w:webHidden/>
          </w:rPr>
        </w:r>
        <w:r>
          <w:rPr>
            <w:webHidden/>
          </w:rPr>
          <w:fldChar w:fldCharType="separate"/>
        </w:r>
        <w:r>
          <w:rPr>
            <w:rStyle w:val="Indeksirajvezu"/>
          </w:rPr>
          <w:tab/>
          <w:t>51</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54">
        <w:r>
          <w:rPr>
            <w:rStyle w:val="Indeksirajvezu"/>
            <w:webHidden/>
          </w:rPr>
          <w:t>2.12.1. Popis operativnih snaga koje djeluju na području Općine</w:t>
        </w:r>
        <w:r>
          <w:rPr>
            <w:webHidden/>
          </w:rPr>
          <w:fldChar w:fldCharType="begin"/>
        </w:r>
        <w:r>
          <w:rPr>
            <w:webHidden/>
          </w:rPr>
          <w:instrText>PAGEREF _Toc527969354 \h</w:instrText>
        </w:r>
        <w:r>
          <w:rPr>
            <w:webHidden/>
          </w:rPr>
        </w:r>
        <w:r>
          <w:rPr>
            <w:webHidden/>
          </w:rPr>
          <w:fldChar w:fldCharType="separate"/>
        </w:r>
        <w:r>
          <w:rPr>
            <w:rStyle w:val="Indeksirajvezu"/>
          </w:rPr>
          <w:tab/>
          <w:t>52</w:t>
        </w:r>
        <w:r>
          <w:rPr>
            <w:webHidden/>
          </w:rPr>
          <w:fldChar w:fldCharType="end"/>
        </w:r>
      </w:hyperlink>
    </w:p>
    <w:p w:rsidR="008F0D85" w:rsidRDefault="00AE42A1">
      <w:pPr>
        <w:pStyle w:val="Sadraj1"/>
        <w:tabs>
          <w:tab w:val="right" w:leader="dot" w:pos="9062"/>
        </w:tabs>
        <w:rPr>
          <w:rFonts w:cs="Times New Roman"/>
          <w:b w:val="0"/>
          <w:bCs w:val="0"/>
          <w:caps w:val="0"/>
          <w:sz w:val="22"/>
          <w:szCs w:val="22"/>
          <w:lang w:eastAsia="hr-HR"/>
        </w:rPr>
      </w:pPr>
      <w:hyperlink w:anchor="_Toc527969355">
        <w:r>
          <w:rPr>
            <w:rStyle w:val="Indeksirajvezu"/>
            <w:webHidden/>
          </w:rPr>
          <w:t>3. IDENTIFIKACIJA PRIJETNJI I RIZIKA NA PODRUČJU OPĆINE</w:t>
        </w:r>
        <w:r>
          <w:rPr>
            <w:webHidden/>
          </w:rPr>
          <w:fldChar w:fldCharType="begin"/>
        </w:r>
        <w:r>
          <w:rPr>
            <w:webHidden/>
          </w:rPr>
          <w:instrText>PAGEREF _Toc527969355 \h</w:instrText>
        </w:r>
        <w:r>
          <w:rPr>
            <w:webHidden/>
          </w:rPr>
        </w:r>
        <w:r>
          <w:rPr>
            <w:webHidden/>
          </w:rPr>
          <w:fldChar w:fldCharType="separate"/>
        </w:r>
        <w:r>
          <w:rPr>
            <w:rStyle w:val="Indeksirajvezu"/>
          </w:rPr>
          <w:tab/>
          <w:t>53</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56">
        <w:r>
          <w:rPr>
            <w:rStyle w:val="Indeksirajvezu"/>
            <w:webHidden/>
          </w:rPr>
          <w:t>3.1. Popis identificiranih prijetnji i rizika na području Općine</w:t>
        </w:r>
        <w:r>
          <w:rPr>
            <w:webHidden/>
          </w:rPr>
          <w:fldChar w:fldCharType="begin"/>
        </w:r>
        <w:r>
          <w:rPr>
            <w:webHidden/>
          </w:rPr>
          <w:instrText>PAGEREF _Toc527969356 \h</w:instrText>
        </w:r>
        <w:r>
          <w:rPr>
            <w:webHidden/>
          </w:rPr>
        </w:r>
        <w:r>
          <w:rPr>
            <w:webHidden/>
          </w:rPr>
          <w:fldChar w:fldCharType="separate"/>
        </w:r>
        <w:r>
          <w:rPr>
            <w:rStyle w:val="Indeksirajvezu"/>
          </w:rPr>
          <w:tab/>
          <w:t>53</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57">
        <w:r>
          <w:rPr>
            <w:rStyle w:val="Indeksirajvezu"/>
            <w:webHidden/>
          </w:rPr>
          <w:t>3.2. Odabrani rizici te razlozi odabira rizik</w:t>
        </w:r>
        <w:r>
          <w:rPr>
            <w:rStyle w:val="Indeksirajvezu"/>
            <w:webHidden/>
          </w:rPr>
          <w:t>a na području Općine</w:t>
        </w:r>
        <w:r>
          <w:rPr>
            <w:webHidden/>
          </w:rPr>
          <w:fldChar w:fldCharType="begin"/>
        </w:r>
        <w:r>
          <w:rPr>
            <w:webHidden/>
          </w:rPr>
          <w:instrText>PAGEREF _Toc527969357 \h</w:instrText>
        </w:r>
        <w:r>
          <w:rPr>
            <w:webHidden/>
          </w:rPr>
        </w:r>
        <w:r>
          <w:rPr>
            <w:webHidden/>
          </w:rPr>
          <w:fldChar w:fldCharType="separate"/>
        </w:r>
        <w:r>
          <w:rPr>
            <w:rStyle w:val="Indeksirajvezu"/>
          </w:rPr>
          <w:tab/>
          <w:t>60</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58">
        <w:r>
          <w:rPr>
            <w:rStyle w:val="Indeksirajvezu"/>
            <w:webHidden/>
          </w:rPr>
          <w:t>3.3. Kartografski prikaz</w:t>
        </w:r>
        <w:r>
          <w:rPr>
            <w:webHidden/>
          </w:rPr>
          <w:fldChar w:fldCharType="begin"/>
        </w:r>
        <w:r>
          <w:rPr>
            <w:webHidden/>
          </w:rPr>
          <w:instrText>PAGEREF _Toc527969358 \h</w:instrText>
        </w:r>
        <w:r>
          <w:rPr>
            <w:webHidden/>
          </w:rPr>
        </w:r>
        <w:r>
          <w:rPr>
            <w:webHidden/>
          </w:rPr>
          <w:fldChar w:fldCharType="separate"/>
        </w:r>
        <w:r>
          <w:rPr>
            <w:rStyle w:val="Indeksirajvezu"/>
          </w:rPr>
          <w:tab/>
          <w:t>60</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59">
        <w:r>
          <w:rPr>
            <w:rStyle w:val="Indeksirajvezu"/>
            <w:webHidden/>
          </w:rPr>
          <w:t>3.3.1. Karte prijetnji</w:t>
        </w:r>
        <w:r>
          <w:rPr>
            <w:webHidden/>
          </w:rPr>
          <w:fldChar w:fldCharType="begin"/>
        </w:r>
        <w:r>
          <w:rPr>
            <w:webHidden/>
          </w:rPr>
          <w:instrText>PAGEREF _Toc527969359 \h</w:instrText>
        </w:r>
        <w:r>
          <w:rPr>
            <w:webHidden/>
          </w:rPr>
        </w:r>
        <w:r>
          <w:rPr>
            <w:webHidden/>
          </w:rPr>
          <w:fldChar w:fldCharType="separate"/>
        </w:r>
        <w:r>
          <w:rPr>
            <w:rStyle w:val="Indeksirajvezu"/>
          </w:rPr>
          <w:tab/>
          <w:t>60</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60">
        <w:r>
          <w:rPr>
            <w:rStyle w:val="Indeksirajvezu"/>
            <w:webHidden/>
          </w:rPr>
          <w:t>3</w:t>
        </w:r>
        <w:r>
          <w:rPr>
            <w:rStyle w:val="Indeksirajvezu"/>
            <w:webHidden/>
          </w:rPr>
          <w:t>.3.2. Karte rizika</w:t>
        </w:r>
        <w:r>
          <w:rPr>
            <w:webHidden/>
          </w:rPr>
          <w:fldChar w:fldCharType="begin"/>
        </w:r>
        <w:r>
          <w:rPr>
            <w:webHidden/>
          </w:rPr>
          <w:instrText>PAGEREF _Toc527969360 \h</w:instrText>
        </w:r>
        <w:r>
          <w:rPr>
            <w:webHidden/>
          </w:rPr>
        </w:r>
        <w:r>
          <w:rPr>
            <w:webHidden/>
          </w:rPr>
          <w:fldChar w:fldCharType="separate"/>
        </w:r>
        <w:r>
          <w:rPr>
            <w:rStyle w:val="Indeksirajvezu"/>
          </w:rPr>
          <w:tab/>
          <w:t>61</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61">
        <w:r>
          <w:rPr>
            <w:rStyle w:val="Indeksirajvezu"/>
            <w:webHidden/>
          </w:rPr>
          <w:t>3.3.3. Kartografski prikaz rizika i prijetnji na području Općine</w:t>
        </w:r>
        <w:r>
          <w:rPr>
            <w:webHidden/>
          </w:rPr>
          <w:fldChar w:fldCharType="begin"/>
        </w:r>
        <w:r>
          <w:rPr>
            <w:webHidden/>
          </w:rPr>
          <w:instrText>PAGEREF _Toc527969361 \h</w:instrText>
        </w:r>
        <w:r>
          <w:rPr>
            <w:webHidden/>
          </w:rPr>
        </w:r>
        <w:r>
          <w:rPr>
            <w:webHidden/>
          </w:rPr>
          <w:fldChar w:fldCharType="separate"/>
        </w:r>
        <w:r>
          <w:rPr>
            <w:rStyle w:val="Indeksirajvezu"/>
          </w:rPr>
          <w:tab/>
          <w:t>61</w:t>
        </w:r>
        <w:r>
          <w:rPr>
            <w:webHidden/>
          </w:rPr>
          <w:fldChar w:fldCharType="end"/>
        </w:r>
      </w:hyperlink>
    </w:p>
    <w:p w:rsidR="008F0D85" w:rsidRDefault="00AE42A1">
      <w:pPr>
        <w:pStyle w:val="Sadraj1"/>
        <w:tabs>
          <w:tab w:val="right" w:leader="dot" w:pos="9062"/>
        </w:tabs>
        <w:rPr>
          <w:rFonts w:cs="Times New Roman"/>
          <w:b w:val="0"/>
          <w:bCs w:val="0"/>
          <w:caps w:val="0"/>
          <w:sz w:val="22"/>
          <w:szCs w:val="22"/>
          <w:lang w:eastAsia="hr-HR"/>
        </w:rPr>
      </w:pPr>
      <w:hyperlink w:anchor="_Toc527969362">
        <w:r>
          <w:rPr>
            <w:rStyle w:val="Indeksirajvezu"/>
            <w:webHidden/>
          </w:rPr>
          <w:t>4. KRITERIJI ZA PROCJENU UTJECAJA NA KATEGORIJE DRUŠTVENE VRIJEDNOSTI</w:t>
        </w:r>
        <w:r>
          <w:rPr>
            <w:webHidden/>
          </w:rPr>
          <w:fldChar w:fldCharType="begin"/>
        </w:r>
        <w:r>
          <w:rPr>
            <w:webHidden/>
          </w:rPr>
          <w:instrText>PAGEREF _Toc527969362 \h</w:instrText>
        </w:r>
        <w:r>
          <w:rPr>
            <w:webHidden/>
          </w:rPr>
        </w:r>
        <w:r>
          <w:rPr>
            <w:webHidden/>
          </w:rPr>
          <w:fldChar w:fldCharType="separate"/>
        </w:r>
        <w:r>
          <w:rPr>
            <w:rStyle w:val="Indeksirajvezu"/>
          </w:rPr>
          <w:tab/>
          <w:t>62</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63">
        <w:r>
          <w:rPr>
            <w:rStyle w:val="Indeksirajvezu"/>
            <w:webHidden/>
          </w:rPr>
          <w:t>4.1. Život i zdravlje ljudi</w:t>
        </w:r>
        <w:r>
          <w:rPr>
            <w:webHidden/>
          </w:rPr>
          <w:fldChar w:fldCharType="begin"/>
        </w:r>
        <w:r>
          <w:rPr>
            <w:webHidden/>
          </w:rPr>
          <w:instrText>PAGEREF _Toc527969363 \h</w:instrText>
        </w:r>
        <w:r>
          <w:rPr>
            <w:webHidden/>
          </w:rPr>
        </w:r>
        <w:r>
          <w:rPr>
            <w:webHidden/>
          </w:rPr>
          <w:fldChar w:fldCharType="separate"/>
        </w:r>
        <w:r>
          <w:rPr>
            <w:rStyle w:val="Indeksirajvezu"/>
          </w:rPr>
          <w:tab/>
          <w:t>62</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64">
        <w:r>
          <w:rPr>
            <w:rStyle w:val="Indeksirajvezu"/>
            <w:webHidden/>
          </w:rPr>
          <w:t>4.2. Gospodarstvo</w:t>
        </w:r>
        <w:r>
          <w:rPr>
            <w:webHidden/>
          </w:rPr>
          <w:fldChar w:fldCharType="begin"/>
        </w:r>
        <w:r>
          <w:rPr>
            <w:webHidden/>
          </w:rPr>
          <w:instrText>PAGEREF _Toc527969364 \h</w:instrText>
        </w:r>
        <w:r>
          <w:rPr>
            <w:webHidden/>
          </w:rPr>
        </w:r>
        <w:r>
          <w:rPr>
            <w:webHidden/>
          </w:rPr>
          <w:fldChar w:fldCharType="separate"/>
        </w:r>
        <w:r>
          <w:rPr>
            <w:rStyle w:val="Indeksirajvezu"/>
          </w:rPr>
          <w:tab/>
          <w:t>62</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65">
        <w:r>
          <w:rPr>
            <w:rStyle w:val="Indeksirajvezu"/>
            <w:webHidden/>
          </w:rPr>
          <w:t>4.3. Društvena stabilnost i politika</w:t>
        </w:r>
        <w:r>
          <w:rPr>
            <w:webHidden/>
          </w:rPr>
          <w:fldChar w:fldCharType="begin"/>
        </w:r>
        <w:r>
          <w:rPr>
            <w:webHidden/>
          </w:rPr>
          <w:instrText>PAGEREF _Toc527969365 \h</w:instrText>
        </w:r>
        <w:r>
          <w:rPr>
            <w:webHidden/>
          </w:rPr>
        </w:r>
        <w:r>
          <w:rPr>
            <w:webHidden/>
          </w:rPr>
          <w:fldChar w:fldCharType="separate"/>
        </w:r>
        <w:r>
          <w:rPr>
            <w:rStyle w:val="Indeksirajvezu"/>
          </w:rPr>
          <w:tab/>
          <w:t>63</w:t>
        </w:r>
        <w:r>
          <w:rPr>
            <w:webHidden/>
          </w:rPr>
          <w:fldChar w:fldCharType="end"/>
        </w:r>
      </w:hyperlink>
    </w:p>
    <w:p w:rsidR="008F0D85" w:rsidRDefault="00AE42A1">
      <w:pPr>
        <w:pStyle w:val="Sadraj1"/>
        <w:tabs>
          <w:tab w:val="right" w:leader="dot" w:pos="9062"/>
        </w:tabs>
        <w:rPr>
          <w:rFonts w:cs="Times New Roman"/>
          <w:b w:val="0"/>
          <w:bCs w:val="0"/>
          <w:caps w:val="0"/>
          <w:sz w:val="22"/>
          <w:szCs w:val="22"/>
          <w:lang w:eastAsia="hr-HR"/>
        </w:rPr>
      </w:pPr>
      <w:hyperlink w:anchor="_Toc527969366">
        <w:r>
          <w:rPr>
            <w:rStyle w:val="Indeksirajvezu"/>
            <w:webHidden/>
          </w:rPr>
          <w:t>5. VJEROJATNOST POJAVE PRIJETNJE – RIZIKA</w:t>
        </w:r>
        <w:r>
          <w:rPr>
            <w:webHidden/>
          </w:rPr>
          <w:fldChar w:fldCharType="begin"/>
        </w:r>
        <w:r>
          <w:rPr>
            <w:webHidden/>
          </w:rPr>
          <w:instrText>PAGEREF _Toc527969366 \h</w:instrText>
        </w:r>
        <w:r>
          <w:rPr>
            <w:webHidden/>
          </w:rPr>
        </w:r>
        <w:r>
          <w:rPr>
            <w:webHidden/>
          </w:rPr>
          <w:fldChar w:fldCharType="separate"/>
        </w:r>
        <w:r>
          <w:rPr>
            <w:rStyle w:val="Indeksirajvezu"/>
          </w:rPr>
          <w:tab/>
          <w:t>64</w:t>
        </w:r>
        <w:r>
          <w:rPr>
            <w:webHidden/>
          </w:rPr>
          <w:fldChar w:fldCharType="end"/>
        </w:r>
      </w:hyperlink>
    </w:p>
    <w:p w:rsidR="008F0D85" w:rsidRDefault="00AE42A1">
      <w:pPr>
        <w:pStyle w:val="Sadraj1"/>
        <w:tabs>
          <w:tab w:val="right" w:leader="dot" w:pos="9062"/>
        </w:tabs>
        <w:rPr>
          <w:rFonts w:cs="Times New Roman"/>
          <w:b w:val="0"/>
          <w:bCs w:val="0"/>
          <w:caps w:val="0"/>
          <w:sz w:val="22"/>
          <w:szCs w:val="22"/>
          <w:lang w:eastAsia="hr-HR"/>
        </w:rPr>
      </w:pPr>
      <w:hyperlink w:anchor="_Toc527969367">
        <w:r>
          <w:rPr>
            <w:rStyle w:val="Indeksirajvezu"/>
            <w:webHidden/>
          </w:rPr>
          <w:t>6. SCENARIJI NA PODRUČJU OPĆINE</w:t>
        </w:r>
        <w:r>
          <w:rPr>
            <w:webHidden/>
          </w:rPr>
          <w:fldChar w:fldCharType="begin"/>
        </w:r>
        <w:r>
          <w:rPr>
            <w:webHidden/>
          </w:rPr>
          <w:instrText>PAGEREF _Toc527969367 \h</w:instrText>
        </w:r>
        <w:r>
          <w:rPr>
            <w:webHidden/>
          </w:rPr>
        </w:r>
        <w:r>
          <w:rPr>
            <w:webHidden/>
          </w:rPr>
          <w:fldChar w:fldCharType="separate"/>
        </w:r>
        <w:r>
          <w:rPr>
            <w:rStyle w:val="Indeksirajvezu"/>
          </w:rPr>
          <w:tab/>
          <w:t>65</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68">
        <w:r>
          <w:rPr>
            <w:rStyle w:val="Indeksirajvezu"/>
            <w:webHidden/>
          </w:rPr>
          <w:t>6.1. Epidemije i pandemije</w:t>
        </w:r>
        <w:r>
          <w:rPr>
            <w:webHidden/>
          </w:rPr>
          <w:fldChar w:fldCharType="begin"/>
        </w:r>
        <w:r>
          <w:rPr>
            <w:webHidden/>
          </w:rPr>
          <w:instrText>PAGEREF _Toc527969368 \h</w:instrText>
        </w:r>
        <w:r>
          <w:rPr>
            <w:webHidden/>
          </w:rPr>
        </w:r>
        <w:r>
          <w:rPr>
            <w:webHidden/>
          </w:rPr>
          <w:fldChar w:fldCharType="separate"/>
        </w:r>
        <w:r>
          <w:rPr>
            <w:rStyle w:val="Indeksirajvezu"/>
          </w:rPr>
          <w:tab/>
          <w:t>66</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69">
        <w:r>
          <w:rPr>
            <w:rStyle w:val="Indeksirajvezu"/>
            <w:webHidden/>
          </w:rPr>
          <w:t>6.1.1. RIZIK – Epidemije i pandemije</w:t>
        </w:r>
        <w:r>
          <w:rPr>
            <w:webHidden/>
          </w:rPr>
          <w:fldChar w:fldCharType="begin"/>
        </w:r>
        <w:r>
          <w:rPr>
            <w:webHidden/>
          </w:rPr>
          <w:instrText>PAGEREF _Toc527969369 \h</w:instrText>
        </w:r>
        <w:r>
          <w:rPr>
            <w:webHidden/>
          </w:rPr>
        </w:r>
        <w:r>
          <w:rPr>
            <w:webHidden/>
          </w:rPr>
          <w:fldChar w:fldCharType="separate"/>
        </w:r>
        <w:r>
          <w:rPr>
            <w:rStyle w:val="Indeksirajvezu"/>
          </w:rPr>
          <w:tab/>
          <w:t>66</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370">
        <w:r>
          <w:rPr>
            <w:rStyle w:val="Indeksirajvezu"/>
            <w:webHidden/>
          </w:rPr>
          <w:t>6.1.1.1. NAZIV SCENARIJA – Epidemija influence virusa tipa A na području Općine</w:t>
        </w:r>
        <w:r>
          <w:rPr>
            <w:webHidden/>
          </w:rPr>
          <w:fldChar w:fldCharType="begin"/>
        </w:r>
        <w:r>
          <w:rPr>
            <w:webHidden/>
          </w:rPr>
          <w:instrText>PAGEREF _T</w:instrText>
        </w:r>
        <w:r>
          <w:rPr>
            <w:webHidden/>
          </w:rPr>
          <w:instrText>oc527969370 \h</w:instrText>
        </w:r>
        <w:r>
          <w:rPr>
            <w:webHidden/>
          </w:rPr>
        </w:r>
        <w:r>
          <w:rPr>
            <w:webHidden/>
          </w:rPr>
          <w:fldChar w:fldCharType="separate"/>
        </w:r>
        <w:r>
          <w:rPr>
            <w:rStyle w:val="Indeksirajvezu"/>
          </w:rPr>
          <w:tab/>
          <w:t>66</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371">
        <w:r>
          <w:rPr>
            <w:rStyle w:val="Indeksirajvezu"/>
            <w:webHidden/>
          </w:rPr>
          <w:t>6.1.1.2. Uvod – Epidemija influence</w:t>
        </w:r>
        <w:r>
          <w:rPr>
            <w:webHidden/>
          </w:rPr>
          <w:fldChar w:fldCharType="begin"/>
        </w:r>
        <w:r>
          <w:rPr>
            <w:webHidden/>
          </w:rPr>
          <w:instrText>PAGEREF _Toc527969371 \h</w:instrText>
        </w:r>
        <w:r>
          <w:rPr>
            <w:webHidden/>
          </w:rPr>
        </w:r>
        <w:r>
          <w:rPr>
            <w:webHidden/>
          </w:rPr>
          <w:fldChar w:fldCharType="separate"/>
        </w:r>
        <w:r>
          <w:rPr>
            <w:rStyle w:val="Indeksirajvezu"/>
          </w:rPr>
          <w:tab/>
          <w:t>66</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372">
        <w:r>
          <w:rPr>
            <w:rStyle w:val="Indeksirajvezu"/>
            <w:webHidden/>
          </w:rPr>
          <w:t>6.1.1.3. Prikaz utjecaja na kritičnu infrastrukturu (KI)</w:t>
        </w:r>
        <w:r>
          <w:rPr>
            <w:webHidden/>
          </w:rPr>
          <w:fldChar w:fldCharType="begin"/>
        </w:r>
        <w:r>
          <w:rPr>
            <w:webHidden/>
          </w:rPr>
          <w:instrText>PAGEREF _Toc527969372 \h</w:instrText>
        </w:r>
        <w:r>
          <w:rPr>
            <w:webHidden/>
          </w:rPr>
        </w:r>
        <w:r>
          <w:rPr>
            <w:webHidden/>
          </w:rPr>
          <w:fldChar w:fldCharType="separate"/>
        </w:r>
        <w:r>
          <w:rPr>
            <w:rStyle w:val="Indeksirajvezu"/>
          </w:rPr>
          <w:tab/>
          <w:t>67</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373">
        <w:r>
          <w:rPr>
            <w:rStyle w:val="Indeksirajvezu"/>
            <w:webHidden/>
          </w:rPr>
          <w:t>6.1.1.4. Kontekst – Epidemija influen</w:t>
        </w:r>
        <w:r>
          <w:rPr>
            <w:rStyle w:val="Indeksirajvezu"/>
            <w:webHidden/>
          </w:rPr>
          <w:t>ce</w:t>
        </w:r>
        <w:r>
          <w:rPr>
            <w:webHidden/>
          </w:rPr>
          <w:fldChar w:fldCharType="begin"/>
        </w:r>
        <w:r>
          <w:rPr>
            <w:webHidden/>
          </w:rPr>
          <w:instrText>PAGEREF _Toc527969373 \h</w:instrText>
        </w:r>
        <w:r>
          <w:rPr>
            <w:webHidden/>
          </w:rPr>
        </w:r>
        <w:r>
          <w:rPr>
            <w:webHidden/>
          </w:rPr>
          <w:fldChar w:fldCharType="separate"/>
        </w:r>
        <w:r>
          <w:rPr>
            <w:rStyle w:val="Indeksirajvezu"/>
          </w:rPr>
          <w:tab/>
          <w:t>67</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374">
        <w:r>
          <w:rPr>
            <w:rStyle w:val="Indeksirajvezu"/>
            <w:webHidden/>
          </w:rPr>
          <w:t>6.1.1.5. Uzrok epidemije influence</w:t>
        </w:r>
        <w:r>
          <w:rPr>
            <w:webHidden/>
          </w:rPr>
          <w:fldChar w:fldCharType="begin"/>
        </w:r>
        <w:r>
          <w:rPr>
            <w:webHidden/>
          </w:rPr>
          <w:instrText>PAGEREF _Toc527969374 \h</w:instrText>
        </w:r>
        <w:r>
          <w:rPr>
            <w:webHidden/>
          </w:rPr>
        </w:r>
        <w:r>
          <w:rPr>
            <w:webHidden/>
          </w:rPr>
          <w:fldChar w:fldCharType="separate"/>
        </w:r>
        <w:r>
          <w:rPr>
            <w:rStyle w:val="Indeksirajvezu"/>
          </w:rPr>
          <w:tab/>
          <w:t>69</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375">
        <w:r>
          <w:rPr>
            <w:rStyle w:val="Indeksirajvezu"/>
            <w:webHidden/>
          </w:rPr>
          <w:t>6.1.1.5.1. Razvoj događaja koji prethodi velikoj nesreću uslijed pojave epidemije influence</w:t>
        </w:r>
        <w:r>
          <w:rPr>
            <w:webHidden/>
          </w:rPr>
          <w:fldChar w:fldCharType="begin"/>
        </w:r>
        <w:r>
          <w:rPr>
            <w:webHidden/>
          </w:rPr>
          <w:instrText>PAGEREF _Toc527969375 \h</w:instrText>
        </w:r>
        <w:r>
          <w:rPr>
            <w:webHidden/>
          </w:rPr>
        </w:r>
        <w:r>
          <w:rPr>
            <w:webHidden/>
          </w:rPr>
          <w:fldChar w:fldCharType="separate"/>
        </w:r>
        <w:r>
          <w:rPr>
            <w:rStyle w:val="Indeksirajvezu"/>
          </w:rPr>
          <w:tab/>
          <w:t>69</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376">
        <w:r>
          <w:rPr>
            <w:rStyle w:val="Indeksirajvezu"/>
            <w:webHidden/>
          </w:rPr>
          <w:t>6.1.1.5.2. Okidač koji je uzrokovao veliku nesreću uslijed pojave influence</w:t>
        </w:r>
        <w:r>
          <w:rPr>
            <w:webHidden/>
          </w:rPr>
          <w:fldChar w:fldCharType="begin"/>
        </w:r>
        <w:r>
          <w:rPr>
            <w:webHidden/>
          </w:rPr>
          <w:instrText>PAGEREF _Toc527969376 \h</w:instrText>
        </w:r>
        <w:r>
          <w:rPr>
            <w:webHidden/>
          </w:rPr>
        </w:r>
        <w:r>
          <w:rPr>
            <w:webHidden/>
          </w:rPr>
          <w:fldChar w:fldCharType="separate"/>
        </w:r>
        <w:r>
          <w:rPr>
            <w:rStyle w:val="Indeksirajvezu"/>
          </w:rPr>
          <w:tab/>
          <w:t>70</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77">
        <w:r>
          <w:rPr>
            <w:rStyle w:val="Indeksirajvezu"/>
            <w:webHidden/>
          </w:rPr>
          <w:t>6.1.2. Opis sce</w:t>
        </w:r>
        <w:r>
          <w:rPr>
            <w:rStyle w:val="Indeksirajvezu"/>
            <w:webHidden/>
          </w:rPr>
          <w:t>narija – Epidemije i pandemije</w:t>
        </w:r>
        <w:r>
          <w:rPr>
            <w:webHidden/>
          </w:rPr>
          <w:fldChar w:fldCharType="begin"/>
        </w:r>
        <w:r>
          <w:rPr>
            <w:webHidden/>
          </w:rPr>
          <w:instrText>PAGEREF _Toc527969377 \h</w:instrText>
        </w:r>
        <w:r>
          <w:rPr>
            <w:webHidden/>
          </w:rPr>
        </w:r>
        <w:r>
          <w:rPr>
            <w:webHidden/>
          </w:rPr>
          <w:fldChar w:fldCharType="separate"/>
        </w:r>
        <w:r>
          <w:rPr>
            <w:rStyle w:val="Indeksirajvezu"/>
          </w:rPr>
          <w:tab/>
          <w:t>71</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378">
        <w:r>
          <w:rPr>
            <w:rStyle w:val="Indeksirajvezu"/>
            <w:webHidden/>
          </w:rPr>
          <w:t>6.1.2.1. Događaj s najgorim mogućim posljedicama – Epidemija influence virusa tipa A na područj</w:t>
        </w:r>
        <w:r>
          <w:rPr>
            <w:rStyle w:val="Indeksirajvezu"/>
            <w:webHidden/>
          </w:rPr>
          <w:t>u Općine</w:t>
        </w:r>
        <w:r>
          <w:rPr>
            <w:webHidden/>
          </w:rPr>
          <w:fldChar w:fldCharType="begin"/>
        </w:r>
        <w:r>
          <w:rPr>
            <w:webHidden/>
          </w:rPr>
          <w:instrText>PAGEREF _Toc527969378 \h</w:instrText>
        </w:r>
        <w:r>
          <w:rPr>
            <w:webHidden/>
          </w:rPr>
        </w:r>
        <w:r>
          <w:rPr>
            <w:webHidden/>
          </w:rPr>
          <w:fldChar w:fldCharType="separate"/>
        </w:r>
        <w:r>
          <w:rPr>
            <w:rStyle w:val="Indeksirajvezu"/>
          </w:rPr>
          <w:tab/>
          <w:t>71</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379">
        <w:r>
          <w:rPr>
            <w:rStyle w:val="Indeksirajvezu"/>
            <w:webHidden/>
          </w:rPr>
          <w:t>6.1.2.1.1. Posljedice – Epidemija influence</w:t>
        </w:r>
        <w:r>
          <w:rPr>
            <w:webHidden/>
          </w:rPr>
          <w:fldChar w:fldCharType="begin"/>
        </w:r>
        <w:r>
          <w:rPr>
            <w:webHidden/>
          </w:rPr>
          <w:instrText>PAGEREF _Toc527969379 \h</w:instrText>
        </w:r>
        <w:r>
          <w:rPr>
            <w:webHidden/>
          </w:rPr>
        </w:r>
        <w:r>
          <w:rPr>
            <w:webHidden/>
          </w:rPr>
          <w:fldChar w:fldCharType="separate"/>
        </w:r>
        <w:r>
          <w:rPr>
            <w:rStyle w:val="Indeksirajvezu"/>
          </w:rPr>
          <w:tab/>
          <w:t>72</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380">
        <w:r>
          <w:rPr>
            <w:rStyle w:val="Indeksirajvezu"/>
            <w:webHidden/>
          </w:rPr>
          <w:t>6.1.2.1.2. Vjerojatnost pojave događaja s najgorim mogućim posljedicama uslijed pojave gripe</w:t>
        </w:r>
        <w:r>
          <w:rPr>
            <w:webHidden/>
          </w:rPr>
          <w:fldChar w:fldCharType="begin"/>
        </w:r>
        <w:r>
          <w:rPr>
            <w:webHidden/>
          </w:rPr>
          <w:instrText>PAGEREF _Toc527969380 \h</w:instrText>
        </w:r>
        <w:r>
          <w:rPr>
            <w:webHidden/>
          </w:rPr>
        </w:r>
        <w:r>
          <w:rPr>
            <w:webHidden/>
          </w:rPr>
          <w:fldChar w:fldCharType="separate"/>
        </w:r>
        <w:r>
          <w:rPr>
            <w:rStyle w:val="Indeksirajvezu"/>
          </w:rPr>
          <w:tab/>
          <w:t>74</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81">
        <w:r>
          <w:rPr>
            <w:rStyle w:val="Indeksirajvezu"/>
            <w:webHidden/>
          </w:rPr>
          <w:t>6.1.3. Matrice rizika – Epidemije i pandemije</w:t>
        </w:r>
        <w:r>
          <w:rPr>
            <w:webHidden/>
          </w:rPr>
          <w:fldChar w:fldCharType="begin"/>
        </w:r>
        <w:r>
          <w:rPr>
            <w:webHidden/>
          </w:rPr>
          <w:instrText>PAGEREF _Toc527969381 \h</w:instrText>
        </w:r>
        <w:r>
          <w:rPr>
            <w:webHidden/>
          </w:rPr>
        </w:r>
        <w:r>
          <w:rPr>
            <w:webHidden/>
          </w:rPr>
          <w:fldChar w:fldCharType="separate"/>
        </w:r>
        <w:r>
          <w:rPr>
            <w:rStyle w:val="Indeksirajvezu"/>
          </w:rPr>
          <w:tab/>
          <w:t>75</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82">
        <w:r>
          <w:rPr>
            <w:rStyle w:val="Indeksirajvezu"/>
            <w:webHidden/>
          </w:rPr>
          <w:t>6.1.4. Izvor podataka</w:t>
        </w:r>
        <w:r>
          <w:rPr>
            <w:webHidden/>
          </w:rPr>
          <w:fldChar w:fldCharType="begin"/>
        </w:r>
        <w:r>
          <w:rPr>
            <w:webHidden/>
          </w:rPr>
          <w:instrText>PAGEREF _Toc527969382 \h</w:instrText>
        </w:r>
        <w:r>
          <w:rPr>
            <w:webHidden/>
          </w:rPr>
        </w:r>
        <w:r>
          <w:rPr>
            <w:webHidden/>
          </w:rPr>
          <w:fldChar w:fldCharType="separate"/>
        </w:r>
        <w:r>
          <w:rPr>
            <w:rStyle w:val="Indeksirajvezu"/>
          </w:rPr>
          <w:tab/>
          <w:t>76</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83">
        <w:r>
          <w:rPr>
            <w:rStyle w:val="Indeksirajvezu"/>
            <w:webHidden/>
          </w:rPr>
          <w:t>6.2. Ekstremne vremenske pojave</w:t>
        </w:r>
        <w:r>
          <w:rPr>
            <w:webHidden/>
          </w:rPr>
          <w:fldChar w:fldCharType="begin"/>
        </w:r>
        <w:r>
          <w:rPr>
            <w:webHidden/>
          </w:rPr>
          <w:instrText>PAGEREF _Toc527969383 \h</w:instrText>
        </w:r>
        <w:r>
          <w:rPr>
            <w:webHidden/>
          </w:rPr>
        </w:r>
        <w:r>
          <w:rPr>
            <w:webHidden/>
          </w:rPr>
          <w:fldChar w:fldCharType="separate"/>
        </w:r>
        <w:r>
          <w:rPr>
            <w:rStyle w:val="Indeksirajvezu"/>
          </w:rPr>
          <w:tab/>
          <w:t>77</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84">
        <w:r>
          <w:rPr>
            <w:rStyle w:val="Indeksirajvezu"/>
            <w:webHidden/>
          </w:rPr>
          <w:t>6.2.1. RIZIK – Ekstremne temperature</w:t>
        </w:r>
        <w:r>
          <w:rPr>
            <w:webHidden/>
          </w:rPr>
          <w:fldChar w:fldCharType="begin"/>
        </w:r>
        <w:r>
          <w:rPr>
            <w:webHidden/>
          </w:rPr>
          <w:instrText>PAGEREF _Toc527969384 \h</w:instrText>
        </w:r>
        <w:r>
          <w:rPr>
            <w:webHidden/>
          </w:rPr>
        </w:r>
        <w:r>
          <w:rPr>
            <w:webHidden/>
          </w:rPr>
          <w:fldChar w:fldCharType="separate"/>
        </w:r>
        <w:r>
          <w:rPr>
            <w:rStyle w:val="Indeksirajvezu"/>
          </w:rPr>
          <w:tab/>
          <w:t>77</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385">
        <w:r>
          <w:rPr>
            <w:rStyle w:val="Indeksirajvezu"/>
            <w:webHidden/>
          </w:rPr>
          <w:t>6.2.1.1. NAZIV SCENARIJA – Pojava toplinskog vala dužeg</w:t>
        </w:r>
        <w:r>
          <w:rPr>
            <w:rStyle w:val="Indeksirajvezu"/>
            <w:webHidden/>
          </w:rPr>
          <w:t xml:space="preserve"> trajanja na području Općine</w:t>
        </w:r>
        <w:r>
          <w:rPr>
            <w:webHidden/>
          </w:rPr>
          <w:fldChar w:fldCharType="begin"/>
        </w:r>
        <w:r>
          <w:rPr>
            <w:webHidden/>
          </w:rPr>
          <w:instrText>PAGEREF _Toc527969385 \h</w:instrText>
        </w:r>
        <w:r>
          <w:rPr>
            <w:webHidden/>
          </w:rPr>
        </w:r>
        <w:r>
          <w:rPr>
            <w:webHidden/>
          </w:rPr>
          <w:fldChar w:fldCharType="separate"/>
        </w:r>
        <w:r>
          <w:rPr>
            <w:rStyle w:val="Indeksirajvezu"/>
          </w:rPr>
          <w:tab/>
          <w:t>77</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386">
        <w:r>
          <w:rPr>
            <w:rStyle w:val="Indeksirajvezu"/>
            <w:webHidden/>
          </w:rPr>
          <w:t>6.2.1.2. Uvod – Toplinski val</w:t>
        </w:r>
        <w:r>
          <w:rPr>
            <w:webHidden/>
          </w:rPr>
          <w:fldChar w:fldCharType="begin"/>
        </w:r>
        <w:r>
          <w:rPr>
            <w:webHidden/>
          </w:rPr>
          <w:instrText>PAGEREF _Toc527969386 \h</w:instrText>
        </w:r>
        <w:r>
          <w:rPr>
            <w:webHidden/>
          </w:rPr>
        </w:r>
        <w:r>
          <w:rPr>
            <w:webHidden/>
          </w:rPr>
          <w:fldChar w:fldCharType="separate"/>
        </w:r>
        <w:r>
          <w:rPr>
            <w:rStyle w:val="Indeksirajvezu"/>
          </w:rPr>
          <w:tab/>
          <w:t>77</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387">
        <w:r>
          <w:rPr>
            <w:rStyle w:val="Indeksirajvezu"/>
            <w:webHidden/>
          </w:rPr>
          <w:t>6.2.1.3. Prikaz utjecaja ekstremnih temperatura na kritičnu infrastrukturu (KI)</w:t>
        </w:r>
        <w:r>
          <w:rPr>
            <w:webHidden/>
          </w:rPr>
          <w:fldChar w:fldCharType="begin"/>
        </w:r>
        <w:r>
          <w:rPr>
            <w:webHidden/>
          </w:rPr>
          <w:instrText>PAGEREF _Toc527969387 \h</w:instrText>
        </w:r>
        <w:r>
          <w:rPr>
            <w:webHidden/>
          </w:rPr>
        </w:r>
        <w:r>
          <w:rPr>
            <w:webHidden/>
          </w:rPr>
          <w:fldChar w:fldCharType="separate"/>
        </w:r>
        <w:r>
          <w:rPr>
            <w:rStyle w:val="Indeksirajvezu"/>
          </w:rPr>
          <w:tab/>
          <w:t>78</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388">
        <w:r>
          <w:rPr>
            <w:rStyle w:val="Indeksirajvezu"/>
            <w:webHidden/>
          </w:rPr>
          <w:t>6.2.1.4. Kontekst – Toplinski val</w:t>
        </w:r>
        <w:r>
          <w:rPr>
            <w:webHidden/>
          </w:rPr>
          <w:fldChar w:fldCharType="begin"/>
        </w:r>
        <w:r>
          <w:rPr>
            <w:webHidden/>
          </w:rPr>
          <w:instrText>PAGEREF _Toc527969388 \h</w:instrText>
        </w:r>
        <w:r>
          <w:rPr>
            <w:webHidden/>
          </w:rPr>
        </w:r>
        <w:r>
          <w:rPr>
            <w:webHidden/>
          </w:rPr>
          <w:fldChar w:fldCharType="separate"/>
        </w:r>
        <w:r>
          <w:rPr>
            <w:rStyle w:val="Indeksirajvezu"/>
          </w:rPr>
          <w:tab/>
          <w:t>78</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389">
        <w:r>
          <w:rPr>
            <w:rStyle w:val="Indeksirajvezu"/>
            <w:webHidden/>
          </w:rPr>
          <w:t>6.2.1.5. Uzrok pojave toplinskog vala</w:t>
        </w:r>
        <w:r>
          <w:rPr>
            <w:webHidden/>
          </w:rPr>
          <w:fldChar w:fldCharType="begin"/>
        </w:r>
        <w:r>
          <w:rPr>
            <w:webHidden/>
          </w:rPr>
          <w:instrText>PAGEREF _Toc527969389 \h</w:instrText>
        </w:r>
        <w:r>
          <w:rPr>
            <w:webHidden/>
          </w:rPr>
        </w:r>
        <w:r>
          <w:rPr>
            <w:webHidden/>
          </w:rPr>
          <w:fldChar w:fldCharType="separate"/>
        </w:r>
        <w:r>
          <w:rPr>
            <w:rStyle w:val="Indeksirajvezu"/>
          </w:rPr>
          <w:tab/>
          <w:t>82</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390">
        <w:r>
          <w:rPr>
            <w:rStyle w:val="Indeksirajvezu"/>
            <w:webHidden/>
          </w:rPr>
          <w:t>6.2.1.5.1. Razvoj događaja koji prethodi velikoj nesreći uslijed pojave toplins</w:t>
        </w:r>
        <w:r>
          <w:rPr>
            <w:rStyle w:val="Indeksirajvezu"/>
            <w:webHidden/>
          </w:rPr>
          <w:t>kog vala</w:t>
        </w:r>
        <w:r>
          <w:rPr>
            <w:webHidden/>
          </w:rPr>
          <w:fldChar w:fldCharType="begin"/>
        </w:r>
        <w:r>
          <w:rPr>
            <w:webHidden/>
          </w:rPr>
          <w:instrText>PAGEREF _Toc527969390 \h</w:instrText>
        </w:r>
        <w:r>
          <w:rPr>
            <w:webHidden/>
          </w:rPr>
        </w:r>
        <w:r>
          <w:rPr>
            <w:webHidden/>
          </w:rPr>
          <w:fldChar w:fldCharType="separate"/>
        </w:r>
        <w:r>
          <w:rPr>
            <w:rStyle w:val="Indeksirajvezu"/>
          </w:rPr>
          <w:tab/>
          <w:t>82</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391">
        <w:r>
          <w:rPr>
            <w:rStyle w:val="Indeksirajvezu"/>
            <w:webHidden/>
          </w:rPr>
          <w:t>6.2.1.5.2. Okidač koji je uzrokovao veliku nesreću uslijed pojave toplinskog vala</w:t>
        </w:r>
        <w:r>
          <w:rPr>
            <w:webHidden/>
          </w:rPr>
          <w:fldChar w:fldCharType="begin"/>
        </w:r>
        <w:r>
          <w:rPr>
            <w:webHidden/>
          </w:rPr>
          <w:instrText>PAGEREF _Toc527969391 \h</w:instrText>
        </w:r>
        <w:r>
          <w:rPr>
            <w:webHidden/>
          </w:rPr>
        </w:r>
        <w:r>
          <w:rPr>
            <w:webHidden/>
          </w:rPr>
          <w:fldChar w:fldCharType="separate"/>
        </w:r>
        <w:r>
          <w:rPr>
            <w:rStyle w:val="Indeksirajvezu"/>
          </w:rPr>
          <w:tab/>
          <w:t>83</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92">
        <w:r>
          <w:rPr>
            <w:rStyle w:val="Indeksirajvezu"/>
            <w:webHidden/>
          </w:rPr>
          <w:t>6.2.2. Opis događaja – Ekstremne temperature</w:t>
        </w:r>
        <w:r>
          <w:rPr>
            <w:webHidden/>
          </w:rPr>
          <w:fldChar w:fldCharType="begin"/>
        </w:r>
        <w:r>
          <w:rPr>
            <w:webHidden/>
          </w:rPr>
          <w:instrText>PAGEREF _Toc527969392 \h</w:instrText>
        </w:r>
        <w:r>
          <w:rPr>
            <w:webHidden/>
          </w:rPr>
        </w:r>
        <w:r>
          <w:rPr>
            <w:webHidden/>
          </w:rPr>
          <w:fldChar w:fldCharType="separate"/>
        </w:r>
        <w:r>
          <w:rPr>
            <w:rStyle w:val="Indeksirajvezu"/>
          </w:rPr>
          <w:tab/>
          <w:t>84</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393">
        <w:r>
          <w:rPr>
            <w:rStyle w:val="Indeksirajvezu"/>
            <w:webHidden/>
          </w:rPr>
          <w:t>6.2.2.1. Događaj s najgorim mogućim posljedicama – Pojava toplinskog vala dužeg trajanja na području Općine</w:t>
        </w:r>
        <w:r>
          <w:rPr>
            <w:webHidden/>
          </w:rPr>
          <w:fldChar w:fldCharType="begin"/>
        </w:r>
        <w:r>
          <w:rPr>
            <w:webHidden/>
          </w:rPr>
          <w:instrText>PAGEREF _Toc527969393 \h</w:instrText>
        </w:r>
        <w:r>
          <w:rPr>
            <w:webHidden/>
          </w:rPr>
        </w:r>
        <w:r>
          <w:rPr>
            <w:webHidden/>
          </w:rPr>
          <w:fldChar w:fldCharType="separate"/>
        </w:r>
        <w:r>
          <w:rPr>
            <w:rStyle w:val="Indeksirajvezu"/>
          </w:rPr>
          <w:tab/>
          <w:t>84</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394">
        <w:r>
          <w:rPr>
            <w:rStyle w:val="Indeksirajvezu"/>
            <w:webHidden/>
          </w:rPr>
          <w:t>6.2.2.1.1. Posljedice – Ekstremne temperature</w:t>
        </w:r>
        <w:r>
          <w:rPr>
            <w:webHidden/>
          </w:rPr>
          <w:fldChar w:fldCharType="begin"/>
        </w:r>
        <w:r>
          <w:rPr>
            <w:webHidden/>
          </w:rPr>
          <w:instrText>PAGEREF _Toc527969394 \h</w:instrText>
        </w:r>
        <w:r>
          <w:rPr>
            <w:webHidden/>
          </w:rPr>
        </w:r>
        <w:r>
          <w:rPr>
            <w:webHidden/>
          </w:rPr>
          <w:fldChar w:fldCharType="separate"/>
        </w:r>
        <w:r>
          <w:rPr>
            <w:rStyle w:val="Indeksirajvezu"/>
          </w:rPr>
          <w:tab/>
          <w:t>86</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395">
        <w:r>
          <w:rPr>
            <w:rStyle w:val="Indeksirajvezu"/>
            <w:webHidden/>
          </w:rPr>
          <w:t>6.2.2.1.2. Vjerojatnost pojave događaja s najgorim mogućim posljedicama uslijed pojave toplinskog vala</w:t>
        </w:r>
        <w:r>
          <w:rPr>
            <w:webHidden/>
          </w:rPr>
          <w:fldChar w:fldCharType="begin"/>
        </w:r>
        <w:r>
          <w:rPr>
            <w:webHidden/>
          </w:rPr>
          <w:instrText>PAGEREF _Toc527969395 \h</w:instrText>
        </w:r>
        <w:r>
          <w:rPr>
            <w:webHidden/>
          </w:rPr>
        </w:r>
        <w:r>
          <w:rPr>
            <w:webHidden/>
          </w:rPr>
          <w:fldChar w:fldCharType="separate"/>
        </w:r>
        <w:r>
          <w:rPr>
            <w:rStyle w:val="Indeksirajvezu"/>
          </w:rPr>
          <w:tab/>
          <w:t>87</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96">
        <w:r>
          <w:rPr>
            <w:rStyle w:val="Indeksirajvezu"/>
            <w:webHidden/>
          </w:rPr>
          <w:t>6</w:t>
        </w:r>
        <w:r>
          <w:rPr>
            <w:rStyle w:val="Indeksirajvezu"/>
            <w:webHidden/>
          </w:rPr>
          <w:t>.2.3. Matrice rizika – Ekstremne vremenske pojave</w:t>
        </w:r>
        <w:r>
          <w:rPr>
            <w:webHidden/>
          </w:rPr>
          <w:fldChar w:fldCharType="begin"/>
        </w:r>
        <w:r>
          <w:rPr>
            <w:webHidden/>
          </w:rPr>
          <w:instrText>PAGEREF _Toc527969396 \h</w:instrText>
        </w:r>
        <w:r>
          <w:rPr>
            <w:webHidden/>
          </w:rPr>
        </w:r>
        <w:r>
          <w:rPr>
            <w:webHidden/>
          </w:rPr>
          <w:fldChar w:fldCharType="separate"/>
        </w:r>
        <w:r>
          <w:rPr>
            <w:rStyle w:val="Indeksirajvezu"/>
          </w:rPr>
          <w:tab/>
          <w:t>88</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97">
        <w:r>
          <w:rPr>
            <w:rStyle w:val="Indeksirajvezu"/>
            <w:webHidden/>
          </w:rPr>
          <w:t>6.2.4. Izvor podataka</w:t>
        </w:r>
        <w:r>
          <w:rPr>
            <w:webHidden/>
          </w:rPr>
          <w:fldChar w:fldCharType="begin"/>
        </w:r>
        <w:r>
          <w:rPr>
            <w:webHidden/>
          </w:rPr>
          <w:instrText>PAGEREF _Toc527969397 \h</w:instrText>
        </w:r>
        <w:r>
          <w:rPr>
            <w:webHidden/>
          </w:rPr>
        </w:r>
        <w:r>
          <w:rPr>
            <w:webHidden/>
          </w:rPr>
          <w:fldChar w:fldCharType="separate"/>
        </w:r>
        <w:r>
          <w:rPr>
            <w:rStyle w:val="Indeksirajvezu"/>
          </w:rPr>
          <w:tab/>
          <w:t>89</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398">
        <w:r>
          <w:rPr>
            <w:rStyle w:val="Indeksirajvezu"/>
            <w:webHidden/>
          </w:rPr>
          <w:t>6.3. Suša</w:t>
        </w:r>
        <w:r>
          <w:rPr>
            <w:webHidden/>
          </w:rPr>
          <w:fldChar w:fldCharType="begin"/>
        </w:r>
        <w:r>
          <w:rPr>
            <w:webHidden/>
          </w:rPr>
          <w:instrText>PAGEREF _Toc527969398 \h</w:instrText>
        </w:r>
        <w:r>
          <w:rPr>
            <w:webHidden/>
          </w:rPr>
        </w:r>
        <w:r>
          <w:rPr>
            <w:webHidden/>
          </w:rPr>
          <w:fldChar w:fldCharType="separate"/>
        </w:r>
        <w:r>
          <w:rPr>
            <w:rStyle w:val="Indeksirajvezu"/>
          </w:rPr>
          <w:tab/>
          <w:t>90</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399">
        <w:r>
          <w:rPr>
            <w:rStyle w:val="Indeksirajvezu"/>
            <w:webHidden/>
          </w:rPr>
          <w:t>6.3.1. RIZIK – Suša</w:t>
        </w:r>
        <w:r>
          <w:rPr>
            <w:webHidden/>
          </w:rPr>
          <w:fldChar w:fldCharType="begin"/>
        </w:r>
        <w:r>
          <w:rPr>
            <w:webHidden/>
          </w:rPr>
          <w:instrText xml:space="preserve">PAGEREF </w:instrText>
        </w:r>
        <w:r>
          <w:rPr>
            <w:webHidden/>
          </w:rPr>
          <w:instrText>_Toc527969399 \h</w:instrText>
        </w:r>
        <w:r>
          <w:rPr>
            <w:webHidden/>
          </w:rPr>
        </w:r>
        <w:r>
          <w:rPr>
            <w:webHidden/>
          </w:rPr>
          <w:fldChar w:fldCharType="separate"/>
        </w:r>
        <w:r>
          <w:rPr>
            <w:rStyle w:val="Indeksirajvezu"/>
          </w:rPr>
          <w:tab/>
          <w:t>90</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00">
        <w:r>
          <w:rPr>
            <w:rStyle w:val="Indeksirajvezu"/>
            <w:webHidden/>
          </w:rPr>
          <w:t>6.3.1.1. NAZIV SCENARIJA – Pojava suše uslijed dužeg vremenskog razdoblja bez oborina</w:t>
        </w:r>
        <w:r>
          <w:rPr>
            <w:webHidden/>
          </w:rPr>
          <w:fldChar w:fldCharType="begin"/>
        </w:r>
        <w:r>
          <w:rPr>
            <w:webHidden/>
          </w:rPr>
          <w:instrText>PAGEREF _Toc527969400 \h</w:instrText>
        </w:r>
        <w:r>
          <w:rPr>
            <w:webHidden/>
          </w:rPr>
        </w:r>
        <w:r>
          <w:rPr>
            <w:webHidden/>
          </w:rPr>
          <w:fldChar w:fldCharType="separate"/>
        </w:r>
        <w:r>
          <w:rPr>
            <w:rStyle w:val="Indeksirajvezu"/>
          </w:rPr>
          <w:tab/>
          <w:t>90</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01">
        <w:r>
          <w:rPr>
            <w:rStyle w:val="Indeksirajvezu"/>
            <w:webHidden/>
          </w:rPr>
          <w:t>6.3.1.2. Uvod – Suša</w:t>
        </w:r>
        <w:r>
          <w:rPr>
            <w:webHidden/>
          </w:rPr>
          <w:fldChar w:fldCharType="begin"/>
        </w:r>
        <w:r>
          <w:rPr>
            <w:webHidden/>
          </w:rPr>
          <w:instrText>PAGEREF _Toc527969401 \h</w:instrText>
        </w:r>
        <w:r>
          <w:rPr>
            <w:webHidden/>
          </w:rPr>
        </w:r>
        <w:r>
          <w:rPr>
            <w:webHidden/>
          </w:rPr>
          <w:fldChar w:fldCharType="separate"/>
        </w:r>
        <w:r>
          <w:rPr>
            <w:rStyle w:val="Indeksirajvezu"/>
          </w:rPr>
          <w:tab/>
          <w:t>90</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02">
        <w:r>
          <w:rPr>
            <w:rStyle w:val="Indeksirajvezu"/>
            <w:webHidden/>
          </w:rPr>
          <w:t>6.3.1.3. Prikaz utjec</w:t>
        </w:r>
        <w:r>
          <w:rPr>
            <w:rStyle w:val="Indeksirajvezu"/>
            <w:webHidden/>
          </w:rPr>
          <w:t>aja suše na kritičnu infrastrukturu (KI)</w:t>
        </w:r>
        <w:r>
          <w:rPr>
            <w:webHidden/>
          </w:rPr>
          <w:fldChar w:fldCharType="begin"/>
        </w:r>
        <w:r>
          <w:rPr>
            <w:webHidden/>
          </w:rPr>
          <w:instrText>PAGEREF _Toc527969402 \h</w:instrText>
        </w:r>
        <w:r>
          <w:rPr>
            <w:webHidden/>
          </w:rPr>
        </w:r>
        <w:r>
          <w:rPr>
            <w:webHidden/>
          </w:rPr>
          <w:fldChar w:fldCharType="separate"/>
        </w:r>
        <w:r>
          <w:rPr>
            <w:rStyle w:val="Indeksirajvezu"/>
          </w:rPr>
          <w:tab/>
          <w:t>91</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03">
        <w:r>
          <w:rPr>
            <w:rStyle w:val="Indeksirajvezu"/>
            <w:webHidden/>
          </w:rPr>
          <w:t>6.3.1.4. Kontekst – Pojava suše</w:t>
        </w:r>
        <w:r>
          <w:rPr>
            <w:webHidden/>
          </w:rPr>
          <w:fldChar w:fldCharType="begin"/>
        </w:r>
        <w:r>
          <w:rPr>
            <w:webHidden/>
          </w:rPr>
          <w:instrText>PAGEREF _Toc527969403 \h</w:instrText>
        </w:r>
        <w:r>
          <w:rPr>
            <w:webHidden/>
          </w:rPr>
        </w:r>
        <w:r>
          <w:rPr>
            <w:webHidden/>
          </w:rPr>
          <w:fldChar w:fldCharType="separate"/>
        </w:r>
        <w:r>
          <w:rPr>
            <w:rStyle w:val="Indeksirajvezu"/>
          </w:rPr>
          <w:tab/>
          <w:t>91</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04">
        <w:r>
          <w:rPr>
            <w:rStyle w:val="Indeksirajvezu"/>
            <w:webHidden/>
          </w:rPr>
          <w:t>6.3.1.5. Uzrok pojave suše</w:t>
        </w:r>
        <w:r>
          <w:rPr>
            <w:webHidden/>
          </w:rPr>
          <w:fldChar w:fldCharType="begin"/>
        </w:r>
        <w:r>
          <w:rPr>
            <w:webHidden/>
          </w:rPr>
          <w:instrText>PAGEREF _Toc527969404 \h</w:instrText>
        </w:r>
        <w:r>
          <w:rPr>
            <w:webHidden/>
          </w:rPr>
        </w:r>
        <w:r>
          <w:rPr>
            <w:webHidden/>
          </w:rPr>
          <w:fldChar w:fldCharType="separate"/>
        </w:r>
        <w:r>
          <w:rPr>
            <w:rStyle w:val="Indeksirajvezu"/>
          </w:rPr>
          <w:tab/>
          <w:t>96</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405">
        <w:r>
          <w:rPr>
            <w:rStyle w:val="Indeksirajvezu"/>
            <w:webHidden/>
          </w:rPr>
          <w:t>6.3.1.5.1. Razvoj događaja koji prethodi velikoj nesreći uslijed pojave suše</w:t>
        </w:r>
        <w:r>
          <w:rPr>
            <w:webHidden/>
          </w:rPr>
          <w:fldChar w:fldCharType="begin"/>
        </w:r>
        <w:r>
          <w:rPr>
            <w:webHidden/>
          </w:rPr>
          <w:instrText>PAGEREF _Toc527969405 \h</w:instrText>
        </w:r>
        <w:r>
          <w:rPr>
            <w:webHidden/>
          </w:rPr>
        </w:r>
        <w:r>
          <w:rPr>
            <w:webHidden/>
          </w:rPr>
          <w:fldChar w:fldCharType="separate"/>
        </w:r>
        <w:r>
          <w:rPr>
            <w:rStyle w:val="Indeksirajvezu"/>
          </w:rPr>
          <w:tab/>
          <w:t>97</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406">
        <w:r>
          <w:rPr>
            <w:rStyle w:val="Indeksirajvezu"/>
            <w:webHidden/>
          </w:rPr>
          <w:t>6.3.1.5.2. Okid</w:t>
        </w:r>
        <w:r>
          <w:rPr>
            <w:rStyle w:val="Indeksirajvezu"/>
            <w:webHidden/>
          </w:rPr>
          <w:t>ač koji je uzrokovao veliku nesreću uslijed pojave suše</w:t>
        </w:r>
        <w:r>
          <w:rPr>
            <w:webHidden/>
          </w:rPr>
          <w:fldChar w:fldCharType="begin"/>
        </w:r>
        <w:r>
          <w:rPr>
            <w:webHidden/>
          </w:rPr>
          <w:instrText>PAGEREF _Toc527969406 \h</w:instrText>
        </w:r>
        <w:r>
          <w:rPr>
            <w:webHidden/>
          </w:rPr>
        </w:r>
        <w:r>
          <w:rPr>
            <w:webHidden/>
          </w:rPr>
          <w:fldChar w:fldCharType="separate"/>
        </w:r>
        <w:r>
          <w:rPr>
            <w:rStyle w:val="Indeksirajvezu"/>
          </w:rPr>
          <w:tab/>
          <w:t>97</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07">
        <w:r>
          <w:rPr>
            <w:rStyle w:val="Indeksirajvezu"/>
            <w:webHidden/>
          </w:rPr>
          <w:t>6.3.2. Opis događaja – Suša</w:t>
        </w:r>
        <w:r>
          <w:rPr>
            <w:webHidden/>
          </w:rPr>
          <w:fldChar w:fldCharType="begin"/>
        </w:r>
        <w:r>
          <w:rPr>
            <w:webHidden/>
          </w:rPr>
          <w:instrText>PAGEREF _Toc527969407 \h</w:instrText>
        </w:r>
        <w:r>
          <w:rPr>
            <w:webHidden/>
          </w:rPr>
        </w:r>
        <w:r>
          <w:rPr>
            <w:webHidden/>
          </w:rPr>
          <w:fldChar w:fldCharType="separate"/>
        </w:r>
        <w:r>
          <w:rPr>
            <w:rStyle w:val="Indeksirajvezu"/>
          </w:rPr>
          <w:tab/>
          <w:t>97</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08">
        <w:r>
          <w:rPr>
            <w:rStyle w:val="Indeksirajvezu"/>
            <w:webHidden/>
          </w:rPr>
          <w:t>6.3.2.1. Događaj s najgorim mogućim posljedicama – Pojava suše uslijed dužeg vremenskog razdoblja bez oborina</w:t>
        </w:r>
        <w:r>
          <w:rPr>
            <w:webHidden/>
          </w:rPr>
          <w:fldChar w:fldCharType="begin"/>
        </w:r>
        <w:r>
          <w:rPr>
            <w:webHidden/>
          </w:rPr>
          <w:instrText>PAGEREF _Toc527969408 \h</w:instrText>
        </w:r>
        <w:r>
          <w:rPr>
            <w:webHidden/>
          </w:rPr>
        </w:r>
        <w:r>
          <w:rPr>
            <w:webHidden/>
          </w:rPr>
          <w:fldChar w:fldCharType="separate"/>
        </w:r>
        <w:r>
          <w:rPr>
            <w:rStyle w:val="Indeksirajvezu"/>
          </w:rPr>
          <w:tab/>
          <w:t>97</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409">
        <w:r>
          <w:rPr>
            <w:rStyle w:val="Indeksirajvezu"/>
            <w:webHidden/>
          </w:rPr>
          <w:t>6.3.2.1.1. Posljedice – Suša</w:t>
        </w:r>
        <w:r>
          <w:rPr>
            <w:webHidden/>
          </w:rPr>
          <w:fldChar w:fldCharType="begin"/>
        </w:r>
        <w:r>
          <w:rPr>
            <w:webHidden/>
          </w:rPr>
          <w:instrText>PAGEREF _Toc527969409 \h</w:instrText>
        </w:r>
        <w:r>
          <w:rPr>
            <w:webHidden/>
          </w:rPr>
        </w:r>
        <w:r>
          <w:rPr>
            <w:webHidden/>
          </w:rPr>
          <w:fldChar w:fldCharType="separate"/>
        </w:r>
        <w:r>
          <w:rPr>
            <w:rStyle w:val="Indeksirajvezu"/>
          </w:rPr>
          <w:tab/>
          <w:t>98</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410">
        <w:r>
          <w:rPr>
            <w:rStyle w:val="Indeksirajvezu"/>
            <w:webHidden/>
          </w:rPr>
          <w:t>6.3.2.1.2. Vjerojatnost nastanka događaja s najgorim mogućim posljedicama pri pojavi suše uslijed dužeg vremenskog razdoblja bez oborina</w:t>
        </w:r>
        <w:r>
          <w:rPr>
            <w:webHidden/>
          </w:rPr>
          <w:fldChar w:fldCharType="begin"/>
        </w:r>
        <w:r>
          <w:rPr>
            <w:webHidden/>
          </w:rPr>
          <w:instrText>PAGEREF _Toc527969410 \h</w:instrText>
        </w:r>
        <w:r>
          <w:rPr>
            <w:webHidden/>
          </w:rPr>
        </w:r>
        <w:r>
          <w:rPr>
            <w:webHidden/>
          </w:rPr>
          <w:fldChar w:fldCharType="separate"/>
        </w:r>
        <w:r>
          <w:rPr>
            <w:rStyle w:val="Indeksirajvezu"/>
          </w:rPr>
          <w:tab/>
          <w:t>99</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11">
        <w:r>
          <w:rPr>
            <w:rStyle w:val="Indeksirajvezu"/>
            <w:webHidden/>
          </w:rPr>
          <w:t>6.3.3. Matrice rizika – Suša</w:t>
        </w:r>
        <w:r>
          <w:rPr>
            <w:webHidden/>
          </w:rPr>
          <w:fldChar w:fldCharType="begin"/>
        </w:r>
        <w:r>
          <w:rPr>
            <w:webHidden/>
          </w:rPr>
          <w:instrText>PAGEREF _Toc527969411 \h</w:instrText>
        </w:r>
        <w:r>
          <w:rPr>
            <w:webHidden/>
          </w:rPr>
        </w:r>
        <w:r>
          <w:rPr>
            <w:webHidden/>
          </w:rPr>
          <w:fldChar w:fldCharType="separate"/>
        </w:r>
        <w:r>
          <w:rPr>
            <w:rStyle w:val="Indeksirajvezu"/>
          </w:rPr>
          <w:tab/>
          <w:t>100</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12">
        <w:r>
          <w:rPr>
            <w:rStyle w:val="Indeksirajvezu"/>
            <w:webHidden/>
          </w:rPr>
          <w:t>6.3.4. Izvor podataka</w:t>
        </w:r>
        <w:r>
          <w:rPr>
            <w:webHidden/>
          </w:rPr>
          <w:fldChar w:fldCharType="begin"/>
        </w:r>
        <w:r>
          <w:rPr>
            <w:webHidden/>
          </w:rPr>
          <w:instrText>PAGEREF _Toc527969412 \h</w:instrText>
        </w:r>
        <w:r>
          <w:rPr>
            <w:webHidden/>
          </w:rPr>
        </w:r>
        <w:r>
          <w:rPr>
            <w:webHidden/>
          </w:rPr>
          <w:fldChar w:fldCharType="separate"/>
        </w:r>
        <w:r>
          <w:rPr>
            <w:rStyle w:val="Indeksirajvezu"/>
          </w:rPr>
          <w:tab/>
          <w:t>101</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413">
        <w:r>
          <w:rPr>
            <w:rStyle w:val="Indeksirajvezu"/>
            <w:webHidden/>
          </w:rPr>
          <w:t>6</w:t>
        </w:r>
        <w:r>
          <w:rPr>
            <w:rStyle w:val="Indeksirajvezu"/>
            <w:webHidden/>
          </w:rPr>
          <w:t>.4. Poplava</w:t>
        </w:r>
        <w:r>
          <w:rPr>
            <w:webHidden/>
          </w:rPr>
          <w:fldChar w:fldCharType="begin"/>
        </w:r>
        <w:r>
          <w:rPr>
            <w:webHidden/>
          </w:rPr>
          <w:instrText>PAGEREF _Toc527969413 \h</w:instrText>
        </w:r>
        <w:r>
          <w:rPr>
            <w:webHidden/>
          </w:rPr>
        </w:r>
        <w:r>
          <w:rPr>
            <w:webHidden/>
          </w:rPr>
          <w:fldChar w:fldCharType="separate"/>
        </w:r>
        <w:r>
          <w:rPr>
            <w:rStyle w:val="Indeksirajvezu"/>
          </w:rPr>
          <w:tab/>
          <w:t>102</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14">
        <w:r>
          <w:rPr>
            <w:rStyle w:val="Indeksirajvezu"/>
            <w:webHidden/>
          </w:rPr>
          <w:t>6.4.1. RIZIK – Poplave izazvane izlijevanjem kopnenih vodenih tijela</w:t>
        </w:r>
        <w:r>
          <w:rPr>
            <w:webHidden/>
          </w:rPr>
          <w:fldChar w:fldCharType="begin"/>
        </w:r>
        <w:r>
          <w:rPr>
            <w:webHidden/>
          </w:rPr>
          <w:instrText>PAGEREF _Toc527969414 \h</w:instrText>
        </w:r>
        <w:r>
          <w:rPr>
            <w:webHidden/>
          </w:rPr>
        </w:r>
        <w:r>
          <w:rPr>
            <w:webHidden/>
          </w:rPr>
          <w:fldChar w:fldCharType="separate"/>
        </w:r>
        <w:r>
          <w:rPr>
            <w:rStyle w:val="Indeksirajvezu"/>
          </w:rPr>
          <w:tab/>
          <w:t>102</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15">
        <w:r>
          <w:rPr>
            <w:rStyle w:val="Indeksirajvezu"/>
            <w:webHidden/>
          </w:rPr>
          <w:t>6.4.1.1. NAZIV SCENARIJA –  Izlijevanje kopnenih vodenih tijela na području Općine</w:t>
        </w:r>
        <w:r>
          <w:rPr>
            <w:webHidden/>
          </w:rPr>
          <w:fldChar w:fldCharType="begin"/>
        </w:r>
        <w:r>
          <w:rPr>
            <w:webHidden/>
          </w:rPr>
          <w:instrText>PAGEREF _Toc527969415 \h</w:instrText>
        </w:r>
        <w:r>
          <w:rPr>
            <w:webHidden/>
          </w:rPr>
        </w:r>
        <w:r>
          <w:rPr>
            <w:webHidden/>
          </w:rPr>
          <w:fldChar w:fldCharType="separate"/>
        </w:r>
        <w:r>
          <w:rPr>
            <w:rStyle w:val="Indeksirajvezu"/>
          </w:rPr>
          <w:tab/>
          <w:t>102</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16">
        <w:r>
          <w:rPr>
            <w:rStyle w:val="Indeksirajvezu"/>
            <w:webHidden/>
          </w:rPr>
          <w:t>6.4.1.2. Uvod – Poplava</w:t>
        </w:r>
        <w:r>
          <w:rPr>
            <w:webHidden/>
          </w:rPr>
          <w:fldChar w:fldCharType="begin"/>
        </w:r>
        <w:r>
          <w:rPr>
            <w:webHidden/>
          </w:rPr>
          <w:instrText>PAGEREF _Toc527969416 \h</w:instrText>
        </w:r>
        <w:r>
          <w:rPr>
            <w:webHidden/>
          </w:rPr>
        </w:r>
        <w:r>
          <w:rPr>
            <w:webHidden/>
          </w:rPr>
          <w:fldChar w:fldCharType="separate"/>
        </w:r>
        <w:r>
          <w:rPr>
            <w:rStyle w:val="Indeksirajvezu"/>
          </w:rPr>
          <w:tab/>
          <w:t>102</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17">
        <w:r>
          <w:rPr>
            <w:rStyle w:val="Indeksirajvezu"/>
            <w:webHidden/>
          </w:rPr>
          <w:t>6.4.1.3. Prikaz utjecaja poplava na kritičnu infrastrukturu (KI)</w:t>
        </w:r>
        <w:r>
          <w:rPr>
            <w:webHidden/>
          </w:rPr>
          <w:fldChar w:fldCharType="begin"/>
        </w:r>
        <w:r>
          <w:rPr>
            <w:webHidden/>
          </w:rPr>
          <w:instrText>PAGEREF _Toc527969417 \h</w:instrText>
        </w:r>
        <w:r>
          <w:rPr>
            <w:webHidden/>
          </w:rPr>
        </w:r>
        <w:r>
          <w:rPr>
            <w:webHidden/>
          </w:rPr>
          <w:fldChar w:fldCharType="separate"/>
        </w:r>
        <w:r>
          <w:rPr>
            <w:rStyle w:val="Indeksirajvezu"/>
          </w:rPr>
          <w:tab/>
          <w:t>104</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18">
        <w:r>
          <w:rPr>
            <w:rStyle w:val="Indeksirajvezu"/>
            <w:webHidden/>
            <w:lang w:eastAsia="hr-HR"/>
          </w:rPr>
          <w:t>6.4.1.4. Kontekst – Poplava</w:t>
        </w:r>
        <w:r>
          <w:rPr>
            <w:webHidden/>
          </w:rPr>
          <w:fldChar w:fldCharType="begin"/>
        </w:r>
        <w:r>
          <w:rPr>
            <w:webHidden/>
          </w:rPr>
          <w:instrText>PAGEREF _Toc527969418 \h</w:instrText>
        </w:r>
        <w:r>
          <w:rPr>
            <w:webHidden/>
          </w:rPr>
        </w:r>
        <w:r>
          <w:rPr>
            <w:webHidden/>
          </w:rPr>
          <w:fldChar w:fldCharType="separate"/>
        </w:r>
        <w:r>
          <w:rPr>
            <w:rStyle w:val="Indeksirajvezu"/>
          </w:rPr>
          <w:tab/>
          <w:t>104</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19">
        <w:r>
          <w:rPr>
            <w:rStyle w:val="Indeksirajvezu"/>
            <w:webHidden/>
          </w:rPr>
          <w:t>6.4.1.5. Uzrok nastanka poplava</w:t>
        </w:r>
        <w:r>
          <w:rPr>
            <w:webHidden/>
          </w:rPr>
          <w:fldChar w:fldCharType="begin"/>
        </w:r>
        <w:r>
          <w:rPr>
            <w:webHidden/>
          </w:rPr>
          <w:instrText>PAGEREF _Toc527969419 \h</w:instrText>
        </w:r>
        <w:r>
          <w:rPr>
            <w:webHidden/>
          </w:rPr>
        </w:r>
        <w:r>
          <w:rPr>
            <w:webHidden/>
          </w:rPr>
          <w:fldChar w:fldCharType="separate"/>
        </w:r>
        <w:r>
          <w:rPr>
            <w:rStyle w:val="Indeksirajvezu"/>
          </w:rPr>
          <w:tab/>
          <w:t>113</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420">
        <w:r>
          <w:rPr>
            <w:rStyle w:val="Indeksirajvezu"/>
            <w:webHidden/>
          </w:rPr>
          <w:t>6.4.1.5.1. Razvoj događaja koji prethodi velikoj nesreći uzrokovanoj poplavom</w:t>
        </w:r>
        <w:r>
          <w:rPr>
            <w:webHidden/>
          </w:rPr>
          <w:fldChar w:fldCharType="begin"/>
        </w:r>
        <w:r>
          <w:rPr>
            <w:webHidden/>
          </w:rPr>
          <w:instrText>PAGEREF _Toc527969420 \h</w:instrText>
        </w:r>
        <w:r>
          <w:rPr>
            <w:webHidden/>
          </w:rPr>
        </w:r>
        <w:r>
          <w:rPr>
            <w:webHidden/>
          </w:rPr>
          <w:fldChar w:fldCharType="separate"/>
        </w:r>
        <w:r>
          <w:rPr>
            <w:rStyle w:val="Indeksirajvezu"/>
          </w:rPr>
          <w:tab/>
          <w:t>113</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421">
        <w:r>
          <w:rPr>
            <w:rStyle w:val="Indeksirajvezu"/>
            <w:webHidden/>
          </w:rPr>
          <w:t>6.4.1.5.2. Okidač koji je uzrokovao veliku nesreću pojavom poplave</w:t>
        </w:r>
        <w:r>
          <w:rPr>
            <w:webHidden/>
          </w:rPr>
          <w:fldChar w:fldCharType="begin"/>
        </w:r>
        <w:r>
          <w:rPr>
            <w:webHidden/>
          </w:rPr>
          <w:instrText>PAGEREF _Toc527969421 \h</w:instrText>
        </w:r>
        <w:r>
          <w:rPr>
            <w:webHidden/>
          </w:rPr>
        </w:r>
        <w:r>
          <w:rPr>
            <w:webHidden/>
          </w:rPr>
          <w:fldChar w:fldCharType="separate"/>
        </w:r>
        <w:r>
          <w:rPr>
            <w:rStyle w:val="Indeksirajvezu"/>
          </w:rPr>
          <w:tab/>
          <w:t>113</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22">
        <w:r>
          <w:rPr>
            <w:rStyle w:val="Indeksirajvezu"/>
            <w:webHidden/>
          </w:rPr>
          <w:t>6.4.2. Poplave izazvane izlijevanjem kopnenih vodenih tijela</w:t>
        </w:r>
        <w:r>
          <w:rPr>
            <w:webHidden/>
          </w:rPr>
          <w:fldChar w:fldCharType="begin"/>
        </w:r>
        <w:r>
          <w:rPr>
            <w:webHidden/>
          </w:rPr>
          <w:instrText>PAGEREF _Toc527969422 \h</w:instrText>
        </w:r>
        <w:r>
          <w:rPr>
            <w:webHidden/>
          </w:rPr>
        </w:r>
        <w:r>
          <w:rPr>
            <w:webHidden/>
          </w:rPr>
          <w:fldChar w:fldCharType="separate"/>
        </w:r>
        <w:r>
          <w:rPr>
            <w:rStyle w:val="Indeksirajvezu"/>
          </w:rPr>
          <w:tab/>
          <w:t>114</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23">
        <w:r>
          <w:rPr>
            <w:rStyle w:val="Indeksirajvezu"/>
            <w:webHidden/>
          </w:rPr>
          <w:t>6.4.2.1. Događaj s najgorim m</w:t>
        </w:r>
        <w:r>
          <w:rPr>
            <w:rStyle w:val="Indeksirajvezu"/>
            <w:webHidden/>
          </w:rPr>
          <w:t>ogućim posljedicama – Izlijevanje kopnenih vodenih tijela na području Općine</w:t>
        </w:r>
        <w:r>
          <w:rPr>
            <w:webHidden/>
          </w:rPr>
          <w:fldChar w:fldCharType="begin"/>
        </w:r>
        <w:r>
          <w:rPr>
            <w:webHidden/>
          </w:rPr>
          <w:instrText>PAGEREF _Toc527969423 \h</w:instrText>
        </w:r>
        <w:r>
          <w:rPr>
            <w:webHidden/>
          </w:rPr>
        </w:r>
        <w:r>
          <w:rPr>
            <w:webHidden/>
          </w:rPr>
          <w:fldChar w:fldCharType="separate"/>
        </w:r>
        <w:r>
          <w:rPr>
            <w:rStyle w:val="Indeksirajvezu"/>
          </w:rPr>
          <w:tab/>
          <w:t>114</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424">
        <w:r>
          <w:rPr>
            <w:rStyle w:val="Indeksirajvezu"/>
            <w:webHidden/>
          </w:rPr>
          <w:t>6.4.2.1.1. Posljedice – Poplava</w:t>
        </w:r>
        <w:r>
          <w:rPr>
            <w:webHidden/>
          </w:rPr>
          <w:fldChar w:fldCharType="begin"/>
        </w:r>
        <w:r>
          <w:rPr>
            <w:webHidden/>
          </w:rPr>
          <w:instrText>PAGEREF _Toc5279</w:instrText>
        </w:r>
        <w:r>
          <w:rPr>
            <w:webHidden/>
          </w:rPr>
          <w:instrText>69424 \h</w:instrText>
        </w:r>
        <w:r>
          <w:rPr>
            <w:webHidden/>
          </w:rPr>
        </w:r>
        <w:r>
          <w:rPr>
            <w:webHidden/>
          </w:rPr>
          <w:fldChar w:fldCharType="separate"/>
        </w:r>
        <w:r>
          <w:rPr>
            <w:rStyle w:val="Indeksirajvezu"/>
          </w:rPr>
          <w:tab/>
          <w:t>114</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425">
        <w:r>
          <w:rPr>
            <w:rStyle w:val="Indeksirajvezu"/>
            <w:webHidden/>
          </w:rPr>
          <w:t>6.4.2.1.2. Vjerojatnost nastanka događaja s najgorim mogućim posljedicama uslijed poplave</w:t>
        </w:r>
        <w:r>
          <w:rPr>
            <w:webHidden/>
          </w:rPr>
          <w:fldChar w:fldCharType="begin"/>
        </w:r>
        <w:r>
          <w:rPr>
            <w:webHidden/>
          </w:rPr>
          <w:instrText>PAGEREF _Toc527969425 \h</w:instrText>
        </w:r>
        <w:r>
          <w:rPr>
            <w:webHidden/>
          </w:rPr>
        </w:r>
        <w:r>
          <w:rPr>
            <w:webHidden/>
          </w:rPr>
          <w:fldChar w:fldCharType="separate"/>
        </w:r>
        <w:r>
          <w:rPr>
            <w:rStyle w:val="Indeksirajvezu"/>
          </w:rPr>
          <w:tab/>
          <w:t>116</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26">
        <w:r>
          <w:rPr>
            <w:rStyle w:val="Indeksirajvezu"/>
            <w:webHidden/>
          </w:rPr>
          <w:t>6.4.3. Matrice rizika – Poplava</w:t>
        </w:r>
        <w:r>
          <w:rPr>
            <w:webHidden/>
          </w:rPr>
          <w:fldChar w:fldCharType="begin"/>
        </w:r>
        <w:r>
          <w:rPr>
            <w:webHidden/>
          </w:rPr>
          <w:instrText>PAGEREF _Toc527969426 \h</w:instrText>
        </w:r>
        <w:r>
          <w:rPr>
            <w:webHidden/>
          </w:rPr>
        </w:r>
        <w:r>
          <w:rPr>
            <w:webHidden/>
          </w:rPr>
          <w:fldChar w:fldCharType="separate"/>
        </w:r>
        <w:r>
          <w:rPr>
            <w:rStyle w:val="Indeksirajvezu"/>
          </w:rPr>
          <w:tab/>
          <w:t>117</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27">
        <w:r>
          <w:rPr>
            <w:rStyle w:val="Indeksirajvezu"/>
            <w:webHidden/>
          </w:rPr>
          <w:t>6.4.4. Iz</w:t>
        </w:r>
        <w:r>
          <w:rPr>
            <w:rStyle w:val="Indeksirajvezu"/>
            <w:webHidden/>
          </w:rPr>
          <w:t>vor podataka</w:t>
        </w:r>
        <w:r>
          <w:rPr>
            <w:webHidden/>
          </w:rPr>
          <w:fldChar w:fldCharType="begin"/>
        </w:r>
        <w:r>
          <w:rPr>
            <w:webHidden/>
          </w:rPr>
          <w:instrText>PAGEREF _Toc527969427 \h</w:instrText>
        </w:r>
        <w:r>
          <w:rPr>
            <w:webHidden/>
          </w:rPr>
        </w:r>
        <w:r>
          <w:rPr>
            <w:webHidden/>
          </w:rPr>
          <w:fldChar w:fldCharType="separate"/>
        </w:r>
        <w:r>
          <w:rPr>
            <w:rStyle w:val="Indeksirajvezu"/>
          </w:rPr>
          <w:tab/>
          <w:t>118</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428">
        <w:r>
          <w:rPr>
            <w:rStyle w:val="Indeksirajvezu"/>
            <w:webHidden/>
          </w:rPr>
          <w:t>6.5. Potres</w:t>
        </w:r>
        <w:r>
          <w:rPr>
            <w:webHidden/>
          </w:rPr>
          <w:fldChar w:fldCharType="begin"/>
        </w:r>
        <w:r>
          <w:rPr>
            <w:webHidden/>
          </w:rPr>
          <w:instrText>PAGEREF _Toc527969428 \h</w:instrText>
        </w:r>
        <w:r>
          <w:rPr>
            <w:webHidden/>
          </w:rPr>
        </w:r>
        <w:r>
          <w:rPr>
            <w:webHidden/>
          </w:rPr>
          <w:fldChar w:fldCharType="separate"/>
        </w:r>
        <w:r>
          <w:rPr>
            <w:rStyle w:val="Indeksirajvezu"/>
          </w:rPr>
          <w:tab/>
          <w:t>119</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29">
        <w:r>
          <w:rPr>
            <w:rStyle w:val="Indeksirajvezu"/>
            <w:webHidden/>
          </w:rPr>
          <w:t>6.5.1. RIZIK – Potres</w:t>
        </w:r>
        <w:r>
          <w:rPr>
            <w:webHidden/>
          </w:rPr>
          <w:fldChar w:fldCharType="begin"/>
        </w:r>
        <w:r>
          <w:rPr>
            <w:webHidden/>
          </w:rPr>
          <w:instrText>PAGEREF _Toc527969429 \h</w:instrText>
        </w:r>
        <w:r>
          <w:rPr>
            <w:webHidden/>
          </w:rPr>
        </w:r>
        <w:r>
          <w:rPr>
            <w:webHidden/>
          </w:rPr>
          <w:fldChar w:fldCharType="separate"/>
        </w:r>
        <w:r>
          <w:rPr>
            <w:rStyle w:val="Indeksirajvezu"/>
          </w:rPr>
          <w:tab/>
          <w:t>119</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30">
        <w:r>
          <w:rPr>
            <w:rStyle w:val="Indeksirajvezu"/>
            <w:webHidden/>
          </w:rPr>
          <w:t>6</w:t>
        </w:r>
        <w:r>
          <w:rPr>
            <w:rStyle w:val="Indeksirajvezu"/>
            <w:webHidden/>
          </w:rPr>
          <w:t>.5.1.1. – NAZIV SCENARIJA – Podrhtavanje tla na području Općine uzrokovano potresom jačine 8° MCS</w:t>
        </w:r>
        <w:r>
          <w:rPr>
            <w:webHidden/>
          </w:rPr>
          <w:fldChar w:fldCharType="begin"/>
        </w:r>
        <w:r>
          <w:rPr>
            <w:webHidden/>
          </w:rPr>
          <w:instrText>PAGEREF _Toc527969430 \h</w:instrText>
        </w:r>
        <w:r>
          <w:rPr>
            <w:webHidden/>
          </w:rPr>
        </w:r>
        <w:r>
          <w:rPr>
            <w:webHidden/>
          </w:rPr>
          <w:fldChar w:fldCharType="separate"/>
        </w:r>
        <w:r>
          <w:rPr>
            <w:rStyle w:val="Indeksirajvezu"/>
          </w:rPr>
          <w:tab/>
          <w:t>119</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31">
        <w:r>
          <w:rPr>
            <w:rStyle w:val="Indeksirajvezu"/>
            <w:webHidden/>
          </w:rPr>
          <w:t>6.5.1.2. Uvod - Potres</w:t>
        </w:r>
        <w:r>
          <w:rPr>
            <w:webHidden/>
          </w:rPr>
          <w:fldChar w:fldCharType="begin"/>
        </w:r>
        <w:r>
          <w:rPr>
            <w:webHidden/>
          </w:rPr>
          <w:instrText>PAGER</w:instrText>
        </w:r>
        <w:r>
          <w:rPr>
            <w:webHidden/>
          </w:rPr>
          <w:instrText>EF _Toc527969431 \h</w:instrText>
        </w:r>
        <w:r>
          <w:rPr>
            <w:webHidden/>
          </w:rPr>
        </w:r>
        <w:r>
          <w:rPr>
            <w:webHidden/>
          </w:rPr>
          <w:fldChar w:fldCharType="separate"/>
        </w:r>
        <w:r>
          <w:rPr>
            <w:rStyle w:val="Indeksirajvezu"/>
          </w:rPr>
          <w:tab/>
          <w:t>119</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32">
        <w:r>
          <w:rPr>
            <w:rStyle w:val="Indeksirajvezu"/>
            <w:webHidden/>
          </w:rPr>
          <w:t>6.5.1.3. Prikaz utjecaja potresa na kritičnu infrastrukturu (KI)</w:t>
        </w:r>
        <w:r>
          <w:rPr>
            <w:webHidden/>
          </w:rPr>
          <w:fldChar w:fldCharType="begin"/>
        </w:r>
        <w:r>
          <w:rPr>
            <w:webHidden/>
          </w:rPr>
          <w:instrText>PAGEREF _Toc527969432 \h</w:instrText>
        </w:r>
        <w:r>
          <w:rPr>
            <w:webHidden/>
          </w:rPr>
        </w:r>
        <w:r>
          <w:rPr>
            <w:webHidden/>
          </w:rPr>
          <w:fldChar w:fldCharType="separate"/>
        </w:r>
        <w:r>
          <w:rPr>
            <w:rStyle w:val="Indeksirajvezu"/>
          </w:rPr>
          <w:tab/>
          <w:t>128</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33">
        <w:r>
          <w:rPr>
            <w:rStyle w:val="Indeksirajvezu"/>
            <w:webHidden/>
          </w:rPr>
          <w:t>6.5.1.4. Kontekst – Potres</w:t>
        </w:r>
        <w:r>
          <w:rPr>
            <w:webHidden/>
          </w:rPr>
          <w:fldChar w:fldCharType="begin"/>
        </w:r>
        <w:r>
          <w:rPr>
            <w:webHidden/>
          </w:rPr>
          <w:instrText>PAGEREF _Toc527969433 \h</w:instrText>
        </w:r>
        <w:r>
          <w:rPr>
            <w:webHidden/>
          </w:rPr>
        </w:r>
        <w:r>
          <w:rPr>
            <w:webHidden/>
          </w:rPr>
          <w:fldChar w:fldCharType="separate"/>
        </w:r>
        <w:r>
          <w:rPr>
            <w:rStyle w:val="Indeksirajvezu"/>
          </w:rPr>
          <w:tab/>
          <w:t>128</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34">
        <w:r>
          <w:rPr>
            <w:rStyle w:val="Indeksirajvezu"/>
            <w:webHidden/>
          </w:rPr>
          <w:t>6.5.1.5. Uzrok pojave potresa</w:t>
        </w:r>
        <w:r>
          <w:rPr>
            <w:webHidden/>
          </w:rPr>
          <w:fldChar w:fldCharType="begin"/>
        </w:r>
        <w:r>
          <w:rPr>
            <w:webHidden/>
          </w:rPr>
          <w:instrText>PAGEREF _Toc527969434 \h</w:instrText>
        </w:r>
        <w:r>
          <w:rPr>
            <w:webHidden/>
          </w:rPr>
        </w:r>
        <w:r>
          <w:rPr>
            <w:webHidden/>
          </w:rPr>
          <w:fldChar w:fldCharType="separate"/>
        </w:r>
        <w:r>
          <w:rPr>
            <w:rStyle w:val="Indeksirajvezu"/>
          </w:rPr>
          <w:tab/>
          <w:t>129</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435">
        <w:r>
          <w:rPr>
            <w:rStyle w:val="Indeksirajvezu"/>
            <w:webHidden/>
          </w:rPr>
          <w:t>6.5.1.5.1. Razvoj događaja koji prethodi velikoj nesreći nast</w:t>
        </w:r>
        <w:r>
          <w:rPr>
            <w:rStyle w:val="Indeksirajvezu"/>
            <w:webHidden/>
          </w:rPr>
          <w:t>aloj potresom</w:t>
        </w:r>
        <w:r>
          <w:rPr>
            <w:webHidden/>
          </w:rPr>
          <w:fldChar w:fldCharType="begin"/>
        </w:r>
        <w:r>
          <w:rPr>
            <w:webHidden/>
          </w:rPr>
          <w:instrText>PAGEREF _Toc527969435 \h</w:instrText>
        </w:r>
        <w:r>
          <w:rPr>
            <w:webHidden/>
          </w:rPr>
        </w:r>
        <w:r>
          <w:rPr>
            <w:webHidden/>
          </w:rPr>
          <w:fldChar w:fldCharType="separate"/>
        </w:r>
        <w:r>
          <w:rPr>
            <w:rStyle w:val="Indeksirajvezu"/>
          </w:rPr>
          <w:tab/>
          <w:t>130</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436">
        <w:r>
          <w:rPr>
            <w:rStyle w:val="Indeksirajvezu"/>
            <w:webHidden/>
          </w:rPr>
          <w:t>6.5.1.5.2. Okidač koji je uzrokovao veliku nesreću prouzročenu potresom</w:t>
        </w:r>
        <w:r>
          <w:rPr>
            <w:webHidden/>
          </w:rPr>
          <w:fldChar w:fldCharType="begin"/>
        </w:r>
        <w:r>
          <w:rPr>
            <w:webHidden/>
          </w:rPr>
          <w:instrText>PAGEREF _Toc527969436 \h</w:instrText>
        </w:r>
        <w:r>
          <w:rPr>
            <w:webHidden/>
          </w:rPr>
        </w:r>
        <w:r>
          <w:rPr>
            <w:webHidden/>
          </w:rPr>
          <w:fldChar w:fldCharType="separate"/>
        </w:r>
        <w:r>
          <w:rPr>
            <w:rStyle w:val="Indeksirajvezu"/>
          </w:rPr>
          <w:tab/>
          <w:t>130</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37">
        <w:r>
          <w:rPr>
            <w:rStyle w:val="Indeksirajvezu"/>
            <w:webHidden/>
          </w:rPr>
          <w:t>6.5.2. Opis događaja – Potres</w:t>
        </w:r>
        <w:r>
          <w:rPr>
            <w:webHidden/>
          </w:rPr>
          <w:fldChar w:fldCharType="begin"/>
        </w:r>
        <w:r>
          <w:rPr>
            <w:webHidden/>
          </w:rPr>
          <w:instrText>PAGEREF _Toc527969437 \h</w:instrText>
        </w:r>
        <w:r>
          <w:rPr>
            <w:webHidden/>
          </w:rPr>
        </w:r>
        <w:r>
          <w:rPr>
            <w:webHidden/>
          </w:rPr>
          <w:fldChar w:fldCharType="separate"/>
        </w:r>
        <w:r>
          <w:rPr>
            <w:rStyle w:val="Indeksirajvezu"/>
          </w:rPr>
          <w:tab/>
          <w:t>130</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38">
        <w:r>
          <w:rPr>
            <w:rStyle w:val="Indeksirajvezu"/>
            <w:webHidden/>
          </w:rPr>
          <w:t>6.5.2.1. Događaj s najgorim mogućim posljedicama – Podrhtavanje tla na području Općine uzrokovano potresom jačine 8° MCS</w:t>
        </w:r>
        <w:r>
          <w:rPr>
            <w:webHidden/>
          </w:rPr>
          <w:fldChar w:fldCharType="begin"/>
        </w:r>
        <w:r>
          <w:rPr>
            <w:webHidden/>
          </w:rPr>
          <w:instrText>PAGEREF _Toc527969438 \h</w:instrText>
        </w:r>
        <w:r>
          <w:rPr>
            <w:webHidden/>
          </w:rPr>
        </w:r>
        <w:r>
          <w:rPr>
            <w:webHidden/>
          </w:rPr>
          <w:fldChar w:fldCharType="separate"/>
        </w:r>
        <w:r>
          <w:rPr>
            <w:rStyle w:val="Indeksirajvezu"/>
          </w:rPr>
          <w:tab/>
          <w:t>130</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439">
        <w:r>
          <w:rPr>
            <w:rStyle w:val="Indeksirajvezu"/>
            <w:webHidden/>
          </w:rPr>
          <w:t>6.5.2.1.1. Posljedice – Potres</w:t>
        </w:r>
        <w:r>
          <w:rPr>
            <w:webHidden/>
          </w:rPr>
          <w:fldChar w:fldCharType="begin"/>
        </w:r>
        <w:r>
          <w:rPr>
            <w:webHidden/>
          </w:rPr>
          <w:instrText>PAGEREF _Toc527969439 \h</w:instrText>
        </w:r>
        <w:r>
          <w:rPr>
            <w:webHidden/>
          </w:rPr>
        </w:r>
        <w:r>
          <w:rPr>
            <w:webHidden/>
          </w:rPr>
          <w:fldChar w:fldCharType="separate"/>
        </w:r>
        <w:r>
          <w:rPr>
            <w:rStyle w:val="Indeksirajvezu"/>
          </w:rPr>
          <w:tab/>
          <w:t>139</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440">
        <w:r>
          <w:rPr>
            <w:rStyle w:val="Indeksirajvezu"/>
            <w:webHidden/>
          </w:rPr>
          <w:t xml:space="preserve">6.5.2.1.2. Vjerojatnost nastanka događaja s najgorim mogućim posljedicama uslijed </w:t>
        </w:r>
        <w:r>
          <w:rPr>
            <w:rStyle w:val="Indeksirajvezu"/>
            <w:webHidden/>
          </w:rPr>
          <w:t>potresa</w:t>
        </w:r>
        <w:r>
          <w:rPr>
            <w:webHidden/>
          </w:rPr>
          <w:fldChar w:fldCharType="begin"/>
        </w:r>
        <w:r>
          <w:rPr>
            <w:webHidden/>
          </w:rPr>
          <w:instrText>PAGEREF _Toc527969440 \h</w:instrText>
        </w:r>
        <w:r>
          <w:rPr>
            <w:webHidden/>
          </w:rPr>
        </w:r>
        <w:r>
          <w:rPr>
            <w:webHidden/>
          </w:rPr>
          <w:fldChar w:fldCharType="separate"/>
        </w:r>
        <w:r>
          <w:rPr>
            <w:rStyle w:val="Indeksirajvezu"/>
          </w:rPr>
          <w:tab/>
          <w:t>141</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41">
        <w:r>
          <w:rPr>
            <w:rStyle w:val="Indeksirajvezu"/>
            <w:webHidden/>
          </w:rPr>
          <w:t>6.5.3. Matrice rizika – Potres</w:t>
        </w:r>
        <w:r>
          <w:rPr>
            <w:webHidden/>
          </w:rPr>
          <w:fldChar w:fldCharType="begin"/>
        </w:r>
        <w:r>
          <w:rPr>
            <w:webHidden/>
          </w:rPr>
          <w:instrText>PAGEREF _Toc527969441 \h</w:instrText>
        </w:r>
        <w:r>
          <w:rPr>
            <w:webHidden/>
          </w:rPr>
        </w:r>
        <w:r>
          <w:rPr>
            <w:webHidden/>
          </w:rPr>
          <w:fldChar w:fldCharType="separate"/>
        </w:r>
        <w:r>
          <w:rPr>
            <w:rStyle w:val="Indeksirajvezu"/>
          </w:rPr>
          <w:tab/>
          <w:t>143</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42">
        <w:r>
          <w:rPr>
            <w:rStyle w:val="Indeksirajvezu"/>
            <w:webHidden/>
          </w:rPr>
          <w:t>6.5.4. Izvor podataka</w:t>
        </w:r>
        <w:r>
          <w:rPr>
            <w:webHidden/>
          </w:rPr>
          <w:fldChar w:fldCharType="begin"/>
        </w:r>
        <w:r>
          <w:rPr>
            <w:webHidden/>
          </w:rPr>
          <w:instrText>PAGEREF _Toc527969442 \h</w:instrText>
        </w:r>
        <w:r>
          <w:rPr>
            <w:webHidden/>
          </w:rPr>
        </w:r>
        <w:r>
          <w:rPr>
            <w:webHidden/>
          </w:rPr>
          <w:fldChar w:fldCharType="separate"/>
        </w:r>
        <w:r>
          <w:rPr>
            <w:rStyle w:val="Indeksirajvezu"/>
          </w:rPr>
          <w:tab/>
          <w:t>144</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443">
        <w:r>
          <w:rPr>
            <w:rStyle w:val="Indeksirajvezu"/>
            <w:webHidden/>
          </w:rPr>
          <w:t>6.6. Tehničko – tehnološke nesreće s opasnim tvarima</w:t>
        </w:r>
        <w:r>
          <w:rPr>
            <w:webHidden/>
          </w:rPr>
          <w:fldChar w:fldCharType="begin"/>
        </w:r>
        <w:r>
          <w:rPr>
            <w:webHidden/>
          </w:rPr>
          <w:instrText>PAGER</w:instrText>
        </w:r>
        <w:r>
          <w:rPr>
            <w:webHidden/>
          </w:rPr>
          <w:instrText>EF _Toc527969443 \h</w:instrText>
        </w:r>
        <w:r>
          <w:rPr>
            <w:webHidden/>
          </w:rPr>
        </w:r>
        <w:r>
          <w:rPr>
            <w:webHidden/>
          </w:rPr>
          <w:fldChar w:fldCharType="separate"/>
        </w:r>
        <w:r>
          <w:rPr>
            <w:rStyle w:val="Indeksirajvezu"/>
          </w:rPr>
          <w:tab/>
          <w:t>145</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44">
        <w:r>
          <w:rPr>
            <w:rStyle w:val="Indeksirajvezu"/>
            <w:webHidden/>
          </w:rPr>
          <w:t>6.6.1. RIZIK – Industrijske nesreće</w:t>
        </w:r>
        <w:r>
          <w:rPr>
            <w:webHidden/>
          </w:rPr>
          <w:fldChar w:fldCharType="begin"/>
        </w:r>
        <w:r>
          <w:rPr>
            <w:webHidden/>
          </w:rPr>
          <w:instrText>PAGEREF _Toc527969444 \h</w:instrText>
        </w:r>
        <w:r>
          <w:rPr>
            <w:webHidden/>
          </w:rPr>
        </w:r>
        <w:r>
          <w:rPr>
            <w:webHidden/>
          </w:rPr>
          <w:fldChar w:fldCharType="separate"/>
        </w:r>
        <w:r>
          <w:rPr>
            <w:rStyle w:val="Indeksirajvezu"/>
          </w:rPr>
          <w:tab/>
          <w:t>145</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45">
        <w:r>
          <w:rPr>
            <w:rStyle w:val="Indeksirajvezu"/>
            <w:webHidden/>
          </w:rPr>
          <w:t>6.6.1.1. NAZIV SCENARIJA - Istjecanje sadržaja autocisterne na površinu i njezino zapaljenje s opasnošću od eksplozije</w:t>
        </w:r>
        <w:r>
          <w:rPr>
            <w:webHidden/>
          </w:rPr>
          <w:fldChar w:fldCharType="begin"/>
        </w:r>
        <w:r>
          <w:rPr>
            <w:webHidden/>
          </w:rPr>
          <w:instrText>PAGEREF _Toc527969445 \h</w:instrText>
        </w:r>
        <w:r>
          <w:rPr>
            <w:webHidden/>
          </w:rPr>
        </w:r>
        <w:r>
          <w:rPr>
            <w:webHidden/>
          </w:rPr>
          <w:fldChar w:fldCharType="separate"/>
        </w:r>
        <w:r>
          <w:rPr>
            <w:rStyle w:val="Indeksirajvezu"/>
          </w:rPr>
          <w:tab/>
          <w:t>145</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46">
        <w:r>
          <w:rPr>
            <w:rStyle w:val="Indeksirajvezu"/>
            <w:webHidden/>
          </w:rPr>
          <w:t>6.6.1.2. Uvod – Industrijske nesreće</w:t>
        </w:r>
        <w:r>
          <w:rPr>
            <w:webHidden/>
          </w:rPr>
          <w:fldChar w:fldCharType="begin"/>
        </w:r>
        <w:r>
          <w:rPr>
            <w:webHidden/>
          </w:rPr>
          <w:instrText>PAGEREF _Toc527969446 \h</w:instrText>
        </w:r>
        <w:r>
          <w:rPr>
            <w:webHidden/>
          </w:rPr>
        </w:r>
        <w:r>
          <w:rPr>
            <w:webHidden/>
          </w:rPr>
          <w:fldChar w:fldCharType="separate"/>
        </w:r>
        <w:r>
          <w:rPr>
            <w:rStyle w:val="Indeksirajvezu"/>
          </w:rPr>
          <w:tab/>
          <w:t>145</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47">
        <w:r>
          <w:rPr>
            <w:rStyle w:val="Indeksirajvezu"/>
            <w:webHidden/>
          </w:rPr>
          <w:t>6.6.1.3. Prikaz utjecaja industrijske nesreće na kritičnu infrastrukturu (KI)</w:t>
        </w:r>
        <w:r>
          <w:rPr>
            <w:webHidden/>
          </w:rPr>
          <w:fldChar w:fldCharType="begin"/>
        </w:r>
        <w:r>
          <w:rPr>
            <w:webHidden/>
          </w:rPr>
          <w:instrText>PAGEREF _Toc527969447 \h</w:instrText>
        </w:r>
        <w:r>
          <w:rPr>
            <w:webHidden/>
          </w:rPr>
        </w:r>
        <w:r>
          <w:rPr>
            <w:webHidden/>
          </w:rPr>
          <w:fldChar w:fldCharType="separate"/>
        </w:r>
        <w:r>
          <w:rPr>
            <w:rStyle w:val="Indeksirajvezu"/>
          </w:rPr>
          <w:tab/>
          <w:t>146</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48">
        <w:r>
          <w:rPr>
            <w:rStyle w:val="Indeksirajvezu"/>
            <w:webHidden/>
            <w:shd w:val="clear" w:color="auto" w:fill="FFFFFF"/>
          </w:rPr>
          <w:t xml:space="preserve">6.6.1.4. Kontekst – Industrijska </w:t>
        </w:r>
        <w:r>
          <w:rPr>
            <w:rStyle w:val="Indeksirajvezu"/>
            <w:webHidden/>
            <w:shd w:val="clear" w:color="auto" w:fill="FFFFFF"/>
          </w:rPr>
          <w:t>nesreća</w:t>
        </w:r>
        <w:r>
          <w:rPr>
            <w:webHidden/>
          </w:rPr>
          <w:fldChar w:fldCharType="begin"/>
        </w:r>
        <w:r>
          <w:rPr>
            <w:webHidden/>
          </w:rPr>
          <w:instrText>PAGEREF _Toc527969448 \h</w:instrText>
        </w:r>
        <w:r>
          <w:rPr>
            <w:webHidden/>
          </w:rPr>
        </w:r>
        <w:r>
          <w:rPr>
            <w:webHidden/>
          </w:rPr>
          <w:fldChar w:fldCharType="separate"/>
        </w:r>
        <w:r>
          <w:rPr>
            <w:rStyle w:val="Indeksirajvezu"/>
          </w:rPr>
          <w:tab/>
          <w:t>146</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49">
        <w:r>
          <w:rPr>
            <w:rStyle w:val="Indeksirajvezu"/>
            <w:webHidden/>
            <w:lang w:eastAsia="hr-HR"/>
          </w:rPr>
          <w:t>6.6.1.5. Uzrok industrijske nesreće</w:t>
        </w:r>
        <w:r>
          <w:rPr>
            <w:webHidden/>
          </w:rPr>
          <w:fldChar w:fldCharType="begin"/>
        </w:r>
        <w:r>
          <w:rPr>
            <w:webHidden/>
          </w:rPr>
          <w:instrText>PAGEREF _Toc527969449 \h</w:instrText>
        </w:r>
        <w:r>
          <w:rPr>
            <w:webHidden/>
          </w:rPr>
        </w:r>
        <w:r>
          <w:rPr>
            <w:webHidden/>
          </w:rPr>
          <w:fldChar w:fldCharType="separate"/>
        </w:r>
        <w:r>
          <w:rPr>
            <w:rStyle w:val="Indeksirajvezu"/>
          </w:rPr>
          <w:tab/>
          <w:t>147</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450">
        <w:r>
          <w:rPr>
            <w:rStyle w:val="Indeksirajvezu"/>
            <w:webHidden/>
          </w:rPr>
          <w:t>6.6.1.5.1. Razvoj događaja koji prethodi velikoj nesreći uslijed industrijske nesreće</w:t>
        </w:r>
        <w:r>
          <w:rPr>
            <w:webHidden/>
          </w:rPr>
          <w:fldChar w:fldCharType="begin"/>
        </w:r>
        <w:r>
          <w:rPr>
            <w:webHidden/>
          </w:rPr>
          <w:instrText>PAGEREF _Toc527969450 \h</w:instrText>
        </w:r>
        <w:r>
          <w:rPr>
            <w:webHidden/>
          </w:rPr>
        </w:r>
        <w:r>
          <w:rPr>
            <w:webHidden/>
          </w:rPr>
          <w:fldChar w:fldCharType="separate"/>
        </w:r>
        <w:r>
          <w:rPr>
            <w:rStyle w:val="Indeksirajvezu"/>
          </w:rPr>
          <w:tab/>
          <w:t>149</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451">
        <w:r>
          <w:rPr>
            <w:rStyle w:val="Indeksirajvezu"/>
            <w:webHidden/>
          </w:rPr>
          <w:t>6.6.1.5.2. Okidač koji je uzrokovao veliku nesreću uslijed industrijske nesreće</w:t>
        </w:r>
        <w:r>
          <w:rPr>
            <w:webHidden/>
          </w:rPr>
          <w:fldChar w:fldCharType="begin"/>
        </w:r>
        <w:r>
          <w:rPr>
            <w:webHidden/>
          </w:rPr>
          <w:instrText>PAGEREF _Toc527969451 \h</w:instrText>
        </w:r>
        <w:r>
          <w:rPr>
            <w:webHidden/>
          </w:rPr>
        </w:r>
        <w:r>
          <w:rPr>
            <w:webHidden/>
          </w:rPr>
          <w:fldChar w:fldCharType="separate"/>
        </w:r>
        <w:r>
          <w:rPr>
            <w:rStyle w:val="Indeksirajvezu"/>
          </w:rPr>
          <w:tab/>
          <w:t>149</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52">
        <w:r>
          <w:rPr>
            <w:rStyle w:val="Indeksirajvezu"/>
            <w:webHidden/>
          </w:rPr>
          <w:t>6.6.2. Opis</w:t>
        </w:r>
        <w:r>
          <w:rPr>
            <w:rStyle w:val="Indeksirajvezu"/>
            <w:webHidden/>
          </w:rPr>
          <w:t xml:space="preserve"> događaja – Industrijske nesreće</w:t>
        </w:r>
        <w:r>
          <w:rPr>
            <w:webHidden/>
          </w:rPr>
          <w:fldChar w:fldCharType="begin"/>
        </w:r>
        <w:r>
          <w:rPr>
            <w:webHidden/>
          </w:rPr>
          <w:instrText>PAGEREF _Toc527969452 \h</w:instrText>
        </w:r>
        <w:r>
          <w:rPr>
            <w:webHidden/>
          </w:rPr>
        </w:r>
        <w:r>
          <w:rPr>
            <w:webHidden/>
          </w:rPr>
          <w:fldChar w:fldCharType="separate"/>
        </w:r>
        <w:r>
          <w:rPr>
            <w:rStyle w:val="Indeksirajvezu"/>
          </w:rPr>
          <w:tab/>
          <w:t>149</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53">
        <w:r>
          <w:rPr>
            <w:rStyle w:val="Indeksirajvezu"/>
            <w:webHidden/>
          </w:rPr>
          <w:t>6.6.2.1. Događaj s najgorim mogućim posljedicama – Istjecanje sadržaja autocisterne na povr</w:t>
        </w:r>
        <w:r>
          <w:rPr>
            <w:rStyle w:val="Indeksirajvezu"/>
            <w:webHidden/>
          </w:rPr>
          <w:t>šinu i njezino zapaljenje s opasnošću od eksplozije</w:t>
        </w:r>
        <w:r>
          <w:rPr>
            <w:webHidden/>
          </w:rPr>
          <w:fldChar w:fldCharType="begin"/>
        </w:r>
        <w:r>
          <w:rPr>
            <w:webHidden/>
          </w:rPr>
          <w:instrText>PAGEREF _Toc527969453 \h</w:instrText>
        </w:r>
        <w:r>
          <w:rPr>
            <w:webHidden/>
          </w:rPr>
        </w:r>
        <w:r>
          <w:rPr>
            <w:webHidden/>
          </w:rPr>
          <w:fldChar w:fldCharType="separate"/>
        </w:r>
        <w:r>
          <w:rPr>
            <w:rStyle w:val="Indeksirajvezu"/>
          </w:rPr>
          <w:tab/>
          <w:t>149</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454">
        <w:r>
          <w:rPr>
            <w:rStyle w:val="Indeksirajvezu"/>
            <w:webHidden/>
          </w:rPr>
          <w:t>6.6.2.1.1. Posljedice – Industrijska nesreća</w:t>
        </w:r>
        <w:r>
          <w:rPr>
            <w:webHidden/>
          </w:rPr>
          <w:fldChar w:fldCharType="begin"/>
        </w:r>
        <w:r>
          <w:rPr>
            <w:webHidden/>
          </w:rPr>
          <w:instrText>PAGEREF _Toc527969454 \h</w:instrText>
        </w:r>
        <w:r>
          <w:rPr>
            <w:webHidden/>
          </w:rPr>
        </w:r>
        <w:r>
          <w:rPr>
            <w:webHidden/>
          </w:rPr>
          <w:fldChar w:fldCharType="separate"/>
        </w:r>
        <w:r>
          <w:rPr>
            <w:rStyle w:val="Indeksirajvezu"/>
          </w:rPr>
          <w:tab/>
          <w:t>153</w:t>
        </w:r>
        <w:r>
          <w:rPr>
            <w:webHidden/>
          </w:rPr>
          <w:fldChar w:fldCharType="end"/>
        </w:r>
      </w:hyperlink>
    </w:p>
    <w:p w:rsidR="008F0D85" w:rsidRDefault="00AE42A1">
      <w:pPr>
        <w:pStyle w:val="Sadraj5"/>
        <w:tabs>
          <w:tab w:val="right" w:leader="dot" w:pos="9062"/>
        </w:tabs>
        <w:rPr>
          <w:rFonts w:cs="Times New Roman"/>
          <w:sz w:val="22"/>
          <w:szCs w:val="22"/>
          <w:lang w:eastAsia="hr-HR"/>
        </w:rPr>
      </w:pPr>
      <w:hyperlink w:anchor="_Toc527969455">
        <w:r>
          <w:rPr>
            <w:rStyle w:val="Indeksirajvezu"/>
            <w:webHidden/>
          </w:rPr>
          <w:t>6.6.2.1.2. Vjerojatnost nastanka događaja s najgorim mogućim posljedicama uslijed industrijske nesreće na području Općine</w:t>
        </w:r>
        <w:r>
          <w:rPr>
            <w:webHidden/>
          </w:rPr>
          <w:fldChar w:fldCharType="begin"/>
        </w:r>
        <w:r>
          <w:rPr>
            <w:webHidden/>
          </w:rPr>
          <w:instrText>PAGEREF _Toc527969455 \h</w:instrText>
        </w:r>
        <w:r>
          <w:rPr>
            <w:webHidden/>
          </w:rPr>
        </w:r>
        <w:r>
          <w:rPr>
            <w:webHidden/>
          </w:rPr>
          <w:fldChar w:fldCharType="separate"/>
        </w:r>
        <w:r>
          <w:rPr>
            <w:rStyle w:val="Indeksirajvezu"/>
          </w:rPr>
          <w:tab/>
          <w:t>157</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56">
        <w:r>
          <w:rPr>
            <w:rStyle w:val="Indeksirajvezu"/>
            <w:webHidden/>
          </w:rPr>
          <w:t>6.6.3. Matrica rizika – Tehničko – tehnološke nesreće s opasnim tvarima</w:t>
        </w:r>
        <w:r>
          <w:rPr>
            <w:webHidden/>
          </w:rPr>
          <w:fldChar w:fldCharType="begin"/>
        </w:r>
        <w:r>
          <w:rPr>
            <w:webHidden/>
          </w:rPr>
          <w:instrText>PAGEREF _Toc527969456 \h</w:instrText>
        </w:r>
        <w:r>
          <w:rPr>
            <w:webHidden/>
          </w:rPr>
        </w:r>
        <w:r>
          <w:rPr>
            <w:webHidden/>
          </w:rPr>
          <w:fldChar w:fldCharType="separate"/>
        </w:r>
        <w:r>
          <w:rPr>
            <w:rStyle w:val="Indeksirajvezu"/>
          </w:rPr>
          <w:tab/>
          <w:t>158</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57">
        <w:r>
          <w:rPr>
            <w:rStyle w:val="Indeksirajvezu"/>
            <w:webHidden/>
          </w:rPr>
          <w:t>6.6.4. Izvor podataka</w:t>
        </w:r>
        <w:r>
          <w:rPr>
            <w:webHidden/>
          </w:rPr>
          <w:fldChar w:fldCharType="begin"/>
        </w:r>
        <w:r>
          <w:rPr>
            <w:webHidden/>
          </w:rPr>
          <w:instrText>PAGEREF _Toc527969457 \h</w:instrText>
        </w:r>
        <w:r>
          <w:rPr>
            <w:webHidden/>
          </w:rPr>
        </w:r>
        <w:r>
          <w:rPr>
            <w:webHidden/>
          </w:rPr>
          <w:fldChar w:fldCharType="separate"/>
        </w:r>
        <w:r>
          <w:rPr>
            <w:rStyle w:val="Indeksirajvezu"/>
          </w:rPr>
          <w:tab/>
          <w:t>159</w:t>
        </w:r>
        <w:r>
          <w:rPr>
            <w:webHidden/>
          </w:rPr>
          <w:fldChar w:fldCharType="end"/>
        </w:r>
      </w:hyperlink>
    </w:p>
    <w:p w:rsidR="008F0D85" w:rsidRDefault="00AE42A1">
      <w:pPr>
        <w:pStyle w:val="Sadraj1"/>
        <w:tabs>
          <w:tab w:val="right" w:leader="dot" w:pos="9062"/>
        </w:tabs>
        <w:rPr>
          <w:rFonts w:cs="Times New Roman"/>
          <w:b w:val="0"/>
          <w:bCs w:val="0"/>
          <w:caps w:val="0"/>
          <w:sz w:val="22"/>
          <w:szCs w:val="22"/>
          <w:lang w:eastAsia="hr-HR"/>
        </w:rPr>
      </w:pPr>
      <w:hyperlink w:anchor="_Toc527969458">
        <w:r>
          <w:rPr>
            <w:rStyle w:val="Indeksirajvezu"/>
            <w:webHidden/>
            <w:lang w:eastAsia="hr-HR"/>
          </w:rPr>
          <w:t>7. MATRICA RIZIKA – USPOREDBA RIZIKA</w:t>
        </w:r>
        <w:r>
          <w:rPr>
            <w:webHidden/>
          </w:rPr>
          <w:fldChar w:fldCharType="begin"/>
        </w:r>
        <w:r>
          <w:rPr>
            <w:webHidden/>
          </w:rPr>
          <w:instrText>PAGEREF _Toc527969458 \h</w:instrText>
        </w:r>
        <w:r>
          <w:rPr>
            <w:webHidden/>
          </w:rPr>
        </w:r>
        <w:r>
          <w:rPr>
            <w:webHidden/>
          </w:rPr>
          <w:fldChar w:fldCharType="separate"/>
        </w:r>
        <w:r>
          <w:rPr>
            <w:rStyle w:val="Indeksirajvezu"/>
          </w:rPr>
          <w:tab/>
          <w:t>160</w:t>
        </w:r>
        <w:r>
          <w:rPr>
            <w:webHidden/>
          </w:rPr>
          <w:fldChar w:fldCharType="end"/>
        </w:r>
      </w:hyperlink>
    </w:p>
    <w:p w:rsidR="008F0D85" w:rsidRDefault="00AE42A1">
      <w:pPr>
        <w:pStyle w:val="Sadraj1"/>
        <w:tabs>
          <w:tab w:val="right" w:leader="dot" w:pos="9062"/>
        </w:tabs>
        <w:rPr>
          <w:rFonts w:cs="Times New Roman"/>
          <w:b w:val="0"/>
          <w:bCs w:val="0"/>
          <w:caps w:val="0"/>
          <w:sz w:val="22"/>
          <w:szCs w:val="22"/>
          <w:lang w:eastAsia="hr-HR"/>
        </w:rPr>
      </w:pPr>
      <w:hyperlink w:anchor="_Toc527969459">
        <w:r>
          <w:rPr>
            <w:rStyle w:val="Indeksirajvezu"/>
            <w:webHidden/>
            <w:lang w:eastAsia="hr-HR"/>
          </w:rPr>
          <w:t>8. ANALIZA SUSTAVA CIVILNE ZAŠTITE NA PODRUČJU OPĆINE</w:t>
        </w:r>
        <w:r>
          <w:rPr>
            <w:webHidden/>
          </w:rPr>
          <w:fldChar w:fldCharType="begin"/>
        </w:r>
        <w:r>
          <w:rPr>
            <w:webHidden/>
          </w:rPr>
          <w:instrText>PAGEREF _Toc527969459 \h</w:instrText>
        </w:r>
        <w:r>
          <w:rPr>
            <w:webHidden/>
          </w:rPr>
        </w:r>
        <w:r>
          <w:rPr>
            <w:webHidden/>
          </w:rPr>
          <w:fldChar w:fldCharType="separate"/>
        </w:r>
        <w:r>
          <w:rPr>
            <w:rStyle w:val="Indeksirajvezu"/>
          </w:rPr>
          <w:tab/>
          <w:t>161</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460">
        <w:r>
          <w:rPr>
            <w:rStyle w:val="Indeksirajvezu"/>
            <w:webHidden/>
          </w:rPr>
          <w:t>8.1. Analiza na području preventive</w:t>
        </w:r>
        <w:r>
          <w:rPr>
            <w:webHidden/>
          </w:rPr>
          <w:fldChar w:fldCharType="begin"/>
        </w:r>
        <w:r>
          <w:rPr>
            <w:webHidden/>
          </w:rPr>
          <w:instrText xml:space="preserve">PAGEREF _Toc527969460 </w:instrText>
        </w:r>
        <w:r>
          <w:rPr>
            <w:webHidden/>
          </w:rPr>
          <w:instrText>\h</w:instrText>
        </w:r>
        <w:r>
          <w:rPr>
            <w:webHidden/>
          </w:rPr>
        </w:r>
        <w:r>
          <w:rPr>
            <w:webHidden/>
          </w:rPr>
          <w:fldChar w:fldCharType="separate"/>
        </w:r>
        <w:r>
          <w:rPr>
            <w:rStyle w:val="Indeksirajvezu"/>
          </w:rPr>
          <w:tab/>
          <w:t>161</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61">
        <w:r>
          <w:rPr>
            <w:rStyle w:val="Indeksirajvezu"/>
            <w:webHidden/>
          </w:rPr>
          <w:t>8.1.1. Usvojenost strategija, normativne uređenosti te izrađenost procjena i planova od značaja za sustav civilne zaštite</w:t>
        </w:r>
        <w:r>
          <w:rPr>
            <w:webHidden/>
          </w:rPr>
          <w:fldChar w:fldCharType="begin"/>
        </w:r>
        <w:r>
          <w:rPr>
            <w:webHidden/>
          </w:rPr>
          <w:instrText>PAGEREF _Toc527969461 \h</w:instrText>
        </w:r>
        <w:r>
          <w:rPr>
            <w:webHidden/>
          </w:rPr>
        </w:r>
        <w:r>
          <w:rPr>
            <w:webHidden/>
          </w:rPr>
          <w:fldChar w:fldCharType="separate"/>
        </w:r>
        <w:r>
          <w:rPr>
            <w:rStyle w:val="Indeksirajvezu"/>
          </w:rPr>
          <w:tab/>
          <w:t>161</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62">
        <w:r>
          <w:rPr>
            <w:rStyle w:val="Indeksirajvezu"/>
            <w:webHidden/>
          </w:rPr>
          <w:t>8.1.2. Sustavi ranog upozoravanja i suradnje sa susjednim jedinicama lokalne i područne (regionalne) samouprave</w:t>
        </w:r>
        <w:r>
          <w:rPr>
            <w:webHidden/>
          </w:rPr>
          <w:fldChar w:fldCharType="begin"/>
        </w:r>
        <w:r>
          <w:rPr>
            <w:webHidden/>
          </w:rPr>
          <w:instrText>PAGEREF _Toc527969462 \h</w:instrText>
        </w:r>
        <w:r>
          <w:rPr>
            <w:webHidden/>
          </w:rPr>
        </w:r>
        <w:r>
          <w:rPr>
            <w:webHidden/>
          </w:rPr>
          <w:fldChar w:fldCharType="separate"/>
        </w:r>
        <w:r>
          <w:rPr>
            <w:rStyle w:val="Indeksirajvezu"/>
          </w:rPr>
          <w:tab/>
          <w:t>162</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63">
        <w:r>
          <w:rPr>
            <w:rStyle w:val="Indeksirajvezu"/>
            <w:webHidden/>
          </w:rPr>
          <w:t>8.1.3. Stanje svijesti pojedinca, pripadnika ranjivih supina, upravljačkih i odgovornih tijela</w:t>
        </w:r>
        <w:r>
          <w:rPr>
            <w:webHidden/>
          </w:rPr>
          <w:fldChar w:fldCharType="begin"/>
        </w:r>
        <w:r>
          <w:rPr>
            <w:webHidden/>
          </w:rPr>
          <w:instrText>PAGEREF _Toc527969463 \h</w:instrText>
        </w:r>
        <w:r>
          <w:rPr>
            <w:webHidden/>
          </w:rPr>
        </w:r>
        <w:r>
          <w:rPr>
            <w:webHidden/>
          </w:rPr>
          <w:fldChar w:fldCharType="separate"/>
        </w:r>
        <w:r>
          <w:rPr>
            <w:rStyle w:val="Indeksirajvezu"/>
          </w:rPr>
          <w:tab/>
          <w:t>163</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64">
        <w:r>
          <w:rPr>
            <w:rStyle w:val="Indeksirajvezu"/>
            <w:webHidden/>
          </w:rPr>
          <w:t>8.1.4. Ocjena planiranja, izrade prostornih i urbanističkih planova razvoja, planskog korištenja zemljišta</w:t>
        </w:r>
        <w:r>
          <w:rPr>
            <w:webHidden/>
          </w:rPr>
          <w:fldChar w:fldCharType="begin"/>
        </w:r>
        <w:r>
          <w:rPr>
            <w:webHidden/>
          </w:rPr>
          <w:instrText>PAGEREF _Toc527969464 \h</w:instrText>
        </w:r>
        <w:r>
          <w:rPr>
            <w:webHidden/>
          </w:rPr>
        </w:r>
        <w:r>
          <w:rPr>
            <w:webHidden/>
          </w:rPr>
          <w:fldChar w:fldCharType="separate"/>
        </w:r>
        <w:r>
          <w:rPr>
            <w:rStyle w:val="Indeksirajvezu"/>
          </w:rPr>
          <w:tab/>
          <w:t>164</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65">
        <w:r>
          <w:rPr>
            <w:rStyle w:val="Indeksirajvezu"/>
            <w:webHidden/>
          </w:rPr>
          <w:t>8.1.5. Ocjena fiskalne situacije i njezine perspektive na području Općine</w:t>
        </w:r>
        <w:r>
          <w:rPr>
            <w:webHidden/>
          </w:rPr>
          <w:fldChar w:fldCharType="begin"/>
        </w:r>
        <w:r>
          <w:rPr>
            <w:webHidden/>
          </w:rPr>
          <w:instrText>PAGEREF _Toc527969465 \h</w:instrText>
        </w:r>
        <w:r>
          <w:rPr>
            <w:webHidden/>
          </w:rPr>
        </w:r>
        <w:r>
          <w:rPr>
            <w:webHidden/>
          </w:rPr>
          <w:fldChar w:fldCharType="separate"/>
        </w:r>
        <w:r>
          <w:rPr>
            <w:rStyle w:val="Indeksirajvezu"/>
          </w:rPr>
          <w:tab/>
          <w:t>165</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66">
        <w:r>
          <w:rPr>
            <w:rStyle w:val="Indeksirajvezu"/>
            <w:webHidden/>
          </w:rPr>
          <w:t>8.1.6. Baza podataka</w:t>
        </w:r>
        <w:r>
          <w:rPr>
            <w:webHidden/>
          </w:rPr>
          <w:fldChar w:fldCharType="begin"/>
        </w:r>
        <w:r>
          <w:rPr>
            <w:webHidden/>
          </w:rPr>
          <w:instrText>PAGEREF _Toc527969466 \h</w:instrText>
        </w:r>
        <w:r>
          <w:rPr>
            <w:webHidden/>
          </w:rPr>
        </w:r>
        <w:r>
          <w:rPr>
            <w:webHidden/>
          </w:rPr>
          <w:fldChar w:fldCharType="separate"/>
        </w:r>
        <w:r>
          <w:rPr>
            <w:rStyle w:val="Indeksirajvezu"/>
          </w:rPr>
          <w:tab/>
          <w:t>165</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467">
        <w:r>
          <w:rPr>
            <w:rStyle w:val="Indeksirajvezu"/>
            <w:webHidden/>
          </w:rPr>
          <w:t>8.2. Analiza na području reagiranja</w:t>
        </w:r>
        <w:r>
          <w:rPr>
            <w:webHidden/>
          </w:rPr>
          <w:fldChar w:fldCharType="begin"/>
        </w:r>
        <w:r>
          <w:rPr>
            <w:webHidden/>
          </w:rPr>
          <w:instrText>PAGEREF _Toc527969467 \h</w:instrText>
        </w:r>
        <w:r>
          <w:rPr>
            <w:webHidden/>
          </w:rPr>
        </w:r>
        <w:r>
          <w:rPr>
            <w:webHidden/>
          </w:rPr>
          <w:fldChar w:fldCharType="separate"/>
        </w:r>
        <w:r>
          <w:rPr>
            <w:rStyle w:val="Indeksirajvezu"/>
          </w:rPr>
          <w:tab/>
          <w:t>166</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68">
        <w:r>
          <w:rPr>
            <w:rStyle w:val="Indeksirajvezu"/>
            <w:webHidden/>
          </w:rPr>
          <w:t>8.2.1. Spremnost odgovornih i upravljačkih kapaciteta Općine</w:t>
        </w:r>
        <w:r>
          <w:rPr>
            <w:webHidden/>
          </w:rPr>
          <w:fldChar w:fldCharType="begin"/>
        </w:r>
        <w:r>
          <w:rPr>
            <w:webHidden/>
          </w:rPr>
          <w:instrText>PAGEREF _Toc527969468 \h</w:instrText>
        </w:r>
        <w:r>
          <w:rPr>
            <w:webHidden/>
          </w:rPr>
        </w:r>
        <w:r>
          <w:rPr>
            <w:webHidden/>
          </w:rPr>
          <w:fldChar w:fldCharType="separate"/>
        </w:r>
        <w:r>
          <w:rPr>
            <w:rStyle w:val="Indeksirajvezu"/>
          </w:rPr>
          <w:tab/>
          <w:t>166</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69">
        <w:r>
          <w:rPr>
            <w:rStyle w:val="Indeksirajvezu"/>
            <w:webHidden/>
          </w:rPr>
          <w:t>8.2.2. Spremnost operativnih kapaciteta Općine</w:t>
        </w:r>
        <w:r>
          <w:rPr>
            <w:webHidden/>
          </w:rPr>
          <w:fldChar w:fldCharType="begin"/>
        </w:r>
        <w:r>
          <w:rPr>
            <w:webHidden/>
          </w:rPr>
          <w:instrText>PAGEREF _Toc527969469 \h</w:instrText>
        </w:r>
        <w:r>
          <w:rPr>
            <w:webHidden/>
          </w:rPr>
        </w:r>
        <w:r>
          <w:rPr>
            <w:webHidden/>
          </w:rPr>
          <w:fldChar w:fldCharType="separate"/>
        </w:r>
        <w:r>
          <w:rPr>
            <w:rStyle w:val="Indeksirajvezu"/>
          </w:rPr>
          <w:tab/>
          <w:t>168</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70">
        <w:r>
          <w:rPr>
            <w:rStyle w:val="Indeksirajvezu"/>
            <w:webHidden/>
          </w:rPr>
          <w:t>8.2.3. Stanje mobilnosti operativnih kapaciteta sustava civilne zaštite i stanja komunikacijskih kapaciteta</w:t>
        </w:r>
        <w:r>
          <w:rPr>
            <w:webHidden/>
          </w:rPr>
          <w:fldChar w:fldCharType="begin"/>
        </w:r>
        <w:r>
          <w:rPr>
            <w:webHidden/>
          </w:rPr>
          <w:instrText>PAGEREF _Toc527969470 \h</w:instrText>
        </w:r>
        <w:r>
          <w:rPr>
            <w:webHidden/>
          </w:rPr>
        </w:r>
        <w:r>
          <w:rPr>
            <w:webHidden/>
          </w:rPr>
          <w:fldChar w:fldCharType="separate"/>
        </w:r>
        <w:r>
          <w:rPr>
            <w:rStyle w:val="Indeksirajvezu"/>
          </w:rPr>
          <w:tab/>
          <w:t>177</w:t>
        </w:r>
        <w:r>
          <w:rPr>
            <w:webHidden/>
          </w:rPr>
          <w:fldChar w:fldCharType="end"/>
        </w:r>
      </w:hyperlink>
    </w:p>
    <w:p w:rsidR="008F0D85" w:rsidRDefault="00AE42A1">
      <w:pPr>
        <w:pStyle w:val="Sadraj3"/>
        <w:tabs>
          <w:tab w:val="right" w:leader="dot" w:pos="9062"/>
        </w:tabs>
        <w:rPr>
          <w:rFonts w:cs="Times New Roman"/>
          <w:i w:val="0"/>
          <w:iCs w:val="0"/>
          <w:sz w:val="22"/>
          <w:szCs w:val="22"/>
          <w:lang w:eastAsia="hr-HR"/>
        </w:rPr>
      </w:pPr>
      <w:hyperlink w:anchor="_Toc527969471">
        <w:r>
          <w:rPr>
            <w:rStyle w:val="Indeksirajvezu"/>
            <w:webHidden/>
          </w:rPr>
          <w:t>8.2.4. Analiza sustava na području reagiranja za svaki rizik obrađen u Procjeni rizika od velikih nesreća za Općinu Kloštar Podravski</w:t>
        </w:r>
        <w:r>
          <w:rPr>
            <w:webHidden/>
          </w:rPr>
          <w:fldChar w:fldCharType="begin"/>
        </w:r>
        <w:r>
          <w:rPr>
            <w:webHidden/>
          </w:rPr>
          <w:instrText>PAGEREF _Toc527969471 \h</w:instrText>
        </w:r>
        <w:r>
          <w:rPr>
            <w:webHidden/>
          </w:rPr>
        </w:r>
        <w:r>
          <w:rPr>
            <w:webHidden/>
          </w:rPr>
          <w:fldChar w:fldCharType="separate"/>
        </w:r>
        <w:r>
          <w:rPr>
            <w:rStyle w:val="Indeksirajvezu"/>
          </w:rPr>
          <w:tab/>
          <w:t>178</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72">
        <w:r>
          <w:rPr>
            <w:rStyle w:val="Indeksirajvezu"/>
            <w:webHidden/>
          </w:rPr>
          <w:t>8.2.4.1. Epidemije i pandemije</w:t>
        </w:r>
        <w:r>
          <w:rPr>
            <w:webHidden/>
          </w:rPr>
          <w:fldChar w:fldCharType="begin"/>
        </w:r>
        <w:r>
          <w:rPr>
            <w:webHidden/>
          </w:rPr>
          <w:instrText>PAGEREF _Toc527969472 \h</w:instrText>
        </w:r>
        <w:r>
          <w:rPr>
            <w:webHidden/>
          </w:rPr>
        </w:r>
        <w:r>
          <w:rPr>
            <w:webHidden/>
          </w:rPr>
          <w:fldChar w:fldCharType="separate"/>
        </w:r>
        <w:r>
          <w:rPr>
            <w:rStyle w:val="Indeksirajvezu"/>
          </w:rPr>
          <w:tab/>
          <w:t>178</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73">
        <w:r>
          <w:rPr>
            <w:rStyle w:val="Indeksirajvezu"/>
            <w:webHidden/>
          </w:rPr>
          <w:t>8.2.4.2. Ekstremne vremenske pojave – Ekstremne temperature</w:t>
        </w:r>
        <w:r>
          <w:rPr>
            <w:webHidden/>
          </w:rPr>
          <w:fldChar w:fldCharType="begin"/>
        </w:r>
        <w:r>
          <w:rPr>
            <w:webHidden/>
          </w:rPr>
          <w:instrText>PAGEREF _Toc527969</w:instrText>
        </w:r>
        <w:r>
          <w:rPr>
            <w:webHidden/>
          </w:rPr>
          <w:instrText>473 \h</w:instrText>
        </w:r>
        <w:r>
          <w:rPr>
            <w:webHidden/>
          </w:rPr>
        </w:r>
        <w:r>
          <w:rPr>
            <w:webHidden/>
          </w:rPr>
          <w:fldChar w:fldCharType="separate"/>
        </w:r>
        <w:r>
          <w:rPr>
            <w:rStyle w:val="Indeksirajvezu"/>
          </w:rPr>
          <w:tab/>
          <w:t>182</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74">
        <w:r>
          <w:rPr>
            <w:rStyle w:val="Indeksirajvezu"/>
            <w:webHidden/>
          </w:rPr>
          <w:t>8.2.4.3. Suša</w:t>
        </w:r>
        <w:r>
          <w:rPr>
            <w:webHidden/>
          </w:rPr>
          <w:fldChar w:fldCharType="begin"/>
        </w:r>
        <w:r>
          <w:rPr>
            <w:webHidden/>
          </w:rPr>
          <w:instrText>PAGEREF _Toc527969474 \h</w:instrText>
        </w:r>
        <w:r>
          <w:rPr>
            <w:webHidden/>
          </w:rPr>
        </w:r>
        <w:r>
          <w:rPr>
            <w:webHidden/>
          </w:rPr>
          <w:fldChar w:fldCharType="separate"/>
        </w:r>
        <w:r>
          <w:rPr>
            <w:rStyle w:val="Indeksirajvezu"/>
          </w:rPr>
          <w:tab/>
          <w:t>186</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75">
        <w:r>
          <w:rPr>
            <w:rStyle w:val="Indeksirajvezu"/>
            <w:webHidden/>
          </w:rPr>
          <w:t>8.2.4.4. Poplava – Poplava izazvana izlijevanjem kopnenih vodenih tijela</w:t>
        </w:r>
        <w:r>
          <w:rPr>
            <w:webHidden/>
          </w:rPr>
          <w:fldChar w:fldCharType="begin"/>
        </w:r>
        <w:r>
          <w:rPr>
            <w:webHidden/>
          </w:rPr>
          <w:instrText>PAGEREF _Toc527969475 \h</w:instrText>
        </w:r>
        <w:r>
          <w:rPr>
            <w:webHidden/>
          </w:rPr>
        </w:r>
        <w:r>
          <w:rPr>
            <w:webHidden/>
          </w:rPr>
          <w:fldChar w:fldCharType="separate"/>
        </w:r>
        <w:r>
          <w:rPr>
            <w:rStyle w:val="Indeksirajvezu"/>
          </w:rPr>
          <w:tab/>
          <w:t>190</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76">
        <w:r>
          <w:rPr>
            <w:rStyle w:val="Indeksirajvezu"/>
            <w:webHidden/>
          </w:rPr>
          <w:t>8.2.4.5. Potres</w:t>
        </w:r>
        <w:r>
          <w:rPr>
            <w:webHidden/>
          </w:rPr>
          <w:fldChar w:fldCharType="begin"/>
        </w:r>
        <w:r>
          <w:rPr>
            <w:webHidden/>
          </w:rPr>
          <w:instrText>PAGEREF _Toc527969476 \h</w:instrText>
        </w:r>
        <w:r>
          <w:rPr>
            <w:webHidden/>
          </w:rPr>
        </w:r>
        <w:r>
          <w:rPr>
            <w:webHidden/>
          </w:rPr>
          <w:fldChar w:fldCharType="separate"/>
        </w:r>
        <w:r>
          <w:rPr>
            <w:rStyle w:val="Indeksirajvezu"/>
          </w:rPr>
          <w:tab/>
          <w:t>196</w:t>
        </w:r>
        <w:r>
          <w:rPr>
            <w:webHidden/>
          </w:rPr>
          <w:fldChar w:fldCharType="end"/>
        </w:r>
      </w:hyperlink>
    </w:p>
    <w:p w:rsidR="008F0D85" w:rsidRDefault="00AE42A1">
      <w:pPr>
        <w:pStyle w:val="Sadraj4"/>
        <w:tabs>
          <w:tab w:val="right" w:leader="dot" w:pos="9062"/>
        </w:tabs>
        <w:rPr>
          <w:rFonts w:cs="Times New Roman"/>
          <w:sz w:val="22"/>
          <w:szCs w:val="22"/>
          <w:lang w:eastAsia="hr-HR"/>
        </w:rPr>
      </w:pPr>
      <w:hyperlink w:anchor="_Toc527969477">
        <w:r>
          <w:rPr>
            <w:rStyle w:val="Indeksirajvezu"/>
            <w:webHidden/>
          </w:rPr>
          <w:t xml:space="preserve">8.2.4.6. Tehničko – tehnološke nesreće s opasnim tvarima – </w:t>
        </w:r>
        <w:r>
          <w:rPr>
            <w:rStyle w:val="Indeksirajvezu"/>
            <w:webHidden/>
          </w:rPr>
          <w:t>Industrijska nesreća</w:t>
        </w:r>
        <w:r>
          <w:rPr>
            <w:webHidden/>
          </w:rPr>
          <w:fldChar w:fldCharType="begin"/>
        </w:r>
        <w:r>
          <w:rPr>
            <w:webHidden/>
          </w:rPr>
          <w:instrText>PAGEREF _Toc527969477 \h</w:instrText>
        </w:r>
        <w:r>
          <w:rPr>
            <w:webHidden/>
          </w:rPr>
        </w:r>
        <w:r>
          <w:rPr>
            <w:webHidden/>
          </w:rPr>
          <w:fldChar w:fldCharType="separate"/>
        </w:r>
        <w:r>
          <w:rPr>
            <w:rStyle w:val="Indeksirajvezu"/>
          </w:rPr>
          <w:tab/>
          <w:t>202</w:t>
        </w:r>
        <w:r>
          <w:rPr>
            <w:webHidden/>
          </w:rPr>
          <w:fldChar w:fldCharType="end"/>
        </w:r>
      </w:hyperlink>
    </w:p>
    <w:p w:rsidR="008F0D85" w:rsidRDefault="00AE42A1">
      <w:pPr>
        <w:pStyle w:val="Sadraj1"/>
        <w:tabs>
          <w:tab w:val="right" w:leader="dot" w:pos="9062"/>
        </w:tabs>
        <w:rPr>
          <w:rFonts w:cs="Times New Roman"/>
          <w:b w:val="0"/>
          <w:bCs w:val="0"/>
          <w:caps w:val="0"/>
          <w:sz w:val="22"/>
          <w:szCs w:val="22"/>
          <w:lang w:eastAsia="hr-HR"/>
        </w:rPr>
      </w:pPr>
      <w:hyperlink w:anchor="_Toc527969478">
        <w:r>
          <w:rPr>
            <w:rStyle w:val="Indeksirajvezu"/>
            <w:webHidden/>
          </w:rPr>
          <w:t>9. VREDNOVANJE RIZIKA</w:t>
        </w:r>
        <w:r>
          <w:rPr>
            <w:webHidden/>
          </w:rPr>
          <w:fldChar w:fldCharType="begin"/>
        </w:r>
        <w:r>
          <w:rPr>
            <w:webHidden/>
          </w:rPr>
          <w:instrText>PAGEREF _Toc527969478 \h</w:instrText>
        </w:r>
        <w:r>
          <w:rPr>
            <w:webHidden/>
          </w:rPr>
        </w:r>
        <w:r>
          <w:rPr>
            <w:webHidden/>
          </w:rPr>
          <w:fldChar w:fldCharType="separate"/>
        </w:r>
        <w:r>
          <w:rPr>
            <w:rStyle w:val="Indeksirajvezu"/>
          </w:rPr>
          <w:tab/>
          <w:t>208</w:t>
        </w:r>
        <w:r>
          <w:rPr>
            <w:webHidden/>
          </w:rPr>
          <w:fldChar w:fldCharType="end"/>
        </w:r>
      </w:hyperlink>
    </w:p>
    <w:p w:rsidR="008F0D85" w:rsidRDefault="00AE42A1">
      <w:pPr>
        <w:pStyle w:val="Sadraj1"/>
        <w:tabs>
          <w:tab w:val="right" w:leader="dot" w:pos="9062"/>
        </w:tabs>
        <w:rPr>
          <w:rFonts w:cs="Times New Roman"/>
          <w:b w:val="0"/>
          <w:bCs w:val="0"/>
          <w:caps w:val="0"/>
          <w:sz w:val="22"/>
          <w:szCs w:val="22"/>
          <w:lang w:eastAsia="hr-HR"/>
        </w:rPr>
      </w:pPr>
      <w:hyperlink w:anchor="_Toc527969479">
        <w:r>
          <w:rPr>
            <w:rStyle w:val="Indeksirajvezu"/>
            <w:webHidden/>
          </w:rPr>
          <w:t>10. KARTOGRAFSKI PRIKAZ PRIJETNJI I RIZIKA NA PODRUČJU OPĆINE</w:t>
        </w:r>
        <w:r>
          <w:rPr>
            <w:webHidden/>
          </w:rPr>
          <w:fldChar w:fldCharType="begin"/>
        </w:r>
        <w:r>
          <w:rPr>
            <w:webHidden/>
          </w:rPr>
          <w:instrText>PAGEREF _Toc527969479 \h</w:instrText>
        </w:r>
        <w:r>
          <w:rPr>
            <w:webHidden/>
          </w:rPr>
        </w:r>
        <w:r>
          <w:rPr>
            <w:webHidden/>
          </w:rPr>
          <w:fldChar w:fldCharType="separate"/>
        </w:r>
        <w:r>
          <w:rPr>
            <w:rStyle w:val="Indeksirajvezu"/>
          </w:rPr>
          <w:tab/>
          <w:t>210</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480">
        <w:r>
          <w:rPr>
            <w:rStyle w:val="Indeksirajvezu"/>
            <w:webHidden/>
          </w:rPr>
          <w:t>10.1. Karta prijetnji – Poplava</w:t>
        </w:r>
        <w:r>
          <w:rPr>
            <w:webHidden/>
          </w:rPr>
          <w:fldChar w:fldCharType="begin"/>
        </w:r>
        <w:r>
          <w:rPr>
            <w:webHidden/>
          </w:rPr>
          <w:instrText>PAGEREF _Toc527969480 \h</w:instrText>
        </w:r>
        <w:r>
          <w:rPr>
            <w:webHidden/>
          </w:rPr>
        </w:r>
        <w:r>
          <w:rPr>
            <w:webHidden/>
          </w:rPr>
          <w:fldChar w:fldCharType="separate"/>
        </w:r>
        <w:r>
          <w:rPr>
            <w:rStyle w:val="Indeksirajvezu"/>
          </w:rPr>
          <w:tab/>
          <w:t>210</w:t>
        </w:r>
        <w:r>
          <w:rPr>
            <w:webHidden/>
          </w:rPr>
          <w:fldChar w:fldCharType="end"/>
        </w:r>
      </w:hyperlink>
    </w:p>
    <w:p w:rsidR="008F0D85" w:rsidRDefault="00AE42A1">
      <w:pPr>
        <w:pStyle w:val="Sadraj2"/>
        <w:tabs>
          <w:tab w:val="right" w:leader="dot" w:pos="9062"/>
        </w:tabs>
        <w:rPr>
          <w:rFonts w:cs="Times New Roman"/>
          <w:smallCaps w:val="0"/>
          <w:sz w:val="22"/>
          <w:szCs w:val="22"/>
          <w:lang w:eastAsia="hr-HR"/>
        </w:rPr>
      </w:pPr>
      <w:hyperlink w:anchor="_Toc527969481">
        <w:r>
          <w:rPr>
            <w:rStyle w:val="Indeksirajvezu"/>
            <w:webHidden/>
          </w:rPr>
          <w:t>10.2. Karta prijetnji – Industrijska nesreća</w:t>
        </w:r>
        <w:r>
          <w:rPr>
            <w:webHidden/>
          </w:rPr>
          <w:fldChar w:fldCharType="begin"/>
        </w:r>
        <w:r>
          <w:rPr>
            <w:webHidden/>
          </w:rPr>
          <w:instrText>PAGEREF _Toc527</w:instrText>
        </w:r>
        <w:r>
          <w:rPr>
            <w:webHidden/>
          </w:rPr>
          <w:instrText>969481 \h</w:instrText>
        </w:r>
        <w:r>
          <w:rPr>
            <w:webHidden/>
          </w:rPr>
        </w:r>
        <w:r>
          <w:rPr>
            <w:webHidden/>
          </w:rPr>
          <w:fldChar w:fldCharType="separate"/>
        </w:r>
        <w:r>
          <w:rPr>
            <w:rStyle w:val="Indeksirajvezu"/>
          </w:rPr>
          <w:tab/>
          <w:t>215</w:t>
        </w:r>
        <w:r>
          <w:rPr>
            <w:webHidden/>
          </w:rPr>
          <w:fldChar w:fldCharType="end"/>
        </w:r>
      </w:hyperlink>
    </w:p>
    <w:p w:rsidR="008F0D85" w:rsidRDefault="00AE42A1">
      <w:pPr>
        <w:pStyle w:val="Sadraj1"/>
        <w:tabs>
          <w:tab w:val="right" w:leader="dot" w:pos="9062"/>
        </w:tabs>
        <w:rPr>
          <w:rFonts w:cs="Times New Roman"/>
          <w:b w:val="0"/>
          <w:bCs w:val="0"/>
          <w:caps w:val="0"/>
          <w:sz w:val="22"/>
          <w:szCs w:val="22"/>
          <w:lang w:eastAsia="hr-HR"/>
        </w:rPr>
      </w:pPr>
      <w:hyperlink w:anchor="_Toc527969482">
        <w:r>
          <w:rPr>
            <w:rStyle w:val="Indeksirajvezu"/>
            <w:webHidden/>
          </w:rPr>
          <w:t>11. POPIS SUDIONIKA IZRADE PROCJENE RIZIKA OD VELIKIH NESREĆA ZA OPĆINU KLOŠTAR PODRAVSKI</w:t>
        </w:r>
        <w:r>
          <w:rPr>
            <w:webHidden/>
          </w:rPr>
          <w:fldChar w:fldCharType="begin"/>
        </w:r>
        <w:r>
          <w:rPr>
            <w:webHidden/>
          </w:rPr>
          <w:instrText>PAGEREF _Toc527969482 \h</w:instrText>
        </w:r>
        <w:r>
          <w:rPr>
            <w:webHidden/>
          </w:rPr>
        </w:r>
        <w:r>
          <w:rPr>
            <w:webHidden/>
          </w:rPr>
          <w:fldChar w:fldCharType="separate"/>
        </w:r>
        <w:r>
          <w:rPr>
            <w:rStyle w:val="Indeksirajvezu"/>
          </w:rPr>
          <w:tab/>
          <w:t>216</w:t>
        </w:r>
        <w:r>
          <w:rPr>
            <w:webHidden/>
          </w:rPr>
          <w:fldChar w:fldCharType="end"/>
        </w:r>
      </w:hyperlink>
    </w:p>
    <w:p w:rsidR="008F0D85" w:rsidRDefault="00AE42A1">
      <w:r>
        <w:fldChar w:fldCharType="end"/>
      </w:r>
    </w:p>
    <w:p w:rsidR="008F0D85" w:rsidRDefault="00AE42A1">
      <w:pPr>
        <w:jc w:val="center"/>
      </w:pPr>
      <w:r>
        <w:rPr>
          <w:b/>
          <w:i/>
        </w:rPr>
        <w:t>POPIS TABLICA:</w:t>
      </w:r>
    </w:p>
    <w:p w:rsidR="008F0D85" w:rsidRDefault="00AE42A1">
      <w:pPr>
        <w:pStyle w:val="Tablicaslika"/>
        <w:tabs>
          <w:tab w:val="right" w:leader="dot" w:pos="9062"/>
        </w:tabs>
        <w:rPr>
          <w:rFonts w:cs="Times New Roman"/>
          <w:smallCaps w:val="0"/>
          <w:sz w:val="22"/>
          <w:szCs w:val="22"/>
          <w:lang w:eastAsia="hr-HR"/>
        </w:rPr>
      </w:pPr>
      <w:r>
        <w:fldChar w:fldCharType="begin"/>
      </w:r>
      <w:r>
        <w:instrText>TOC \c "Tablica"</w:instrText>
      </w:r>
      <w:r>
        <w:fldChar w:fldCharType="separate"/>
      </w:r>
      <w:hyperlink w:anchor="_Toc527969483">
        <w:r>
          <w:rPr>
            <w:rStyle w:val="Indeksirajvezu"/>
          </w:rPr>
          <w:t>Tablica 1: Raspodjela stanovništva na području Općine prema starosti i spolu</w:t>
        </w:r>
        <w:r>
          <w:rPr>
            <w:webHidden/>
          </w:rPr>
          <w:fldChar w:fldCharType="begin"/>
        </w:r>
        <w:r>
          <w:rPr>
            <w:webHidden/>
          </w:rPr>
          <w:instrText>PAGEREF _Toc527969483 \h</w:instrText>
        </w:r>
        <w:r>
          <w:rPr>
            <w:webHidden/>
          </w:rPr>
        </w:r>
        <w:r>
          <w:rPr>
            <w:webHidden/>
          </w:rPr>
          <w:fldChar w:fldCharType="separate"/>
        </w:r>
        <w:r>
          <w:rPr>
            <w:rStyle w:val="Indeksirajvezu"/>
          </w:rPr>
          <w:tab/>
          <w:t>19</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484">
        <w:r>
          <w:rPr>
            <w:rStyle w:val="Indeksirajvezu"/>
          </w:rPr>
          <w:t>Tablica 2: Raspodjela stanovništva po naseljima Općine</w:t>
        </w:r>
        <w:r>
          <w:rPr>
            <w:webHidden/>
          </w:rPr>
          <w:fldChar w:fldCharType="begin"/>
        </w:r>
        <w:r>
          <w:rPr>
            <w:webHidden/>
          </w:rPr>
          <w:instrText>PAGEREF _Toc527969484 \h</w:instrText>
        </w:r>
        <w:r>
          <w:rPr>
            <w:webHidden/>
          </w:rPr>
        </w:r>
        <w:r>
          <w:rPr>
            <w:webHidden/>
          </w:rPr>
          <w:fldChar w:fldCharType="separate"/>
        </w:r>
        <w:r>
          <w:rPr>
            <w:rStyle w:val="Indeksirajvezu"/>
          </w:rPr>
          <w:tab/>
          <w:t>19</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485">
        <w:r>
          <w:rPr>
            <w:rStyle w:val="Indeksirajvezu"/>
          </w:rPr>
          <w:t>Tablica 3: Prikaz gustoće naseljenosti po naseljima Općine</w:t>
        </w:r>
        <w:r>
          <w:rPr>
            <w:webHidden/>
          </w:rPr>
          <w:fldChar w:fldCharType="begin"/>
        </w:r>
        <w:r>
          <w:rPr>
            <w:webHidden/>
          </w:rPr>
          <w:instrText>PAGEREF _Toc527969485 \h</w:instrText>
        </w:r>
        <w:r>
          <w:rPr>
            <w:webHidden/>
          </w:rPr>
        </w:r>
        <w:r>
          <w:rPr>
            <w:webHidden/>
          </w:rPr>
          <w:fldChar w:fldCharType="separate"/>
        </w:r>
        <w:r>
          <w:rPr>
            <w:rStyle w:val="Indeksirajvezu"/>
          </w:rPr>
          <w:tab/>
          <w:t>20</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486">
        <w:r>
          <w:rPr>
            <w:rStyle w:val="Indeksirajvezu"/>
          </w:rPr>
          <w:t>Tablica 4: Raspodjela stanovništva s obzirom na potrebu i korištenje pomoći druge osobe pri obavljanju svakodnevnih zadataka</w:t>
        </w:r>
        <w:r>
          <w:rPr>
            <w:webHidden/>
          </w:rPr>
          <w:fldChar w:fldCharType="begin"/>
        </w:r>
        <w:r>
          <w:rPr>
            <w:webHidden/>
          </w:rPr>
          <w:instrText>PAGEREF _Toc527969486 \h</w:instrText>
        </w:r>
        <w:r>
          <w:rPr>
            <w:webHidden/>
          </w:rPr>
        </w:r>
        <w:r>
          <w:rPr>
            <w:webHidden/>
          </w:rPr>
          <w:fldChar w:fldCharType="separate"/>
        </w:r>
        <w:r>
          <w:rPr>
            <w:rStyle w:val="Indeksirajvezu"/>
          </w:rPr>
          <w:tab/>
          <w:t>22</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487">
        <w:r>
          <w:rPr>
            <w:rStyle w:val="Indeksirajvezu"/>
          </w:rPr>
          <w:t>Tablica 5: Prikaz prometnica na području Općine</w:t>
        </w:r>
        <w:r>
          <w:rPr>
            <w:webHidden/>
          </w:rPr>
          <w:fldChar w:fldCharType="begin"/>
        </w:r>
        <w:r>
          <w:rPr>
            <w:webHidden/>
          </w:rPr>
          <w:instrText>PAGEREF _Toc527969487 \h</w:instrText>
        </w:r>
        <w:r>
          <w:rPr>
            <w:webHidden/>
          </w:rPr>
        </w:r>
        <w:r>
          <w:rPr>
            <w:webHidden/>
          </w:rPr>
          <w:fldChar w:fldCharType="separate"/>
        </w:r>
        <w:r>
          <w:rPr>
            <w:rStyle w:val="Indeksirajvezu"/>
          </w:rPr>
          <w:tab/>
          <w:t>22</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488">
        <w:r>
          <w:rPr>
            <w:rStyle w:val="Indeksirajvezu"/>
          </w:rPr>
          <w:t>Tablica 6: Prikaz zdravstvenih ustanova na području Općine</w:t>
        </w:r>
        <w:r>
          <w:rPr>
            <w:webHidden/>
          </w:rPr>
          <w:fldChar w:fldCharType="begin"/>
        </w:r>
        <w:r>
          <w:rPr>
            <w:webHidden/>
          </w:rPr>
          <w:instrText>PAGEREF _Toc527969488 \h</w:instrText>
        </w:r>
        <w:r>
          <w:rPr>
            <w:webHidden/>
          </w:rPr>
        </w:r>
        <w:r>
          <w:rPr>
            <w:webHidden/>
          </w:rPr>
          <w:fldChar w:fldCharType="separate"/>
        </w:r>
        <w:r>
          <w:rPr>
            <w:rStyle w:val="Indeksirajvezu"/>
          </w:rPr>
          <w:tab/>
          <w:t>24</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489">
        <w:r>
          <w:rPr>
            <w:rStyle w:val="Indeksirajvezu"/>
          </w:rPr>
          <w:t>Tablica 7: Prikaz odgojno - obrazovnih usta</w:t>
        </w:r>
        <w:r>
          <w:rPr>
            <w:rStyle w:val="Indeksirajvezu"/>
          </w:rPr>
          <w:t>nova na području Općine</w:t>
        </w:r>
        <w:r>
          <w:rPr>
            <w:webHidden/>
          </w:rPr>
          <w:fldChar w:fldCharType="begin"/>
        </w:r>
        <w:r>
          <w:rPr>
            <w:webHidden/>
          </w:rPr>
          <w:instrText>PAGEREF _Toc527969489 \h</w:instrText>
        </w:r>
        <w:r>
          <w:rPr>
            <w:webHidden/>
          </w:rPr>
        </w:r>
        <w:r>
          <w:rPr>
            <w:webHidden/>
          </w:rPr>
          <w:fldChar w:fldCharType="separate"/>
        </w:r>
        <w:r>
          <w:rPr>
            <w:rStyle w:val="Indeksirajvezu"/>
          </w:rPr>
          <w:tab/>
          <w:t>24</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490">
        <w:r>
          <w:rPr>
            <w:rStyle w:val="Indeksirajvezu"/>
            <w:rFonts w:cs="Arial"/>
            <w:bCs/>
          </w:rPr>
          <w:t>Tablica 8: Prikaz privatnih kućanstva prema broju članova</w:t>
        </w:r>
        <w:r>
          <w:rPr>
            <w:webHidden/>
          </w:rPr>
          <w:fldChar w:fldCharType="begin"/>
        </w:r>
        <w:r>
          <w:rPr>
            <w:webHidden/>
          </w:rPr>
          <w:instrText>PAGEREF _Toc527969490 \h</w:instrText>
        </w:r>
        <w:r>
          <w:rPr>
            <w:webHidden/>
          </w:rPr>
        </w:r>
        <w:r>
          <w:rPr>
            <w:webHidden/>
          </w:rPr>
          <w:fldChar w:fldCharType="separate"/>
        </w:r>
        <w:r>
          <w:rPr>
            <w:rStyle w:val="Indeksirajvezu"/>
          </w:rPr>
          <w:tab/>
          <w:t>25</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491">
        <w:r>
          <w:rPr>
            <w:rStyle w:val="Indeksirajvezu"/>
            <w:rFonts w:cs="Arial"/>
            <w:bCs/>
          </w:rPr>
          <w:t>Tablica 9: Prikaz privatnih kućanstva prema tipu i broju članova</w:t>
        </w:r>
        <w:r>
          <w:rPr>
            <w:webHidden/>
          </w:rPr>
          <w:fldChar w:fldCharType="begin"/>
        </w:r>
        <w:r>
          <w:rPr>
            <w:webHidden/>
          </w:rPr>
          <w:instrText>PAGEREF _Toc527969491 \h</w:instrText>
        </w:r>
        <w:r>
          <w:rPr>
            <w:webHidden/>
          </w:rPr>
        </w:r>
        <w:r>
          <w:rPr>
            <w:webHidden/>
          </w:rPr>
          <w:fldChar w:fldCharType="separate"/>
        </w:r>
        <w:r>
          <w:rPr>
            <w:rStyle w:val="Indeksirajvezu"/>
          </w:rPr>
          <w:tab/>
          <w:t>25</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492">
        <w:r>
          <w:rPr>
            <w:rStyle w:val="Indeksirajvezu"/>
          </w:rPr>
          <w:t>Tablica 10: Prikaz objekata na području Općine u kojima može biti ugrožen veći broj ljudi</w:t>
        </w:r>
        <w:r>
          <w:rPr>
            <w:webHidden/>
          </w:rPr>
          <w:fldChar w:fldCharType="begin"/>
        </w:r>
        <w:r>
          <w:rPr>
            <w:webHidden/>
          </w:rPr>
          <w:instrText>PAGEREF _Toc527969492 \h</w:instrText>
        </w:r>
        <w:r>
          <w:rPr>
            <w:webHidden/>
          </w:rPr>
        </w:r>
        <w:r>
          <w:rPr>
            <w:webHidden/>
          </w:rPr>
          <w:fldChar w:fldCharType="separate"/>
        </w:r>
        <w:r>
          <w:rPr>
            <w:rStyle w:val="Indeksirajvezu"/>
          </w:rPr>
          <w:tab/>
          <w:t>27</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493">
        <w:r>
          <w:rPr>
            <w:rStyle w:val="Indeksirajvezu"/>
          </w:rPr>
          <w:t>Tablica 11: Prikaz kapaciteta za zbrinjavanje na području Općine</w:t>
        </w:r>
        <w:r>
          <w:rPr>
            <w:webHidden/>
          </w:rPr>
          <w:fldChar w:fldCharType="begin"/>
        </w:r>
        <w:r>
          <w:rPr>
            <w:webHidden/>
          </w:rPr>
          <w:instrText>PAGEREF _Toc527969493 \h</w:instrText>
        </w:r>
        <w:r>
          <w:rPr>
            <w:webHidden/>
          </w:rPr>
        </w:r>
        <w:r>
          <w:rPr>
            <w:webHidden/>
          </w:rPr>
          <w:fldChar w:fldCharType="separate"/>
        </w:r>
        <w:r>
          <w:rPr>
            <w:rStyle w:val="Indeksirajvezu"/>
          </w:rPr>
          <w:tab/>
          <w:t>27</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494">
        <w:r>
          <w:rPr>
            <w:rStyle w:val="Indeksirajvezu"/>
            <w:rFonts w:cs="Arial"/>
            <w:bCs/>
          </w:rPr>
          <w:t>Tablica 12: Prikaz raspodjele stanovnika Općine prema izvoru sredstva za život</w:t>
        </w:r>
        <w:r>
          <w:rPr>
            <w:webHidden/>
          </w:rPr>
          <w:fldChar w:fldCharType="begin"/>
        </w:r>
        <w:r>
          <w:rPr>
            <w:webHidden/>
          </w:rPr>
          <w:instrText>PAGEREF _Toc527969494 \h</w:instrText>
        </w:r>
        <w:r>
          <w:rPr>
            <w:webHidden/>
          </w:rPr>
        </w:r>
        <w:r>
          <w:rPr>
            <w:webHidden/>
          </w:rPr>
          <w:fldChar w:fldCharType="separate"/>
        </w:r>
        <w:r>
          <w:rPr>
            <w:rStyle w:val="Indeksirajvezu"/>
          </w:rPr>
          <w:tab/>
          <w:t>28</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495">
        <w:r>
          <w:rPr>
            <w:rStyle w:val="Indeksirajvezu"/>
            <w:rFonts w:cs="Arial"/>
            <w:bCs/>
          </w:rPr>
          <w:t>Tablica 13: Raspodjela stanovništva Općin</w:t>
        </w:r>
        <w:r>
          <w:rPr>
            <w:rStyle w:val="Indeksirajvezu"/>
            <w:rFonts w:cs="Arial"/>
            <w:bCs/>
          </w:rPr>
          <w:t>e prema djelatnosti i broju zaposlenih</w:t>
        </w:r>
        <w:r>
          <w:rPr>
            <w:webHidden/>
          </w:rPr>
          <w:fldChar w:fldCharType="begin"/>
        </w:r>
        <w:r>
          <w:rPr>
            <w:webHidden/>
          </w:rPr>
          <w:instrText>PAGEREF _Toc527969495 \h</w:instrText>
        </w:r>
        <w:r>
          <w:rPr>
            <w:webHidden/>
          </w:rPr>
        </w:r>
        <w:r>
          <w:rPr>
            <w:webHidden/>
          </w:rPr>
          <w:fldChar w:fldCharType="separate"/>
        </w:r>
        <w:r>
          <w:rPr>
            <w:rStyle w:val="Indeksirajvezu"/>
          </w:rPr>
          <w:tab/>
          <w:t>29</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496">
        <w:r>
          <w:rPr>
            <w:rStyle w:val="Indeksirajvezu"/>
          </w:rPr>
          <w:t>Tablica 14: Pregled nezaposlenih osoba na području Općine u svibnju 2018.god.</w:t>
        </w:r>
        <w:r>
          <w:rPr>
            <w:webHidden/>
          </w:rPr>
          <w:fldChar w:fldCharType="begin"/>
        </w:r>
        <w:r>
          <w:rPr>
            <w:webHidden/>
          </w:rPr>
          <w:instrText>PAGEREF _T</w:instrText>
        </w:r>
        <w:r>
          <w:rPr>
            <w:webHidden/>
          </w:rPr>
          <w:instrText>oc527969496 \h</w:instrText>
        </w:r>
        <w:r>
          <w:rPr>
            <w:webHidden/>
          </w:rPr>
        </w:r>
        <w:r>
          <w:rPr>
            <w:webHidden/>
          </w:rPr>
          <w:fldChar w:fldCharType="separate"/>
        </w:r>
        <w:r>
          <w:rPr>
            <w:rStyle w:val="Indeksirajvezu"/>
          </w:rPr>
          <w:tab/>
          <w:t>30</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497">
        <w:r>
          <w:rPr>
            <w:rStyle w:val="Indeksirajvezu"/>
          </w:rPr>
          <w:t>Tablica 15: Vrste naknada i broj primatelja naknada na području Općine</w:t>
        </w:r>
        <w:r>
          <w:rPr>
            <w:webHidden/>
          </w:rPr>
          <w:fldChar w:fldCharType="begin"/>
        </w:r>
        <w:r>
          <w:rPr>
            <w:webHidden/>
          </w:rPr>
          <w:instrText>PAGEREF _Toc527969497 \h</w:instrText>
        </w:r>
        <w:r>
          <w:rPr>
            <w:webHidden/>
          </w:rPr>
        </w:r>
        <w:r>
          <w:rPr>
            <w:webHidden/>
          </w:rPr>
          <w:fldChar w:fldCharType="separate"/>
        </w:r>
        <w:r>
          <w:rPr>
            <w:rStyle w:val="Indeksirajvezu"/>
          </w:rPr>
          <w:tab/>
          <w:t>31</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498">
        <w:r>
          <w:rPr>
            <w:rStyle w:val="Indeksirajvezu"/>
            <w:rFonts w:cs="Arial"/>
            <w:bCs/>
          </w:rPr>
          <w:t>Tablica 16: Prikaz proračuna Općine za 2018.god. i projekcija za 2019. i 2020.god.</w:t>
        </w:r>
        <w:r>
          <w:rPr>
            <w:webHidden/>
          </w:rPr>
          <w:fldChar w:fldCharType="begin"/>
        </w:r>
        <w:r>
          <w:rPr>
            <w:webHidden/>
          </w:rPr>
          <w:instrText>PAGEREF _Toc527969498 \h</w:instrText>
        </w:r>
        <w:r>
          <w:rPr>
            <w:webHidden/>
          </w:rPr>
        </w:r>
        <w:r>
          <w:rPr>
            <w:webHidden/>
          </w:rPr>
          <w:fldChar w:fldCharType="separate"/>
        </w:r>
        <w:r>
          <w:rPr>
            <w:rStyle w:val="Indeksirajvezu"/>
          </w:rPr>
          <w:tab/>
          <w:t>32</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499">
        <w:r>
          <w:rPr>
            <w:rStyle w:val="Indeksirajvezu"/>
          </w:rPr>
          <w:t>Tablica 17: Prikaz dijela proračuna Općine raspoređenog za poslove civilne zaštite za 2018.god. i projekcije za 2019. i 2020.god.</w:t>
        </w:r>
        <w:r>
          <w:rPr>
            <w:webHidden/>
          </w:rPr>
          <w:fldChar w:fldCharType="begin"/>
        </w:r>
        <w:r>
          <w:rPr>
            <w:webHidden/>
          </w:rPr>
          <w:instrText>PAGEREF _Toc527969499 \h</w:instrText>
        </w:r>
        <w:r>
          <w:rPr>
            <w:webHidden/>
          </w:rPr>
        </w:r>
        <w:r>
          <w:rPr>
            <w:webHidden/>
          </w:rPr>
          <w:fldChar w:fldCharType="separate"/>
        </w:r>
        <w:r>
          <w:rPr>
            <w:rStyle w:val="Indeksirajvezu"/>
          </w:rPr>
          <w:tab/>
          <w:t>32</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00">
        <w:r>
          <w:rPr>
            <w:rStyle w:val="Indeksirajvezu"/>
            <w:rFonts w:cs="Arial"/>
            <w:bCs/>
          </w:rPr>
          <w:t>Tablica 18: Prikaz površine korištenog poljoprivrednog zemljišta te broja stoke i peradi privatnih kućanstva</w:t>
        </w:r>
        <w:r>
          <w:rPr>
            <w:webHidden/>
          </w:rPr>
          <w:fldChar w:fldCharType="begin"/>
        </w:r>
        <w:r>
          <w:rPr>
            <w:webHidden/>
          </w:rPr>
          <w:instrText>PAGEREF _Toc527969500 \h</w:instrText>
        </w:r>
        <w:r>
          <w:rPr>
            <w:webHidden/>
          </w:rPr>
        </w:r>
        <w:r>
          <w:rPr>
            <w:webHidden/>
          </w:rPr>
          <w:fldChar w:fldCharType="separate"/>
        </w:r>
        <w:r>
          <w:rPr>
            <w:rStyle w:val="Indeksirajvezu"/>
          </w:rPr>
          <w:tab/>
          <w:t>35</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01">
        <w:r>
          <w:rPr>
            <w:rStyle w:val="Indeksirajvezu"/>
            <w:rFonts w:cs="Arial"/>
            <w:bCs/>
          </w:rPr>
          <w:t>Tablica 19: Prikaz privatnih kućanstva prema korištenome poljoprivrednome zemljištu, broju stoke i peradi</w:t>
        </w:r>
        <w:r>
          <w:rPr>
            <w:webHidden/>
          </w:rPr>
          <w:fldChar w:fldCharType="begin"/>
        </w:r>
        <w:r>
          <w:rPr>
            <w:webHidden/>
          </w:rPr>
          <w:instrText>PAGEREF _Toc527969501 \h</w:instrText>
        </w:r>
        <w:r>
          <w:rPr>
            <w:webHidden/>
          </w:rPr>
        </w:r>
        <w:r>
          <w:rPr>
            <w:webHidden/>
          </w:rPr>
          <w:fldChar w:fldCharType="separate"/>
        </w:r>
        <w:r>
          <w:rPr>
            <w:rStyle w:val="Indeksirajvezu"/>
          </w:rPr>
          <w:tab/>
          <w:t>36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02">
        <w:r>
          <w:rPr>
            <w:rStyle w:val="Indeksirajvezu"/>
            <w:rFonts w:cs="Arial"/>
            <w:bCs/>
          </w:rPr>
          <w:t>Tablica 20: Prikaz indeksa gospodarske snage županija i njegove sastavnice u 2016.god.</w:t>
        </w:r>
        <w:r>
          <w:rPr>
            <w:webHidden/>
          </w:rPr>
          <w:fldChar w:fldCharType="begin"/>
        </w:r>
        <w:r>
          <w:rPr>
            <w:webHidden/>
          </w:rPr>
          <w:instrText>PAGEREF _Toc527969502 \h</w:instrText>
        </w:r>
        <w:r>
          <w:rPr>
            <w:webHidden/>
          </w:rPr>
        </w:r>
        <w:r>
          <w:rPr>
            <w:webHidden/>
          </w:rPr>
          <w:fldChar w:fldCharType="separate"/>
        </w:r>
        <w:r>
          <w:rPr>
            <w:rStyle w:val="Indeksirajvezu"/>
          </w:rPr>
          <w:tab/>
          <w:t>39</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03">
        <w:r>
          <w:rPr>
            <w:rStyle w:val="Indeksirajvezu"/>
            <w:rFonts w:cs="Arial"/>
            <w:bCs/>
          </w:rPr>
          <w:t>Tablica 21:</w:t>
        </w:r>
        <w:r>
          <w:rPr>
            <w:rStyle w:val="Indeksirajvezu"/>
            <w:rFonts w:cs="Arial"/>
            <w:bCs/>
          </w:rPr>
          <w:t xml:space="preserve"> Prikaz indeksa gospodarske snage županija i njegove sastavnice u 2017.god.</w:t>
        </w:r>
        <w:r>
          <w:rPr>
            <w:webHidden/>
          </w:rPr>
          <w:fldChar w:fldCharType="begin"/>
        </w:r>
        <w:r>
          <w:rPr>
            <w:webHidden/>
          </w:rPr>
          <w:instrText>PAGEREF _Toc527969503 \h</w:instrText>
        </w:r>
        <w:r>
          <w:rPr>
            <w:webHidden/>
          </w:rPr>
        </w:r>
        <w:r>
          <w:rPr>
            <w:webHidden/>
          </w:rPr>
          <w:fldChar w:fldCharType="separate"/>
        </w:r>
        <w:r>
          <w:rPr>
            <w:rStyle w:val="Indeksirajvezu"/>
          </w:rPr>
          <w:tab/>
          <w:t>40</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04">
        <w:r>
          <w:rPr>
            <w:rStyle w:val="Indeksirajvezu"/>
            <w:rFonts w:cs="Arial"/>
            <w:bCs/>
          </w:rPr>
          <w:t>Tablica 22: Prikaz promjene rangiranja županija prema HGK indeksu gospodarske snage u 2017.god. u odnosu na 2016.god.</w:t>
        </w:r>
        <w:r>
          <w:rPr>
            <w:webHidden/>
          </w:rPr>
          <w:fldChar w:fldCharType="begin"/>
        </w:r>
        <w:r>
          <w:rPr>
            <w:webHidden/>
          </w:rPr>
          <w:instrText>PAGEREF _Toc527969504 \h</w:instrText>
        </w:r>
        <w:r>
          <w:rPr>
            <w:webHidden/>
          </w:rPr>
        </w:r>
        <w:r>
          <w:rPr>
            <w:webHidden/>
          </w:rPr>
          <w:fldChar w:fldCharType="separate"/>
        </w:r>
        <w:r>
          <w:rPr>
            <w:rStyle w:val="Indeksirajvezu"/>
          </w:rPr>
          <w:tab/>
          <w:t>41</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05">
        <w:r>
          <w:rPr>
            <w:rStyle w:val="Indeksirajvezu"/>
            <w:rFonts w:cs="Arial"/>
            <w:bCs/>
          </w:rPr>
          <w:t>Tablica 23: Prikaz kulturnih dobara na području Općine upisanih u Registar kulturnih dobara RH</w:t>
        </w:r>
        <w:r>
          <w:rPr>
            <w:webHidden/>
          </w:rPr>
          <w:fldChar w:fldCharType="begin"/>
        </w:r>
        <w:r>
          <w:rPr>
            <w:webHidden/>
          </w:rPr>
          <w:instrText>PAGEREF _Toc527969505 \h</w:instrText>
        </w:r>
        <w:r>
          <w:rPr>
            <w:webHidden/>
          </w:rPr>
        </w:r>
        <w:r>
          <w:rPr>
            <w:webHidden/>
          </w:rPr>
          <w:fldChar w:fldCharType="separate"/>
        </w:r>
        <w:r>
          <w:rPr>
            <w:rStyle w:val="Indeksirajvezu"/>
          </w:rPr>
          <w:tab/>
          <w:t>48</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06">
        <w:r>
          <w:rPr>
            <w:rStyle w:val="Indeksirajvezu"/>
            <w:rFonts w:cs="Arial"/>
            <w:bCs/>
          </w:rPr>
          <w:t>Tablica 24: Prikaz šteta uslijed prijašnjih događaja (elementarne nepogode) na području Općine</w:t>
        </w:r>
        <w:r>
          <w:rPr>
            <w:webHidden/>
          </w:rPr>
          <w:fldChar w:fldCharType="begin"/>
        </w:r>
        <w:r>
          <w:rPr>
            <w:webHidden/>
          </w:rPr>
          <w:instrText>PAGEREF _Toc527969506 \h</w:instrText>
        </w:r>
        <w:r>
          <w:rPr>
            <w:webHidden/>
          </w:rPr>
        </w:r>
        <w:r>
          <w:rPr>
            <w:webHidden/>
          </w:rPr>
          <w:fldChar w:fldCharType="separate"/>
        </w:r>
        <w:r>
          <w:rPr>
            <w:rStyle w:val="Indeksirajvezu"/>
          </w:rPr>
          <w:tab/>
          <w:t>50</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07">
        <w:r>
          <w:rPr>
            <w:rStyle w:val="Indeksirajvezu"/>
            <w:rFonts w:cs="Arial"/>
            <w:bCs/>
          </w:rPr>
          <w:t>Tablica 25: Prikaz identifikacije prijetnji na području Općine - Registar rizika</w:t>
        </w:r>
        <w:r>
          <w:rPr>
            <w:webHidden/>
          </w:rPr>
          <w:fldChar w:fldCharType="begin"/>
        </w:r>
        <w:r>
          <w:rPr>
            <w:webHidden/>
          </w:rPr>
          <w:instrText>PAGEREF _Toc527969507 \h</w:instrText>
        </w:r>
        <w:r>
          <w:rPr>
            <w:webHidden/>
          </w:rPr>
        </w:r>
        <w:r>
          <w:rPr>
            <w:webHidden/>
          </w:rPr>
          <w:fldChar w:fldCharType="separate"/>
        </w:r>
        <w:r>
          <w:rPr>
            <w:rStyle w:val="Indeksirajvezu"/>
          </w:rPr>
          <w:tab/>
          <w:t>54</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08">
        <w:r>
          <w:rPr>
            <w:rStyle w:val="Indeksirajvezu"/>
            <w:rFonts w:cs="Arial"/>
            <w:bCs/>
          </w:rPr>
          <w:t>Tablica 26:</w:t>
        </w:r>
        <w:r>
          <w:rPr>
            <w:rStyle w:val="Indeksirajvezu"/>
            <w:rFonts w:cs="Arial"/>
            <w:bCs/>
          </w:rPr>
          <w:t xml:space="preserve"> Prikaz posljedica na život i zdravlje ljudi</w:t>
        </w:r>
        <w:r>
          <w:rPr>
            <w:webHidden/>
          </w:rPr>
          <w:fldChar w:fldCharType="begin"/>
        </w:r>
        <w:r>
          <w:rPr>
            <w:webHidden/>
          </w:rPr>
          <w:instrText>PAGEREF _Toc527969508 \h</w:instrText>
        </w:r>
        <w:r>
          <w:rPr>
            <w:webHidden/>
          </w:rPr>
        </w:r>
        <w:r>
          <w:rPr>
            <w:webHidden/>
          </w:rPr>
          <w:fldChar w:fldCharType="separate"/>
        </w:r>
        <w:r>
          <w:rPr>
            <w:rStyle w:val="Indeksirajvezu"/>
          </w:rPr>
          <w:tab/>
          <w:t>62</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09">
        <w:r>
          <w:rPr>
            <w:rStyle w:val="Indeksirajvezu"/>
            <w:rFonts w:cs="Arial"/>
            <w:bCs/>
          </w:rPr>
          <w:t>Tablica 27: Prikaz posljedica na gospodarstvo</w:t>
        </w:r>
        <w:r>
          <w:rPr>
            <w:webHidden/>
          </w:rPr>
          <w:fldChar w:fldCharType="begin"/>
        </w:r>
        <w:r>
          <w:rPr>
            <w:webHidden/>
          </w:rPr>
          <w:instrText>PAGEREF _Toc527969509 \h</w:instrText>
        </w:r>
        <w:r>
          <w:rPr>
            <w:webHidden/>
          </w:rPr>
        </w:r>
        <w:r>
          <w:rPr>
            <w:webHidden/>
          </w:rPr>
          <w:fldChar w:fldCharType="separate"/>
        </w:r>
        <w:r>
          <w:rPr>
            <w:rStyle w:val="Indeksirajvezu"/>
          </w:rPr>
          <w:tab/>
          <w:t>62</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10">
        <w:r>
          <w:rPr>
            <w:rStyle w:val="Indeksirajvezu"/>
            <w:rFonts w:cs="Arial"/>
            <w:bCs/>
          </w:rPr>
          <w:t>Tablica 28: Prikaz posljedica na kritičnu infrastrukturu (KI)</w:t>
        </w:r>
        <w:r>
          <w:rPr>
            <w:webHidden/>
          </w:rPr>
          <w:fldChar w:fldCharType="begin"/>
        </w:r>
        <w:r>
          <w:rPr>
            <w:webHidden/>
          </w:rPr>
          <w:instrText>PAGEREF _Toc527969510 \h</w:instrText>
        </w:r>
        <w:r>
          <w:rPr>
            <w:webHidden/>
          </w:rPr>
        </w:r>
        <w:r>
          <w:rPr>
            <w:webHidden/>
          </w:rPr>
          <w:fldChar w:fldCharType="separate"/>
        </w:r>
        <w:r>
          <w:rPr>
            <w:rStyle w:val="Indeksirajvezu"/>
          </w:rPr>
          <w:tab/>
          <w:t>63</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11">
        <w:r>
          <w:rPr>
            <w:rStyle w:val="Indeksirajvezu"/>
            <w:rFonts w:cs="Arial"/>
            <w:bCs/>
          </w:rPr>
          <w:t>Tablica 29: Prikaz posljedica na ustanove i građevine od javnog i društvenog značaja</w:t>
        </w:r>
        <w:r>
          <w:rPr>
            <w:webHidden/>
          </w:rPr>
          <w:fldChar w:fldCharType="begin"/>
        </w:r>
        <w:r>
          <w:rPr>
            <w:webHidden/>
          </w:rPr>
          <w:instrText>PAGEREF _Toc527969511 \h</w:instrText>
        </w:r>
        <w:r>
          <w:rPr>
            <w:webHidden/>
          </w:rPr>
        </w:r>
        <w:r>
          <w:rPr>
            <w:webHidden/>
          </w:rPr>
          <w:fldChar w:fldCharType="separate"/>
        </w:r>
        <w:r>
          <w:rPr>
            <w:rStyle w:val="Indeksirajvezu"/>
          </w:rPr>
          <w:tab/>
          <w:t>63</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12">
        <w:r>
          <w:rPr>
            <w:rStyle w:val="Indeksirajvezu"/>
            <w:rFonts w:cs="Arial"/>
            <w:bCs/>
          </w:rPr>
          <w:t>Tablica 30: Prikaz vjerojatnosti, frekvencije rizika</w:t>
        </w:r>
        <w:r>
          <w:rPr>
            <w:webHidden/>
          </w:rPr>
          <w:fldChar w:fldCharType="begin"/>
        </w:r>
        <w:r>
          <w:rPr>
            <w:webHidden/>
          </w:rPr>
          <w:instrText>PAGEREF _Toc527969512 \h</w:instrText>
        </w:r>
        <w:r>
          <w:rPr>
            <w:webHidden/>
          </w:rPr>
        </w:r>
        <w:r>
          <w:rPr>
            <w:webHidden/>
          </w:rPr>
          <w:fldChar w:fldCharType="separate"/>
        </w:r>
        <w:r>
          <w:rPr>
            <w:rStyle w:val="Indeksirajvezu"/>
          </w:rPr>
          <w:tab/>
          <w:t>64</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13">
        <w:r>
          <w:rPr>
            <w:rStyle w:val="Indeksirajvezu"/>
            <w:rFonts w:cs="Arial"/>
            <w:bCs/>
          </w:rPr>
          <w:t>Tablica 31:</w:t>
        </w:r>
        <w:r>
          <w:rPr>
            <w:rStyle w:val="Indeksirajvezu"/>
            <w:rFonts w:cs="Arial"/>
            <w:bCs/>
          </w:rPr>
          <w:t xml:space="preserve"> Prikaz kritične skupine stanovnika - Epidemija influence</w:t>
        </w:r>
        <w:r>
          <w:rPr>
            <w:webHidden/>
          </w:rPr>
          <w:fldChar w:fldCharType="begin"/>
        </w:r>
        <w:r>
          <w:rPr>
            <w:webHidden/>
          </w:rPr>
          <w:instrText>PAGEREF _Toc527969513 \h</w:instrText>
        </w:r>
        <w:r>
          <w:rPr>
            <w:webHidden/>
          </w:rPr>
        </w:r>
        <w:r>
          <w:rPr>
            <w:webHidden/>
          </w:rPr>
          <w:fldChar w:fldCharType="separate"/>
        </w:r>
        <w:r>
          <w:rPr>
            <w:rStyle w:val="Indeksirajvezu"/>
          </w:rPr>
          <w:tab/>
          <w:t>67</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14">
        <w:r>
          <w:rPr>
            <w:rStyle w:val="Indeksirajvezu"/>
            <w:rFonts w:cs="Arial"/>
            <w:bCs/>
          </w:rPr>
          <w:t xml:space="preserve">Tablica 32: Prikaz prijetnjom nastalih posljedica na život i </w:t>
        </w:r>
        <w:r>
          <w:rPr>
            <w:rStyle w:val="Indeksirajvezu"/>
            <w:rFonts w:cs="Arial"/>
            <w:bCs/>
          </w:rPr>
          <w:t>zdravlje ljudi - Epidemija influence</w:t>
        </w:r>
        <w:r>
          <w:rPr>
            <w:webHidden/>
          </w:rPr>
          <w:fldChar w:fldCharType="begin"/>
        </w:r>
        <w:r>
          <w:rPr>
            <w:webHidden/>
          </w:rPr>
          <w:instrText>PAGEREF _Toc527969514 \h</w:instrText>
        </w:r>
        <w:r>
          <w:rPr>
            <w:webHidden/>
          </w:rPr>
        </w:r>
        <w:r>
          <w:rPr>
            <w:webHidden/>
          </w:rPr>
          <w:fldChar w:fldCharType="separate"/>
        </w:r>
        <w:r>
          <w:rPr>
            <w:rStyle w:val="Indeksirajvezu"/>
          </w:rPr>
          <w:tab/>
          <w:t>73</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15">
        <w:r>
          <w:rPr>
            <w:rStyle w:val="Indeksirajvezu"/>
            <w:rFonts w:cs="Arial"/>
            <w:bCs/>
          </w:rPr>
          <w:t>Tablica 33: Prikaz prijetnjom nastalih posljedica na gospodarstvo – Epidemija influence</w:t>
        </w:r>
        <w:r>
          <w:rPr>
            <w:webHidden/>
          </w:rPr>
          <w:fldChar w:fldCharType="begin"/>
        </w:r>
        <w:r>
          <w:rPr>
            <w:webHidden/>
          </w:rPr>
          <w:instrText>PA</w:instrText>
        </w:r>
        <w:r>
          <w:rPr>
            <w:webHidden/>
          </w:rPr>
          <w:instrText>GEREF _Toc527969515 \h</w:instrText>
        </w:r>
        <w:r>
          <w:rPr>
            <w:webHidden/>
          </w:rPr>
        </w:r>
        <w:r>
          <w:rPr>
            <w:webHidden/>
          </w:rPr>
          <w:fldChar w:fldCharType="separate"/>
        </w:r>
        <w:r>
          <w:rPr>
            <w:rStyle w:val="Indeksirajvezu"/>
          </w:rPr>
          <w:tab/>
          <w:t>74</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16">
        <w:r>
          <w:rPr>
            <w:rStyle w:val="Indeksirajvezu"/>
            <w:rFonts w:cs="Arial"/>
            <w:bCs/>
          </w:rPr>
          <w:t>Tablica 34: Prikaz vjerojatnosti pojave događaja s najgorim mogućim posljedicama uslijed pojave epidemije influence</w:t>
        </w:r>
        <w:r>
          <w:rPr>
            <w:webHidden/>
          </w:rPr>
          <w:fldChar w:fldCharType="begin"/>
        </w:r>
        <w:r>
          <w:rPr>
            <w:webHidden/>
          </w:rPr>
          <w:instrText>PAGEREF _Toc527969516 \h</w:instrText>
        </w:r>
        <w:r>
          <w:rPr>
            <w:webHidden/>
          </w:rPr>
        </w:r>
        <w:r>
          <w:rPr>
            <w:webHidden/>
          </w:rPr>
          <w:fldChar w:fldCharType="separate"/>
        </w:r>
        <w:r>
          <w:rPr>
            <w:rStyle w:val="Indeksirajvezu"/>
          </w:rPr>
          <w:tab/>
          <w:t>74</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17">
        <w:r>
          <w:rPr>
            <w:rStyle w:val="Indeksirajvezu"/>
            <w:rFonts w:cs="Arial"/>
            <w:bCs/>
          </w:rPr>
          <w:t>Tablica 35: Prikaz prijetnjom nastalih posljedica na život i zdravlje ljudi - Ekstremne temperature</w:t>
        </w:r>
        <w:r>
          <w:rPr>
            <w:webHidden/>
          </w:rPr>
          <w:fldChar w:fldCharType="begin"/>
        </w:r>
        <w:r>
          <w:rPr>
            <w:webHidden/>
          </w:rPr>
          <w:instrText>PAGEREF _Toc527969517 \h</w:instrText>
        </w:r>
        <w:r>
          <w:rPr>
            <w:webHidden/>
          </w:rPr>
        </w:r>
        <w:r>
          <w:rPr>
            <w:webHidden/>
          </w:rPr>
          <w:fldChar w:fldCharType="separate"/>
        </w:r>
        <w:r>
          <w:rPr>
            <w:rStyle w:val="Indeksirajvezu"/>
          </w:rPr>
          <w:tab/>
          <w:t>8</w:t>
        </w:r>
        <w:r>
          <w:rPr>
            <w:rStyle w:val="Indeksirajvezu"/>
          </w:rPr>
          <w:t>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18">
        <w:r>
          <w:rPr>
            <w:rStyle w:val="Indeksirajvezu"/>
            <w:rFonts w:cs="Arial"/>
            <w:bCs/>
          </w:rPr>
          <w:t>Tablica 36: Prikaz prijetnjom nastalih posljedica na gospodarstvo - Ekstremne temperature</w:t>
        </w:r>
        <w:r>
          <w:rPr>
            <w:webHidden/>
          </w:rPr>
          <w:fldChar w:fldCharType="begin"/>
        </w:r>
        <w:r>
          <w:rPr>
            <w:webHidden/>
          </w:rPr>
          <w:instrText>PAGEREF _Toc527969518 \h</w:instrText>
        </w:r>
        <w:r>
          <w:rPr>
            <w:webHidden/>
          </w:rPr>
        </w:r>
        <w:r>
          <w:rPr>
            <w:webHidden/>
          </w:rPr>
          <w:fldChar w:fldCharType="separate"/>
        </w:r>
        <w:r>
          <w:rPr>
            <w:rStyle w:val="Indeksirajvezu"/>
          </w:rPr>
          <w:tab/>
          <w:t>87</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19">
        <w:r>
          <w:rPr>
            <w:rStyle w:val="Indeksirajvezu"/>
            <w:rFonts w:cs="Arial"/>
            <w:bCs/>
          </w:rPr>
          <w:t>Tablica 37: Prikaz vjerojatnosti pojave događaja s najgorim mogućim posljedicama uslijed pojave toplinskog vala</w:t>
        </w:r>
        <w:r>
          <w:rPr>
            <w:webHidden/>
          </w:rPr>
          <w:fldChar w:fldCharType="begin"/>
        </w:r>
        <w:r>
          <w:rPr>
            <w:webHidden/>
          </w:rPr>
          <w:instrText>PAGEREF _Toc527969519 \h</w:instrText>
        </w:r>
        <w:r>
          <w:rPr>
            <w:webHidden/>
          </w:rPr>
        </w:r>
        <w:r>
          <w:rPr>
            <w:webHidden/>
          </w:rPr>
          <w:fldChar w:fldCharType="separate"/>
        </w:r>
        <w:r>
          <w:rPr>
            <w:rStyle w:val="Indeksirajvezu"/>
          </w:rPr>
          <w:tab/>
          <w:t>87</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20">
        <w:r>
          <w:rPr>
            <w:rStyle w:val="Indeksirajvezu"/>
            <w:rFonts w:cs="Arial"/>
            <w:bCs/>
          </w:rPr>
          <w:t xml:space="preserve">Tablica 38: Prikaz srednjih mjesečnih i godišnjih broja dana bez oborine s pripadnim standardnim devijacijama te maksimalni i minimalni mjesečni i godišnji broj dana bez oborine u razdoblju od 1981. - </w:t>
        </w:r>
        <w:r>
          <w:rPr>
            <w:rStyle w:val="Indeksirajvezu"/>
            <w:rFonts w:cs="Arial"/>
            <w:bCs/>
          </w:rPr>
          <w:t>2000.god. za KKŽ</w:t>
        </w:r>
        <w:r>
          <w:rPr>
            <w:webHidden/>
          </w:rPr>
          <w:fldChar w:fldCharType="begin"/>
        </w:r>
        <w:r>
          <w:rPr>
            <w:webHidden/>
          </w:rPr>
          <w:instrText>PAGEREF _Toc527969520 \h</w:instrText>
        </w:r>
        <w:r>
          <w:rPr>
            <w:webHidden/>
          </w:rPr>
        </w:r>
        <w:r>
          <w:rPr>
            <w:webHidden/>
          </w:rPr>
          <w:fldChar w:fldCharType="separate"/>
        </w:r>
        <w:r>
          <w:rPr>
            <w:rStyle w:val="Indeksirajvezu"/>
          </w:rPr>
          <w:tab/>
          <w:t>96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21">
        <w:r>
          <w:rPr>
            <w:rStyle w:val="Indeksirajvezu"/>
            <w:rFonts w:cs="Arial"/>
            <w:bCs/>
          </w:rPr>
          <w:t>Tablica 39: Prikaz prijetnjom nastalih posljedica na život i zdravlje ljudi - Suša</w:t>
        </w:r>
        <w:r>
          <w:rPr>
            <w:webHidden/>
          </w:rPr>
          <w:fldChar w:fldCharType="begin"/>
        </w:r>
        <w:r>
          <w:rPr>
            <w:webHidden/>
          </w:rPr>
          <w:instrText>PAGEREF _Toc527969521 \h</w:instrText>
        </w:r>
        <w:r>
          <w:rPr>
            <w:webHidden/>
          </w:rPr>
        </w:r>
        <w:r>
          <w:rPr>
            <w:webHidden/>
          </w:rPr>
          <w:fldChar w:fldCharType="separate"/>
        </w:r>
        <w:r>
          <w:rPr>
            <w:rStyle w:val="Indeksirajvezu"/>
          </w:rPr>
          <w:tab/>
          <w:t>98</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22">
        <w:r>
          <w:rPr>
            <w:rStyle w:val="Indeksirajvezu"/>
            <w:rFonts w:cs="Arial"/>
            <w:bCs/>
          </w:rPr>
          <w:t>Tablica 40: Prikaz prijetnjom nastalih posljedica na gospodarstvo - Suša</w:t>
        </w:r>
        <w:r>
          <w:rPr>
            <w:webHidden/>
          </w:rPr>
          <w:fldChar w:fldCharType="begin"/>
        </w:r>
        <w:r>
          <w:rPr>
            <w:webHidden/>
          </w:rPr>
          <w:instrText>PAGEREF _Toc527969522 \h</w:instrText>
        </w:r>
        <w:r>
          <w:rPr>
            <w:webHidden/>
          </w:rPr>
        </w:r>
        <w:r>
          <w:rPr>
            <w:webHidden/>
          </w:rPr>
          <w:fldChar w:fldCharType="separate"/>
        </w:r>
        <w:r>
          <w:rPr>
            <w:rStyle w:val="Indeksirajvezu"/>
          </w:rPr>
          <w:tab/>
          <w:t>99</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23">
        <w:r>
          <w:rPr>
            <w:rStyle w:val="Indeksirajvezu"/>
            <w:rFonts w:cs="Arial"/>
            <w:bCs/>
          </w:rPr>
          <w:t>Tablica 41: Prikaz vjerojatnosti nastanka događaja s najgorim mogućim posljedicama pri pojavi suše uslijed dužeg vremenskog razdoblja bez oborina</w:t>
        </w:r>
        <w:r>
          <w:rPr>
            <w:webHidden/>
          </w:rPr>
          <w:fldChar w:fldCharType="begin"/>
        </w:r>
        <w:r>
          <w:rPr>
            <w:webHidden/>
          </w:rPr>
          <w:instrText>PAGEREF _Toc527969523 \h</w:instrText>
        </w:r>
        <w:r>
          <w:rPr>
            <w:webHidden/>
          </w:rPr>
        </w:r>
        <w:r>
          <w:rPr>
            <w:webHidden/>
          </w:rPr>
          <w:fldChar w:fldCharType="separate"/>
        </w:r>
        <w:r>
          <w:rPr>
            <w:rStyle w:val="Indeksirajvezu"/>
          </w:rPr>
          <w:tab/>
          <w:t>99</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24">
        <w:r>
          <w:rPr>
            <w:rStyle w:val="Indeksirajvezu"/>
          </w:rPr>
          <w:t>Tablica 42: Dionica A.19.2. - Kopanjek, lijeva i desna obala</w:t>
        </w:r>
        <w:r>
          <w:rPr>
            <w:webHidden/>
          </w:rPr>
          <w:fldChar w:fldCharType="begin"/>
        </w:r>
        <w:r>
          <w:rPr>
            <w:webHidden/>
          </w:rPr>
          <w:instrText>PAGEREF _Toc527969524 \h</w:instrText>
        </w:r>
        <w:r>
          <w:rPr>
            <w:webHidden/>
          </w:rPr>
        </w:r>
        <w:r>
          <w:rPr>
            <w:webHidden/>
          </w:rPr>
          <w:fldChar w:fldCharType="separate"/>
        </w:r>
        <w:r>
          <w:rPr>
            <w:rStyle w:val="Indeksirajvezu"/>
          </w:rPr>
          <w:tab/>
          <w:t>105</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25">
        <w:r>
          <w:rPr>
            <w:rStyle w:val="Indeksirajvezu"/>
          </w:rPr>
          <w:t>Tablica 43: Dionica A.19.4. - bujica Kozarevac, lijeva i desna obala</w:t>
        </w:r>
        <w:r>
          <w:rPr>
            <w:webHidden/>
          </w:rPr>
          <w:fldChar w:fldCharType="begin"/>
        </w:r>
        <w:r>
          <w:rPr>
            <w:webHidden/>
          </w:rPr>
          <w:instrText>PAGEREF _Toc527969525 \h</w:instrText>
        </w:r>
        <w:r>
          <w:rPr>
            <w:webHidden/>
          </w:rPr>
        </w:r>
        <w:r>
          <w:rPr>
            <w:webHidden/>
          </w:rPr>
          <w:fldChar w:fldCharType="separate"/>
        </w:r>
        <w:r>
          <w:rPr>
            <w:rStyle w:val="Indeksirajvezu"/>
          </w:rPr>
          <w:tab/>
          <w:t>107</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26">
        <w:r>
          <w:rPr>
            <w:rStyle w:val="Indeksirajvezu"/>
            <w:rFonts w:cs="Arial"/>
            <w:bCs/>
          </w:rPr>
          <w:t xml:space="preserve">Tablica 44: Prikaz </w:t>
        </w:r>
        <w:r>
          <w:rPr>
            <w:rStyle w:val="Indeksirajvezu"/>
            <w:rFonts w:cs="Arial"/>
            <w:bCs/>
          </w:rPr>
          <w:t>prijetnjom nastalih posljedica na život i zdravlje ljudi - Poplava</w:t>
        </w:r>
        <w:r>
          <w:rPr>
            <w:webHidden/>
          </w:rPr>
          <w:fldChar w:fldCharType="begin"/>
        </w:r>
        <w:r>
          <w:rPr>
            <w:webHidden/>
          </w:rPr>
          <w:instrText>PAGEREF _Toc527969526 \h</w:instrText>
        </w:r>
        <w:r>
          <w:rPr>
            <w:webHidden/>
          </w:rPr>
        </w:r>
        <w:r>
          <w:rPr>
            <w:webHidden/>
          </w:rPr>
          <w:fldChar w:fldCharType="separate"/>
        </w:r>
        <w:r>
          <w:rPr>
            <w:rStyle w:val="Indeksirajvezu"/>
          </w:rPr>
          <w:tab/>
          <w:t>114</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27">
        <w:r>
          <w:rPr>
            <w:rStyle w:val="Indeksirajvezu"/>
            <w:rFonts w:cs="Arial"/>
            <w:bCs/>
          </w:rPr>
          <w:t>Tablica 45: Prikaz prijetnjom nastalih posljedica na gosp</w:t>
        </w:r>
        <w:r>
          <w:rPr>
            <w:rStyle w:val="Indeksirajvezu"/>
            <w:rFonts w:cs="Arial"/>
            <w:bCs/>
          </w:rPr>
          <w:t>odarstvo - Poplava</w:t>
        </w:r>
        <w:r>
          <w:rPr>
            <w:webHidden/>
          </w:rPr>
          <w:fldChar w:fldCharType="begin"/>
        </w:r>
        <w:r>
          <w:rPr>
            <w:webHidden/>
          </w:rPr>
          <w:instrText>PAGEREF _Toc527969527 \h</w:instrText>
        </w:r>
        <w:r>
          <w:rPr>
            <w:webHidden/>
          </w:rPr>
        </w:r>
        <w:r>
          <w:rPr>
            <w:webHidden/>
          </w:rPr>
          <w:fldChar w:fldCharType="separate"/>
        </w:r>
        <w:r>
          <w:rPr>
            <w:rStyle w:val="Indeksirajvezu"/>
          </w:rPr>
          <w:tab/>
          <w:t>115</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28">
        <w:r>
          <w:rPr>
            <w:rStyle w:val="Indeksirajvezu"/>
            <w:rFonts w:cs="Arial"/>
            <w:bCs/>
          </w:rPr>
          <w:t>Tablica 46: Prikaz prijetnjom nastalih posljedica na kritičnu infrastrukturu (KI) - Poplava</w:t>
        </w:r>
        <w:r>
          <w:rPr>
            <w:webHidden/>
          </w:rPr>
          <w:fldChar w:fldCharType="begin"/>
        </w:r>
        <w:r>
          <w:rPr>
            <w:webHidden/>
          </w:rPr>
          <w:instrText>PAGEREF _Toc52</w:instrText>
        </w:r>
        <w:r>
          <w:rPr>
            <w:webHidden/>
          </w:rPr>
          <w:instrText>7969528 \h</w:instrText>
        </w:r>
        <w:r>
          <w:rPr>
            <w:webHidden/>
          </w:rPr>
        </w:r>
        <w:r>
          <w:rPr>
            <w:webHidden/>
          </w:rPr>
          <w:fldChar w:fldCharType="separate"/>
        </w:r>
        <w:r>
          <w:rPr>
            <w:rStyle w:val="Indeksirajvezu"/>
          </w:rPr>
          <w:tab/>
          <w:t>116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29">
        <w:r>
          <w:rPr>
            <w:rStyle w:val="Indeksirajvezu"/>
            <w:rFonts w:cs="Arial"/>
            <w:bCs/>
          </w:rPr>
          <w:t>Tablica 47: Prikaz prijetnjom nastalih posljedica na ustanovama i građevinama od javnog i društvenog značaja</w:t>
        </w:r>
        <w:r>
          <w:rPr>
            <w:webHidden/>
          </w:rPr>
          <w:fldChar w:fldCharType="begin"/>
        </w:r>
        <w:r>
          <w:rPr>
            <w:webHidden/>
          </w:rPr>
          <w:instrText xml:space="preserve">PAGEREF </w:instrText>
        </w:r>
        <w:r>
          <w:rPr>
            <w:webHidden/>
          </w:rPr>
          <w:instrText>_Toc527969529 \h</w:instrText>
        </w:r>
        <w:r>
          <w:rPr>
            <w:webHidden/>
          </w:rPr>
        </w:r>
        <w:r>
          <w:rPr>
            <w:webHidden/>
          </w:rPr>
          <w:fldChar w:fldCharType="separate"/>
        </w:r>
        <w:r>
          <w:rPr>
            <w:rStyle w:val="Indeksirajvezu"/>
          </w:rPr>
          <w:tab/>
          <w:t>116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30">
        <w:r>
          <w:rPr>
            <w:rStyle w:val="Indeksirajvezu"/>
            <w:rFonts w:cs="Arial"/>
            <w:bCs/>
          </w:rPr>
          <w:t>Tablica 48: Prikaz prijetnjom nastalih posljedica na društvenu stabilnost i politiku - Poplava</w:t>
        </w:r>
        <w:r>
          <w:rPr>
            <w:webHidden/>
          </w:rPr>
          <w:fldChar w:fldCharType="begin"/>
        </w:r>
        <w:r>
          <w:rPr>
            <w:webHidden/>
          </w:rPr>
          <w:instrText>PAGEREF _Toc527969530 \h</w:instrText>
        </w:r>
        <w:r>
          <w:rPr>
            <w:webHidden/>
          </w:rPr>
        </w:r>
        <w:r>
          <w:rPr>
            <w:webHidden/>
          </w:rPr>
          <w:fldChar w:fldCharType="separate"/>
        </w:r>
        <w:r>
          <w:rPr>
            <w:rStyle w:val="Indeksirajvezu"/>
          </w:rPr>
          <w:tab/>
          <w:t>116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31">
        <w:r>
          <w:rPr>
            <w:rStyle w:val="Indeksirajvezu"/>
            <w:rFonts w:cs="Arial"/>
            <w:bCs/>
          </w:rPr>
          <w:t>Tablica 49: Prikaz vjerojatnosti nastanka događaja s najgorim mogućim posljedicama uslijed poplave</w:t>
        </w:r>
        <w:r>
          <w:rPr>
            <w:webHidden/>
          </w:rPr>
          <w:fldChar w:fldCharType="begin"/>
        </w:r>
        <w:r>
          <w:rPr>
            <w:webHidden/>
          </w:rPr>
          <w:instrText>PAGEREF _Toc527969531 \h</w:instrText>
        </w:r>
        <w:r>
          <w:rPr>
            <w:webHidden/>
          </w:rPr>
        </w:r>
        <w:r>
          <w:rPr>
            <w:webHidden/>
          </w:rPr>
          <w:fldChar w:fldCharType="separate"/>
        </w:r>
        <w:r>
          <w:rPr>
            <w:rStyle w:val="Indeksirajvezu"/>
          </w:rPr>
          <w:tab/>
          <w:t>116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32">
        <w:r>
          <w:rPr>
            <w:rStyle w:val="Indeksirajvezu"/>
            <w:rFonts w:cs="Arial"/>
            <w:bCs/>
          </w:rPr>
          <w:t>Tablica 50: Prikaz učestalosti potresa na području Grada Koprivnice za povratni period od 100 god.</w:t>
        </w:r>
        <w:r>
          <w:rPr>
            <w:webHidden/>
          </w:rPr>
          <w:fldChar w:fldCharType="begin"/>
        </w:r>
        <w:r>
          <w:rPr>
            <w:webHidden/>
          </w:rPr>
          <w:instrText>PAGEREF _Toc527969532 \h</w:instrText>
        </w:r>
        <w:r>
          <w:rPr>
            <w:webHidden/>
          </w:rPr>
        </w:r>
        <w:r>
          <w:rPr>
            <w:webHidden/>
          </w:rPr>
          <w:fldChar w:fldCharType="separate"/>
        </w:r>
        <w:r>
          <w:rPr>
            <w:rStyle w:val="Indeksirajvezu"/>
          </w:rPr>
          <w:tab/>
          <w:t>120</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33">
        <w:r>
          <w:rPr>
            <w:rStyle w:val="Indeksirajvezu"/>
          </w:rPr>
          <w:t>Tablica 51: Moguće posljedice potresa jačine 7 i 8 stupnjeva MCS ljestvice</w:t>
        </w:r>
        <w:r>
          <w:rPr>
            <w:webHidden/>
          </w:rPr>
          <w:fldChar w:fldCharType="begin"/>
        </w:r>
        <w:r>
          <w:rPr>
            <w:webHidden/>
          </w:rPr>
          <w:instrText>PAGEREF _Toc527969533 \h</w:instrText>
        </w:r>
        <w:r>
          <w:rPr>
            <w:webHidden/>
          </w:rPr>
        </w:r>
        <w:r>
          <w:rPr>
            <w:webHidden/>
          </w:rPr>
          <w:fldChar w:fldCharType="separate"/>
        </w:r>
        <w:r>
          <w:rPr>
            <w:rStyle w:val="Indeksirajvezu"/>
          </w:rPr>
          <w:tab/>
          <w:t>121</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34">
        <w:r>
          <w:rPr>
            <w:rStyle w:val="Indeksirajvezu"/>
            <w:rFonts w:cs="Arial"/>
            <w:bCs/>
          </w:rPr>
          <w:t>Tablica</w:t>
        </w:r>
        <w:r>
          <w:rPr>
            <w:rStyle w:val="Indeksirajvezu"/>
            <w:rFonts w:cs="Arial"/>
            <w:bCs/>
          </w:rPr>
          <w:t xml:space="preserve"> 52: Prikaz veze opisanog MCS stupnja te pripadajuće numeričke vrijednosti vršnog ubrzanja</w:t>
        </w:r>
        <w:r>
          <w:rPr>
            <w:webHidden/>
          </w:rPr>
          <w:fldChar w:fldCharType="begin"/>
        </w:r>
        <w:r>
          <w:rPr>
            <w:webHidden/>
          </w:rPr>
          <w:instrText>PAGEREF _Toc527969534 \h</w:instrText>
        </w:r>
        <w:r>
          <w:rPr>
            <w:webHidden/>
          </w:rPr>
        </w:r>
        <w:r>
          <w:rPr>
            <w:webHidden/>
          </w:rPr>
          <w:fldChar w:fldCharType="separate"/>
        </w:r>
        <w:r>
          <w:rPr>
            <w:rStyle w:val="Indeksirajvezu"/>
          </w:rPr>
          <w:tab/>
          <w:t>125</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35">
        <w:r>
          <w:rPr>
            <w:rStyle w:val="Indeksirajvezu"/>
            <w:rFonts w:cs="Arial"/>
            <w:bCs/>
          </w:rPr>
          <w:t xml:space="preserve">Tablica 53: Prikaz mogućih šteta </w:t>
        </w:r>
        <w:r>
          <w:rPr>
            <w:rStyle w:val="Indeksirajvezu"/>
            <w:rFonts w:cs="Arial"/>
            <w:bCs/>
          </w:rPr>
          <w:t>uslijed potresa</w:t>
        </w:r>
        <w:r>
          <w:rPr>
            <w:webHidden/>
          </w:rPr>
          <w:fldChar w:fldCharType="begin"/>
        </w:r>
        <w:r>
          <w:rPr>
            <w:webHidden/>
          </w:rPr>
          <w:instrText>PAGEREF _Toc527969535 \h</w:instrText>
        </w:r>
        <w:r>
          <w:rPr>
            <w:webHidden/>
          </w:rPr>
        </w:r>
        <w:r>
          <w:rPr>
            <w:webHidden/>
          </w:rPr>
          <w:fldChar w:fldCharType="separate"/>
        </w:r>
        <w:r>
          <w:rPr>
            <w:rStyle w:val="Indeksirajvezu"/>
          </w:rPr>
          <w:tab/>
          <w:t>132</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36">
        <w:r>
          <w:rPr>
            <w:rStyle w:val="Indeksirajvezu"/>
            <w:rFonts w:cs="Arial"/>
            <w:bCs/>
          </w:rPr>
          <w:t>Tablica 54: Prikaz stupnjeva oštećenja po kategorijama te nastale građevinske štete</w:t>
        </w:r>
        <w:r>
          <w:rPr>
            <w:webHidden/>
          </w:rPr>
          <w:fldChar w:fldCharType="begin"/>
        </w:r>
        <w:r>
          <w:rPr>
            <w:webHidden/>
          </w:rPr>
          <w:instrText>PAGEREF _Toc527969536 \h</w:instrText>
        </w:r>
        <w:r>
          <w:rPr>
            <w:webHidden/>
          </w:rPr>
        </w:r>
        <w:r>
          <w:rPr>
            <w:webHidden/>
          </w:rPr>
          <w:fldChar w:fldCharType="separate"/>
        </w:r>
        <w:r>
          <w:rPr>
            <w:rStyle w:val="Indeksirajvezu"/>
          </w:rPr>
          <w:tab/>
          <w:t>135</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37">
        <w:r>
          <w:rPr>
            <w:rStyle w:val="Indeksirajvezu"/>
            <w:rFonts w:cs="Arial"/>
            <w:bCs/>
          </w:rPr>
          <w:t>Tablica 55: Prikaz stupnjeva oštećenja s brojem ugroženog stanovništva</w:t>
        </w:r>
        <w:r>
          <w:rPr>
            <w:webHidden/>
          </w:rPr>
          <w:fldChar w:fldCharType="begin"/>
        </w:r>
        <w:r>
          <w:rPr>
            <w:webHidden/>
          </w:rPr>
          <w:instrText>PAGEREF _Toc527969537 \h</w:instrText>
        </w:r>
        <w:r>
          <w:rPr>
            <w:webHidden/>
          </w:rPr>
        </w:r>
        <w:r>
          <w:rPr>
            <w:webHidden/>
          </w:rPr>
          <w:fldChar w:fldCharType="separate"/>
        </w:r>
        <w:r>
          <w:rPr>
            <w:rStyle w:val="Indeksirajvezu"/>
          </w:rPr>
          <w:tab/>
          <w:t>135</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38">
        <w:r>
          <w:rPr>
            <w:rStyle w:val="Indeksirajvezu"/>
            <w:rFonts w:cs="Arial"/>
            <w:bCs/>
          </w:rPr>
          <w:t>Tablica 56: Približni jedinični troškovi izgradnje raznih kategorija građevina</w:t>
        </w:r>
        <w:r>
          <w:rPr>
            <w:webHidden/>
          </w:rPr>
          <w:fldChar w:fldCharType="begin"/>
        </w:r>
        <w:r>
          <w:rPr>
            <w:webHidden/>
          </w:rPr>
          <w:instrText>PAGEREF _Toc527969538 \h</w:instrText>
        </w:r>
        <w:r>
          <w:rPr>
            <w:webHidden/>
          </w:rPr>
        </w:r>
        <w:r>
          <w:rPr>
            <w:webHidden/>
          </w:rPr>
          <w:fldChar w:fldCharType="separate"/>
        </w:r>
        <w:r>
          <w:rPr>
            <w:rStyle w:val="Indeksirajvezu"/>
          </w:rPr>
          <w:tab/>
          <w:t>138</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39">
        <w:r>
          <w:rPr>
            <w:rStyle w:val="Indeksirajvezu"/>
            <w:rFonts w:cs="Arial"/>
            <w:bCs/>
          </w:rPr>
          <w:t xml:space="preserve">Tablica 57: Prikaz prijetnjom nastalih </w:t>
        </w:r>
        <w:r>
          <w:rPr>
            <w:rStyle w:val="Indeksirajvezu"/>
            <w:rFonts w:cs="Arial"/>
            <w:bCs/>
          </w:rPr>
          <w:t>posljedica na život i zdravlje ljudi - Potres</w:t>
        </w:r>
        <w:r>
          <w:rPr>
            <w:webHidden/>
          </w:rPr>
          <w:fldChar w:fldCharType="begin"/>
        </w:r>
        <w:r>
          <w:rPr>
            <w:webHidden/>
          </w:rPr>
          <w:instrText>PAGEREF _Toc527969539 \h</w:instrText>
        </w:r>
        <w:r>
          <w:rPr>
            <w:webHidden/>
          </w:rPr>
        </w:r>
        <w:r>
          <w:rPr>
            <w:webHidden/>
          </w:rPr>
          <w:fldChar w:fldCharType="separate"/>
        </w:r>
        <w:r>
          <w:rPr>
            <w:rStyle w:val="Indeksirajvezu"/>
          </w:rPr>
          <w:tab/>
          <w:t>139</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40">
        <w:r>
          <w:rPr>
            <w:rStyle w:val="Indeksirajvezu"/>
            <w:rFonts w:cs="Arial"/>
            <w:bCs/>
          </w:rPr>
          <w:t>Tablica 58: Prikaz prijetnjom nastalih posljedica na gospodarstvo - Potres</w:t>
        </w:r>
        <w:r>
          <w:rPr>
            <w:webHidden/>
          </w:rPr>
          <w:fldChar w:fldCharType="begin"/>
        </w:r>
        <w:r>
          <w:rPr>
            <w:webHidden/>
          </w:rPr>
          <w:instrText>PAGER</w:instrText>
        </w:r>
        <w:r>
          <w:rPr>
            <w:webHidden/>
          </w:rPr>
          <w:instrText>EF _Toc527969540 \h</w:instrText>
        </w:r>
        <w:r>
          <w:rPr>
            <w:webHidden/>
          </w:rPr>
        </w:r>
        <w:r>
          <w:rPr>
            <w:webHidden/>
          </w:rPr>
          <w:fldChar w:fldCharType="separate"/>
        </w:r>
        <w:r>
          <w:rPr>
            <w:rStyle w:val="Indeksirajvezu"/>
          </w:rPr>
          <w:tab/>
          <w:t>140</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41">
        <w:r>
          <w:rPr>
            <w:rStyle w:val="Indeksirajvezu"/>
            <w:rFonts w:cs="Arial"/>
            <w:bCs/>
          </w:rPr>
          <w:t>Tablica 59: Prikaz prijetnjom nastalih posljedica na kritičnu infrastrukturu - Potres</w:t>
        </w:r>
        <w:r>
          <w:rPr>
            <w:webHidden/>
          </w:rPr>
          <w:fldChar w:fldCharType="begin"/>
        </w:r>
        <w:r>
          <w:rPr>
            <w:webHidden/>
          </w:rPr>
          <w:instrText>PAGEREF _Toc527969541 \h</w:instrText>
        </w:r>
        <w:r>
          <w:rPr>
            <w:webHidden/>
          </w:rPr>
        </w:r>
        <w:r>
          <w:rPr>
            <w:webHidden/>
          </w:rPr>
          <w:fldChar w:fldCharType="separate"/>
        </w:r>
        <w:r>
          <w:rPr>
            <w:rStyle w:val="Indeksirajvezu"/>
          </w:rPr>
          <w:tab/>
          <w:t>140</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42">
        <w:r>
          <w:rPr>
            <w:rStyle w:val="Indeksirajvezu"/>
            <w:rFonts w:cs="Arial"/>
            <w:bCs/>
          </w:rPr>
          <w:t>Tablica 60: Prikaz prijetnjom nastalih posljedica na ustanove i građevine od javnog i društvenog značaja - Potres</w:t>
        </w:r>
        <w:r>
          <w:rPr>
            <w:webHidden/>
          </w:rPr>
          <w:fldChar w:fldCharType="begin"/>
        </w:r>
        <w:r>
          <w:rPr>
            <w:webHidden/>
          </w:rPr>
          <w:instrText>PAGEREF _Toc527969542 \h</w:instrText>
        </w:r>
        <w:r>
          <w:rPr>
            <w:webHidden/>
          </w:rPr>
        </w:r>
        <w:r>
          <w:rPr>
            <w:webHidden/>
          </w:rPr>
          <w:fldChar w:fldCharType="separate"/>
        </w:r>
        <w:r>
          <w:rPr>
            <w:rStyle w:val="Indeksirajvezu"/>
          </w:rPr>
          <w:tab/>
          <w:t>141</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43">
        <w:r>
          <w:rPr>
            <w:rStyle w:val="Indeksirajvezu"/>
            <w:rFonts w:cs="Arial"/>
            <w:bCs/>
          </w:rPr>
          <w:t>Tablica 61: Prikaz prijetnjom nastalih posljedica na društvenu stabilnost i politiku - Potres</w:t>
        </w:r>
        <w:r>
          <w:rPr>
            <w:webHidden/>
          </w:rPr>
          <w:fldChar w:fldCharType="begin"/>
        </w:r>
        <w:r>
          <w:rPr>
            <w:webHidden/>
          </w:rPr>
          <w:instrText>PAGEREF _Toc527969543 \h</w:instrText>
        </w:r>
        <w:r>
          <w:rPr>
            <w:webHidden/>
          </w:rPr>
        </w:r>
        <w:r>
          <w:rPr>
            <w:webHidden/>
          </w:rPr>
          <w:fldChar w:fldCharType="separate"/>
        </w:r>
        <w:r>
          <w:rPr>
            <w:rStyle w:val="Indeksirajvezu"/>
          </w:rPr>
          <w:tab/>
          <w:t>141</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44">
        <w:r>
          <w:rPr>
            <w:rStyle w:val="Indeksirajvezu"/>
            <w:rFonts w:cs="Arial"/>
            <w:bCs/>
          </w:rPr>
          <w:t>Tablica 62: Prikaz vjerojatnosti nastanka događaja s najgorim mogućim posljedicama uslijed potresa</w:t>
        </w:r>
        <w:r>
          <w:rPr>
            <w:webHidden/>
          </w:rPr>
          <w:fldChar w:fldCharType="begin"/>
        </w:r>
        <w:r>
          <w:rPr>
            <w:webHidden/>
          </w:rPr>
          <w:instrText>PAGEREF _Toc527969544 \h</w:instrText>
        </w:r>
        <w:r>
          <w:rPr>
            <w:webHidden/>
          </w:rPr>
        </w:r>
        <w:r>
          <w:rPr>
            <w:webHidden/>
          </w:rPr>
          <w:fldChar w:fldCharType="separate"/>
        </w:r>
        <w:r>
          <w:rPr>
            <w:rStyle w:val="Indeksirajvezu"/>
          </w:rPr>
          <w:tab/>
          <w:t>142</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45">
        <w:r>
          <w:rPr>
            <w:rStyle w:val="Indeksirajvezu"/>
            <w:rFonts w:cs="Arial"/>
            <w:bCs/>
          </w:rPr>
          <w:t>Tablica 63: Tablični prikaz ulaznih parametara za izračune</w:t>
        </w:r>
        <w:r>
          <w:rPr>
            <w:webHidden/>
          </w:rPr>
          <w:fldChar w:fldCharType="begin"/>
        </w:r>
        <w:r>
          <w:rPr>
            <w:webHidden/>
          </w:rPr>
          <w:instrText>PAGEREF _Toc527969545 \h</w:instrText>
        </w:r>
        <w:r>
          <w:rPr>
            <w:webHidden/>
          </w:rPr>
        </w:r>
        <w:r>
          <w:rPr>
            <w:webHidden/>
          </w:rPr>
          <w:fldChar w:fldCharType="separate"/>
        </w:r>
        <w:r>
          <w:rPr>
            <w:rStyle w:val="Indeksirajvezu"/>
          </w:rPr>
          <w:tab/>
          <w:t>150</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46">
        <w:r>
          <w:rPr>
            <w:rStyle w:val="Indeksirajvezu"/>
            <w:rFonts w:cs="Arial"/>
            <w:bCs/>
          </w:rPr>
          <w:t>Tablica 64: Prikaz prijetnjom nastalih posljedica na život i zdravlje ljudi - Industrijska nesreća</w:t>
        </w:r>
        <w:r>
          <w:rPr>
            <w:webHidden/>
          </w:rPr>
          <w:fldChar w:fldCharType="begin"/>
        </w:r>
        <w:r>
          <w:rPr>
            <w:webHidden/>
          </w:rPr>
          <w:instrText>PAGEREF _Toc527969546 \h</w:instrText>
        </w:r>
        <w:r>
          <w:rPr>
            <w:webHidden/>
          </w:rPr>
        </w:r>
        <w:r>
          <w:rPr>
            <w:webHidden/>
          </w:rPr>
          <w:fldChar w:fldCharType="separate"/>
        </w:r>
        <w:r>
          <w:rPr>
            <w:rStyle w:val="Indeksirajvezu"/>
          </w:rPr>
          <w:tab/>
          <w:t>155</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47">
        <w:r>
          <w:rPr>
            <w:rStyle w:val="Indeksirajvezu"/>
            <w:rFonts w:cs="Arial"/>
            <w:bCs/>
          </w:rPr>
          <w:t>Tablica 65: Prika</w:t>
        </w:r>
        <w:r>
          <w:rPr>
            <w:rStyle w:val="Indeksirajvezu"/>
            <w:rFonts w:cs="Arial"/>
            <w:bCs/>
          </w:rPr>
          <w:t>z prijetnjom nastalih posljedica na gospodarstvo - Industrijska nesreća</w:t>
        </w:r>
        <w:r>
          <w:rPr>
            <w:webHidden/>
          </w:rPr>
          <w:fldChar w:fldCharType="begin"/>
        </w:r>
        <w:r>
          <w:rPr>
            <w:webHidden/>
          </w:rPr>
          <w:instrText>PAGEREF _Toc527969547 \h</w:instrText>
        </w:r>
        <w:r>
          <w:rPr>
            <w:webHidden/>
          </w:rPr>
        </w:r>
        <w:r>
          <w:rPr>
            <w:webHidden/>
          </w:rPr>
          <w:fldChar w:fldCharType="separate"/>
        </w:r>
        <w:r>
          <w:rPr>
            <w:rStyle w:val="Indeksirajvezu"/>
          </w:rPr>
          <w:tab/>
          <w:t>155</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48">
        <w:r>
          <w:rPr>
            <w:rStyle w:val="Indeksirajvezu"/>
            <w:rFonts w:cs="Arial"/>
            <w:bCs/>
          </w:rPr>
          <w:t xml:space="preserve">Tablica 66: Prikaz prijetnjom nastalih posljedica na </w:t>
        </w:r>
        <w:r>
          <w:rPr>
            <w:rStyle w:val="Indeksirajvezu"/>
            <w:rFonts w:cs="Arial"/>
            <w:bCs/>
          </w:rPr>
          <w:t>kritičnu infrastrukturu - Industrijska nesreća</w:t>
        </w:r>
        <w:r>
          <w:rPr>
            <w:webHidden/>
          </w:rPr>
          <w:fldChar w:fldCharType="begin"/>
        </w:r>
        <w:r>
          <w:rPr>
            <w:webHidden/>
          </w:rPr>
          <w:instrText>PAGEREF _Toc527969548 \h</w:instrText>
        </w:r>
        <w:r>
          <w:rPr>
            <w:webHidden/>
          </w:rPr>
        </w:r>
        <w:r>
          <w:rPr>
            <w:webHidden/>
          </w:rPr>
          <w:fldChar w:fldCharType="separate"/>
        </w:r>
        <w:r>
          <w:rPr>
            <w:rStyle w:val="Indeksirajvezu"/>
          </w:rPr>
          <w:tab/>
          <w:t>156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49">
        <w:r>
          <w:rPr>
            <w:rStyle w:val="Indeksirajvezu"/>
            <w:rFonts w:cs="Arial"/>
            <w:bCs/>
          </w:rPr>
          <w:t xml:space="preserve">Tablica 67: Prikaz prijetnjom nastalih posljedica na društvenu </w:t>
        </w:r>
        <w:r>
          <w:rPr>
            <w:rStyle w:val="Indeksirajvezu"/>
            <w:rFonts w:cs="Arial"/>
            <w:bCs/>
          </w:rPr>
          <w:t>stabilnost i politiku</w:t>
        </w:r>
        <w:r>
          <w:rPr>
            <w:webHidden/>
          </w:rPr>
          <w:fldChar w:fldCharType="begin"/>
        </w:r>
        <w:r>
          <w:rPr>
            <w:webHidden/>
          </w:rPr>
          <w:instrText>PAGEREF _Toc527969549 \h</w:instrText>
        </w:r>
        <w:r>
          <w:rPr>
            <w:webHidden/>
          </w:rPr>
        </w:r>
        <w:r>
          <w:rPr>
            <w:webHidden/>
          </w:rPr>
          <w:fldChar w:fldCharType="separate"/>
        </w:r>
        <w:r>
          <w:rPr>
            <w:rStyle w:val="Indeksirajvezu"/>
          </w:rPr>
          <w:tab/>
          <w:t>156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50">
        <w:r>
          <w:rPr>
            <w:rStyle w:val="Indeksirajvezu"/>
            <w:rFonts w:cs="Arial"/>
            <w:bCs/>
          </w:rPr>
          <w:t>Tablica 68: Prikaz vjerojatnosti nastanka događaja s najgorim mogućim posljedicama uslijed industrijske</w:t>
        </w:r>
        <w:r>
          <w:rPr>
            <w:rStyle w:val="Indeksirajvezu"/>
            <w:rFonts w:cs="Arial"/>
            <w:bCs/>
          </w:rPr>
          <w:t xml:space="preserve"> nesreće na području Općine</w:t>
        </w:r>
        <w:r>
          <w:rPr>
            <w:webHidden/>
          </w:rPr>
          <w:fldChar w:fldCharType="begin"/>
        </w:r>
        <w:r>
          <w:rPr>
            <w:webHidden/>
          </w:rPr>
          <w:instrText>PAGEREF _Toc527969550 \h</w:instrText>
        </w:r>
        <w:r>
          <w:rPr>
            <w:webHidden/>
          </w:rPr>
        </w:r>
        <w:r>
          <w:rPr>
            <w:webHidden/>
          </w:rPr>
          <w:fldChar w:fldCharType="separate"/>
        </w:r>
        <w:r>
          <w:rPr>
            <w:rStyle w:val="Indeksirajvezu"/>
          </w:rPr>
          <w:tab/>
          <w:t>157</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51">
        <w:r>
          <w:rPr>
            <w:rStyle w:val="Indeksirajvezu"/>
            <w:rFonts w:cs="Arial"/>
            <w:bCs/>
          </w:rPr>
          <w:t>Tablica 69: Analiza sustava civilne zaštite - Područje preventive</w:t>
        </w:r>
        <w:r>
          <w:rPr>
            <w:webHidden/>
          </w:rPr>
          <w:fldChar w:fldCharType="begin"/>
        </w:r>
        <w:r>
          <w:rPr>
            <w:webHidden/>
          </w:rPr>
          <w:instrText>PAGEREF _Toc527969551 \h</w:instrText>
        </w:r>
        <w:r>
          <w:rPr>
            <w:webHidden/>
          </w:rPr>
        </w:r>
        <w:r>
          <w:rPr>
            <w:webHidden/>
          </w:rPr>
          <w:fldChar w:fldCharType="separate"/>
        </w:r>
        <w:r>
          <w:rPr>
            <w:rStyle w:val="Indeksirajvezu"/>
          </w:rPr>
          <w:tab/>
          <w:t>165</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52">
        <w:r>
          <w:rPr>
            <w:rStyle w:val="Indeksirajvezu"/>
            <w:rFonts w:cs="Arial"/>
            <w:bCs/>
          </w:rPr>
          <w:t>Tablica 70: Prikaz spremnosti kapaciteta čelnih osoba sustava civilne zaštite Općine</w:t>
        </w:r>
        <w:r>
          <w:rPr>
            <w:webHidden/>
          </w:rPr>
          <w:fldChar w:fldCharType="begin"/>
        </w:r>
        <w:r>
          <w:rPr>
            <w:webHidden/>
          </w:rPr>
          <w:instrText>PAGEREF _Toc527969552 \h</w:instrText>
        </w:r>
        <w:r>
          <w:rPr>
            <w:webHidden/>
          </w:rPr>
        </w:r>
        <w:r>
          <w:rPr>
            <w:webHidden/>
          </w:rPr>
          <w:fldChar w:fldCharType="separate"/>
        </w:r>
        <w:r>
          <w:rPr>
            <w:rStyle w:val="Indeksirajvezu"/>
          </w:rPr>
          <w:tab/>
          <w:t>166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53">
        <w:r>
          <w:rPr>
            <w:rStyle w:val="Indeksirajvezu"/>
            <w:rFonts w:cs="Arial"/>
            <w:bCs/>
          </w:rPr>
          <w:t>Tablica 71: Prikaz spremnosti kapaciteta Stožera civilne zaštite</w:t>
        </w:r>
        <w:r>
          <w:rPr>
            <w:webHidden/>
          </w:rPr>
          <w:fldChar w:fldCharType="begin"/>
        </w:r>
        <w:r>
          <w:rPr>
            <w:webHidden/>
          </w:rPr>
          <w:instrText>PAGEREF _Toc527969553 \h</w:instrText>
        </w:r>
        <w:r>
          <w:rPr>
            <w:webHidden/>
          </w:rPr>
        </w:r>
        <w:r>
          <w:rPr>
            <w:webHidden/>
          </w:rPr>
          <w:fldChar w:fldCharType="separate"/>
        </w:r>
        <w:r>
          <w:rPr>
            <w:rStyle w:val="Indeksirajvezu"/>
          </w:rPr>
          <w:tab/>
          <w:t>167</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54">
        <w:r>
          <w:rPr>
            <w:rStyle w:val="Indeksirajvezu"/>
            <w:rFonts w:cs="Arial"/>
            <w:bCs/>
          </w:rPr>
          <w:t>Tablica 72: Prikaz spremnosti kapaciteta koordinatora na lokaciji sustava civilne zaštite Općine</w:t>
        </w:r>
        <w:r>
          <w:rPr>
            <w:webHidden/>
          </w:rPr>
          <w:fldChar w:fldCharType="begin"/>
        </w:r>
        <w:r>
          <w:rPr>
            <w:webHidden/>
          </w:rPr>
          <w:instrText>PAGEREF _Toc527969554 \h</w:instrText>
        </w:r>
        <w:r>
          <w:rPr>
            <w:webHidden/>
          </w:rPr>
        </w:r>
        <w:r>
          <w:rPr>
            <w:webHidden/>
          </w:rPr>
          <w:fldChar w:fldCharType="separate"/>
        </w:r>
        <w:r>
          <w:rPr>
            <w:rStyle w:val="Indeksirajvezu"/>
          </w:rPr>
          <w:tab/>
          <w:t>168</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55">
        <w:r>
          <w:rPr>
            <w:rStyle w:val="Indeksirajvezu"/>
          </w:rPr>
          <w:t xml:space="preserve">Tablica 73: Prikaz </w:t>
        </w:r>
        <w:r>
          <w:rPr>
            <w:rStyle w:val="Indeksirajvezu"/>
          </w:rPr>
          <w:t>opreme i članstva operativnih snaga vatrogastva na području Općine</w:t>
        </w:r>
        <w:r>
          <w:rPr>
            <w:webHidden/>
          </w:rPr>
          <w:fldChar w:fldCharType="begin"/>
        </w:r>
        <w:r>
          <w:rPr>
            <w:webHidden/>
          </w:rPr>
          <w:instrText>PAGEREF _Toc527969555 \h</w:instrText>
        </w:r>
        <w:r>
          <w:rPr>
            <w:webHidden/>
          </w:rPr>
        </w:r>
        <w:r>
          <w:rPr>
            <w:webHidden/>
          </w:rPr>
          <w:fldChar w:fldCharType="separate"/>
        </w:r>
        <w:r>
          <w:rPr>
            <w:rStyle w:val="Indeksirajvezu"/>
          </w:rPr>
          <w:tab/>
          <w:t>169</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56">
        <w:r>
          <w:rPr>
            <w:rStyle w:val="Indeksirajvezu"/>
            <w:rFonts w:cs="Arial"/>
            <w:bCs/>
          </w:rPr>
          <w:t>Tablica 74: Prikaz spremnosti operativnih snaga vatrogast</w:t>
        </w:r>
        <w:r>
          <w:rPr>
            <w:rStyle w:val="Indeksirajvezu"/>
            <w:rFonts w:cs="Arial"/>
            <w:bCs/>
          </w:rPr>
          <w:t>va na području Općine</w:t>
        </w:r>
        <w:r>
          <w:rPr>
            <w:webHidden/>
          </w:rPr>
          <w:fldChar w:fldCharType="begin"/>
        </w:r>
        <w:r>
          <w:rPr>
            <w:webHidden/>
          </w:rPr>
          <w:instrText>PAGEREF _Toc527969556 \h</w:instrText>
        </w:r>
        <w:r>
          <w:rPr>
            <w:webHidden/>
          </w:rPr>
        </w:r>
        <w:r>
          <w:rPr>
            <w:webHidden/>
          </w:rPr>
          <w:fldChar w:fldCharType="separate"/>
        </w:r>
        <w:r>
          <w:rPr>
            <w:rStyle w:val="Indeksirajvezu"/>
          </w:rPr>
          <w:tab/>
          <w:t>169</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57">
        <w:r>
          <w:rPr>
            <w:rStyle w:val="Indeksirajvezu"/>
            <w:rFonts w:cs="Arial"/>
            <w:bCs/>
          </w:rPr>
          <w:t>Tablica 75: Prikaz spremnosti operativnih snaga postrojbe civilne zaštite Općine</w:t>
        </w:r>
        <w:r>
          <w:rPr>
            <w:webHidden/>
          </w:rPr>
          <w:fldChar w:fldCharType="begin"/>
        </w:r>
        <w:r>
          <w:rPr>
            <w:webHidden/>
          </w:rPr>
          <w:instrText>PAGEREF _Toc527969557 \</w:instrText>
        </w:r>
        <w:r>
          <w:rPr>
            <w:webHidden/>
          </w:rPr>
          <w:instrText>h</w:instrText>
        </w:r>
        <w:r>
          <w:rPr>
            <w:webHidden/>
          </w:rPr>
        </w:r>
        <w:r>
          <w:rPr>
            <w:webHidden/>
          </w:rPr>
          <w:fldChar w:fldCharType="separate"/>
        </w:r>
        <w:r>
          <w:rPr>
            <w:rStyle w:val="Indeksirajvezu"/>
          </w:rPr>
          <w:tab/>
          <w:t>170</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58">
        <w:r>
          <w:rPr>
            <w:rStyle w:val="Indeksirajvezu"/>
            <w:rFonts w:cs="Arial"/>
            <w:bCs/>
          </w:rPr>
          <w:t>Tablica 76: Prikaz sposobnosti operativnih snaga povjerenika i zamjenika povjerenika sustava civilne zaštite Općine</w:t>
        </w:r>
        <w:r>
          <w:rPr>
            <w:webHidden/>
          </w:rPr>
          <w:fldChar w:fldCharType="begin"/>
        </w:r>
        <w:r>
          <w:rPr>
            <w:webHidden/>
          </w:rPr>
          <w:instrText>PAGEREF _Toc527969558 \h</w:instrText>
        </w:r>
        <w:r>
          <w:rPr>
            <w:webHidden/>
          </w:rPr>
        </w:r>
        <w:r>
          <w:rPr>
            <w:webHidden/>
          </w:rPr>
          <w:fldChar w:fldCharType="separate"/>
        </w:r>
        <w:r>
          <w:rPr>
            <w:rStyle w:val="Indeksirajvezu"/>
          </w:rPr>
          <w:tab/>
          <w:t>171</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59">
        <w:r>
          <w:rPr>
            <w:rStyle w:val="Indeksirajvezu"/>
            <w:rFonts w:cs="Arial"/>
            <w:bCs/>
          </w:rPr>
          <w:t>Tablica 77: Prikaz spremnosti operativnih kapaciteta pravnih osoba od interesa za sustav civilne zaštite Općine</w:t>
        </w:r>
        <w:r>
          <w:rPr>
            <w:webHidden/>
          </w:rPr>
          <w:fldChar w:fldCharType="begin"/>
        </w:r>
        <w:r>
          <w:rPr>
            <w:webHidden/>
          </w:rPr>
          <w:instrText>PAGEREF _Toc527969559 \h</w:instrText>
        </w:r>
        <w:r>
          <w:rPr>
            <w:webHidden/>
          </w:rPr>
        </w:r>
        <w:r>
          <w:rPr>
            <w:webHidden/>
          </w:rPr>
          <w:fldChar w:fldCharType="separate"/>
        </w:r>
        <w:r>
          <w:rPr>
            <w:rStyle w:val="Indeksirajvezu"/>
          </w:rPr>
          <w:tab/>
          <w:t>173</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60">
        <w:r>
          <w:rPr>
            <w:rStyle w:val="Indeksirajvezu"/>
            <w:rFonts w:cs="Arial"/>
            <w:bCs/>
          </w:rPr>
          <w:t>Tablica 78: Prikaz spremnosti operativnih kapaciteta Hrvatske gorske službe spašavanja (HGSS) - Stanica Koprivnica</w:t>
        </w:r>
        <w:r>
          <w:rPr>
            <w:webHidden/>
          </w:rPr>
          <w:fldChar w:fldCharType="begin"/>
        </w:r>
        <w:r>
          <w:rPr>
            <w:webHidden/>
          </w:rPr>
          <w:instrText>PAGEREF _Toc527969560 \h</w:instrText>
        </w:r>
        <w:r>
          <w:rPr>
            <w:webHidden/>
          </w:rPr>
        </w:r>
        <w:r>
          <w:rPr>
            <w:webHidden/>
          </w:rPr>
          <w:fldChar w:fldCharType="separate"/>
        </w:r>
        <w:r>
          <w:rPr>
            <w:rStyle w:val="Indeksirajvezu"/>
          </w:rPr>
          <w:tab/>
          <w:t>174</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61">
        <w:r>
          <w:rPr>
            <w:rStyle w:val="Indeksirajvezu"/>
            <w:rFonts w:cs="Arial"/>
            <w:bCs/>
          </w:rPr>
          <w:t xml:space="preserve">Tablica 79: Prikaz spremnosti operativnih kapaciteta Gradskog društva Crvenog križa </w:t>
        </w:r>
        <w:r>
          <w:rPr>
            <w:rStyle w:val="Indeksirajvezu"/>
            <w:rFonts w:cs="Arial"/>
          </w:rPr>
          <w:t>Đurđevac</w:t>
        </w:r>
        <w:r>
          <w:rPr>
            <w:webHidden/>
          </w:rPr>
          <w:fldChar w:fldCharType="begin"/>
        </w:r>
        <w:r>
          <w:rPr>
            <w:webHidden/>
          </w:rPr>
          <w:instrText>PAGEREF _Toc527969561 \h</w:instrText>
        </w:r>
        <w:r>
          <w:rPr>
            <w:webHidden/>
          </w:rPr>
        </w:r>
        <w:r>
          <w:rPr>
            <w:webHidden/>
          </w:rPr>
          <w:fldChar w:fldCharType="separate"/>
        </w:r>
        <w:r>
          <w:rPr>
            <w:rStyle w:val="Indeksirajvezu"/>
          </w:rPr>
          <w:tab/>
          <w:t>175</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62">
        <w:r>
          <w:rPr>
            <w:rStyle w:val="Indeksirajvezu"/>
            <w:rFonts w:cs="Arial"/>
            <w:bCs/>
          </w:rPr>
          <w:t>Tablica 80: Prikaz spremnosti operativnih kapaciteta udruga Općine</w:t>
        </w:r>
        <w:r>
          <w:rPr>
            <w:webHidden/>
          </w:rPr>
          <w:fldChar w:fldCharType="begin"/>
        </w:r>
        <w:r>
          <w:rPr>
            <w:webHidden/>
          </w:rPr>
          <w:instrText>PAGEREF _Toc527969562 \h</w:instrText>
        </w:r>
        <w:r>
          <w:rPr>
            <w:webHidden/>
          </w:rPr>
        </w:r>
        <w:r>
          <w:rPr>
            <w:webHidden/>
          </w:rPr>
          <w:fldChar w:fldCharType="separate"/>
        </w:r>
        <w:r>
          <w:rPr>
            <w:rStyle w:val="Indeksirajvezu"/>
          </w:rPr>
          <w:tab/>
          <w:t>176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63">
        <w:r>
          <w:rPr>
            <w:rStyle w:val="Indeksirajvezu"/>
            <w:rFonts w:cs="Arial"/>
            <w:bCs/>
          </w:rPr>
          <w:t>Tablica 81: Prikaz stanja mobilnosti operativnih kapaciteta sustava civilne zaštite i stanja komunikacijskih kapaciteta</w:t>
        </w:r>
        <w:r>
          <w:rPr>
            <w:webHidden/>
          </w:rPr>
          <w:fldChar w:fldCharType="begin"/>
        </w:r>
        <w:r>
          <w:rPr>
            <w:webHidden/>
          </w:rPr>
          <w:instrText>PAGEREF _Toc527969563 \h</w:instrText>
        </w:r>
        <w:r>
          <w:rPr>
            <w:webHidden/>
          </w:rPr>
        </w:r>
        <w:r>
          <w:rPr>
            <w:webHidden/>
          </w:rPr>
          <w:fldChar w:fldCharType="separate"/>
        </w:r>
        <w:r>
          <w:rPr>
            <w:rStyle w:val="Indeksirajvezu"/>
          </w:rPr>
          <w:tab/>
          <w:t>177</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64">
        <w:r>
          <w:rPr>
            <w:rStyle w:val="Indeksirajvezu"/>
            <w:rFonts w:cs="Arial"/>
            <w:bCs/>
          </w:rPr>
          <w:t>Tablica 82: Analiza stanja sustava civilne zaštite - Područje reagiranja - Epidemije i pandemije</w:t>
        </w:r>
        <w:r>
          <w:rPr>
            <w:webHidden/>
          </w:rPr>
          <w:fldChar w:fldCharType="begin"/>
        </w:r>
        <w:r>
          <w:rPr>
            <w:webHidden/>
          </w:rPr>
          <w:instrText>PAGEREF _Toc527969564 \h</w:instrText>
        </w:r>
        <w:r>
          <w:rPr>
            <w:webHidden/>
          </w:rPr>
        </w:r>
        <w:r>
          <w:rPr>
            <w:webHidden/>
          </w:rPr>
          <w:fldChar w:fldCharType="separate"/>
        </w:r>
        <w:r>
          <w:rPr>
            <w:rStyle w:val="Indeksirajvezu"/>
          </w:rPr>
          <w:tab/>
          <w:t>178</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65">
        <w:r>
          <w:rPr>
            <w:rStyle w:val="Indeksirajvezu"/>
            <w:rFonts w:cs="Arial"/>
            <w:bCs/>
          </w:rPr>
          <w:t>Tablica 83: Analiza stanja sustava civilne zaštite - Područje reagiranja - Ekstremne temperature</w:t>
        </w:r>
        <w:r>
          <w:rPr>
            <w:webHidden/>
          </w:rPr>
          <w:fldChar w:fldCharType="begin"/>
        </w:r>
        <w:r>
          <w:rPr>
            <w:webHidden/>
          </w:rPr>
          <w:instrText>PAGEREF _Toc527969565 \h</w:instrText>
        </w:r>
        <w:r>
          <w:rPr>
            <w:webHidden/>
          </w:rPr>
        </w:r>
        <w:r>
          <w:rPr>
            <w:webHidden/>
          </w:rPr>
          <w:fldChar w:fldCharType="separate"/>
        </w:r>
        <w:r>
          <w:rPr>
            <w:rStyle w:val="Indeksirajvezu"/>
          </w:rPr>
          <w:tab/>
          <w:t>182</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66">
        <w:r>
          <w:rPr>
            <w:rStyle w:val="Indeksirajvezu"/>
            <w:rFonts w:cs="Arial"/>
            <w:bCs/>
          </w:rPr>
          <w:t>Tablica 84: Anali</w:t>
        </w:r>
        <w:r>
          <w:rPr>
            <w:rStyle w:val="Indeksirajvezu"/>
            <w:rFonts w:cs="Arial"/>
            <w:bCs/>
          </w:rPr>
          <w:t>za stanja sustava civilne zaštite - Područje reagiranja - Suša</w:t>
        </w:r>
        <w:r>
          <w:rPr>
            <w:webHidden/>
          </w:rPr>
          <w:fldChar w:fldCharType="begin"/>
        </w:r>
        <w:r>
          <w:rPr>
            <w:webHidden/>
          </w:rPr>
          <w:instrText>PAGEREF _Toc527969566 \h</w:instrText>
        </w:r>
        <w:r>
          <w:rPr>
            <w:webHidden/>
          </w:rPr>
        </w:r>
        <w:r>
          <w:rPr>
            <w:webHidden/>
          </w:rPr>
          <w:fldChar w:fldCharType="separate"/>
        </w:r>
        <w:r>
          <w:rPr>
            <w:rStyle w:val="Indeksirajvezu"/>
          </w:rPr>
          <w:tab/>
          <w:t>186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67">
        <w:r>
          <w:rPr>
            <w:rStyle w:val="Indeksirajvezu"/>
            <w:rFonts w:cs="Arial"/>
            <w:bCs/>
          </w:rPr>
          <w:t>Tablica 85: Analiza stanja sustava civilne zaštite - Područje</w:t>
        </w:r>
        <w:r>
          <w:rPr>
            <w:rStyle w:val="Indeksirajvezu"/>
            <w:rFonts w:cs="Arial"/>
            <w:bCs/>
          </w:rPr>
          <w:t xml:space="preserve"> reagiranja - Poplava</w:t>
        </w:r>
        <w:r>
          <w:rPr>
            <w:webHidden/>
          </w:rPr>
          <w:fldChar w:fldCharType="begin"/>
        </w:r>
        <w:r>
          <w:rPr>
            <w:webHidden/>
          </w:rPr>
          <w:instrText>PAGEREF _Toc527969567 \h</w:instrText>
        </w:r>
        <w:r>
          <w:rPr>
            <w:webHidden/>
          </w:rPr>
        </w:r>
        <w:r>
          <w:rPr>
            <w:webHidden/>
          </w:rPr>
          <w:fldChar w:fldCharType="separate"/>
        </w:r>
        <w:r>
          <w:rPr>
            <w:rStyle w:val="Indeksirajvezu"/>
          </w:rPr>
          <w:tab/>
          <w:t>190</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68">
        <w:r>
          <w:rPr>
            <w:rStyle w:val="Indeksirajvezu"/>
            <w:rFonts w:cs="Arial"/>
            <w:bCs/>
          </w:rPr>
          <w:t>Tablica 86: Analiza stanja sustava civilne zaštite - Područje reagiranja - Potres</w:t>
        </w:r>
        <w:r>
          <w:rPr>
            <w:webHidden/>
          </w:rPr>
          <w:fldChar w:fldCharType="begin"/>
        </w:r>
        <w:r>
          <w:rPr>
            <w:webHidden/>
          </w:rPr>
          <w:instrText xml:space="preserve">PAGEREF </w:instrText>
        </w:r>
        <w:r>
          <w:rPr>
            <w:webHidden/>
          </w:rPr>
          <w:instrText>_Toc527969568 \h</w:instrText>
        </w:r>
        <w:r>
          <w:rPr>
            <w:webHidden/>
          </w:rPr>
        </w:r>
        <w:r>
          <w:rPr>
            <w:webHidden/>
          </w:rPr>
          <w:fldChar w:fldCharType="separate"/>
        </w:r>
        <w:r>
          <w:rPr>
            <w:rStyle w:val="Indeksirajvezu"/>
          </w:rPr>
          <w:tab/>
          <w:t>196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69">
        <w:r>
          <w:rPr>
            <w:rStyle w:val="Indeksirajvezu"/>
            <w:rFonts w:cs="Arial"/>
            <w:bCs/>
          </w:rPr>
          <w:t>Tablica 87: Analiza sustava civilne zaštite - Područje reagiranja - Industrijske nesreće</w:t>
        </w:r>
        <w:r>
          <w:rPr>
            <w:webHidden/>
          </w:rPr>
          <w:fldChar w:fldCharType="begin"/>
        </w:r>
        <w:r>
          <w:rPr>
            <w:webHidden/>
          </w:rPr>
          <w:instrText>PAGEREF _Toc527969569 \h</w:instrText>
        </w:r>
        <w:r>
          <w:rPr>
            <w:webHidden/>
          </w:rPr>
        </w:r>
        <w:r>
          <w:rPr>
            <w:webHidden/>
          </w:rPr>
          <w:fldChar w:fldCharType="separate"/>
        </w:r>
        <w:r>
          <w:rPr>
            <w:rStyle w:val="Indeksirajvezu"/>
          </w:rPr>
          <w:tab/>
          <w:t>202</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70">
        <w:r>
          <w:rPr>
            <w:rStyle w:val="Indeksirajvezu"/>
            <w:rFonts w:cs="Arial"/>
            <w:bCs/>
          </w:rPr>
          <w:t>Tablica 88: Analiza stanja sustava civilne zaštite - Područje reagiranja</w:t>
        </w:r>
        <w:r>
          <w:rPr>
            <w:webHidden/>
          </w:rPr>
          <w:fldChar w:fldCharType="begin"/>
        </w:r>
        <w:r>
          <w:rPr>
            <w:webHidden/>
          </w:rPr>
          <w:instrText>PAGEREF _Toc527969570 \h</w:instrText>
        </w:r>
        <w:r>
          <w:rPr>
            <w:webHidden/>
          </w:rPr>
        </w:r>
        <w:r>
          <w:rPr>
            <w:webHidden/>
          </w:rPr>
          <w:fldChar w:fldCharType="separate"/>
        </w:r>
        <w:r>
          <w:rPr>
            <w:rStyle w:val="Indeksirajvezu"/>
          </w:rPr>
          <w:tab/>
          <w:t>207</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71">
        <w:r>
          <w:rPr>
            <w:rStyle w:val="Indeksirajvezu"/>
            <w:rFonts w:cs="Arial"/>
            <w:bCs/>
          </w:rPr>
          <w:t>Tablica 89: Prikaz analize sustava civilne zaštite - ZBIRNO (područje preventive i područje reagiranja)</w:t>
        </w:r>
        <w:r>
          <w:rPr>
            <w:webHidden/>
          </w:rPr>
          <w:fldChar w:fldCharType="begin"/>
        </w:r>
        <w:r>
          <w:rPr>
            <w:webHidden/>
          </w:rPr>
          <w:instrText>PAGEREF _Toc527969571 \h</w:instrText>
        </w:r>
        <w:r>
          <w:rPr>
            <w:webHidden/>
          </w:rPr>
        </w:r>
        <w:r>
          <w:rPr>
            <w:webHidden/>
          </w:rPr>
          <w:fldChar w:fldCharType="separate"/>
        </w:r>
        <w:r>
          <w:rPr>
            <w:rStyle w:val="Indeksirajvezu"/>
          </w:rPr>
          <w:tab/>
          <w:t>207</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72">
        <w:r>
          <w:rPr>
            <w:rStyle w:val="Indeksirajvezu"/>
            <w:rFonts w:cs="Arial"/>
            <w:bCs/>
          </w:rPr>
          <w:t>Tablica 90: Prikaz rizika razvrstanih prema ALARP načelu - Vrednovanje rizika</w:t>
        </w:r>
        <w:r>
          <w:rPr>
            <w:webHidden/>
          </w:rPr>
          <w:fldChar w:fldCharType="begin"/>
        </w:r>
        <w:r>
          <w:rPr>
            <w:webHidden/>
          </w:rPr>
          <w:instrText>PAGEREF _Toc527969572 \h</w:instrText>
        </w:r>
        <w:r>
          <w:rPr>
            <w:webHidden/>
          </w:rPr>
        </w:r>
        <w:r>
          <w:rPr>
            <w:webHidden/>
          </w:rPr>
          <w:fldChar w:fldCharType="separate"/>
        </w:r>
        <w:r>
          <w:rPr>
            <w:rStyle w:val="Indeksirajvezu"/>
          </w:rPr>
          <w:tab/>
          <w:t>209</w:t>
        </w:r>
        <w:r>
          <w:rPr>
            <w:webHidden/>
          </w:rPr>
          <w:fldChar w:fldCharType="end"/>
        </w:r>
      </w:hyperlink>
    </w:p>
    <w:bookmarkStart w:id="0" w:name="_GoBack1"/>
    <w:bookmarkEnd w:id="0"/>
    <w:p w:rsidR="008F0D85" w:rsidRDefault="00AE42A1">
      <w:pPr>
        <w:jc w:val="center"/>
      </w:pPr>
      <w:r>
        <w:fldChar w:fldCharType="end"/>
      </w:r>
    </w:p>
    <w:p w:rsidR="008F0D85" w:rsidRDefault="00AE42A1">
      <w:pPr>
        <w:jc w:val="center"/>
      </w:pPr>
      <w:r>
        <w:rPr>
          <w:b/>
          <w:i/>
        </w:rPr>
        <w:t>POPIS SLIKA:</w:t>
      </w:r>
    </w:p>
    <w:p w:rsidR="008F0D85" w:rsidRDefault="00AE42A1">
      <w:pPr>
        <w:pStyle w:val="Tablicaslika"/>
        <w:tabs>
          <w:tab w:val="right" w:leader="dot" w:pos="9062"/>
        </w:tabs>
        <w:rPr>
          <w:rFonts w:cs="Times New Roman"/>
          <w:smallCaps w:val="0"/>
          <w:sz w:val="22"/>
          <w:szCs w:val="22"/>
          <w:lang w:eastAsia="hr-HR"/>
        </w:rPr>
      </w:pPr>
      <w:r>
        <w:fldChar w:fldCharType="begin"/>
      </w:r>
      <w:r>
        <w:instrText>TOC \c "Slika"</w:instrText>
      </w:r>
      <w:r>
        <w:fldChar w:fldCharType="separate"/>
      </w:r>
      <w:hyperlink w:anchor="_Toc527969573">
        <w:r>
          <w:rPr>
            <w:rStyle w:val="Indeksirajvezu"/>
          </w:rPr>
          <w:t>Slika 1: Model prikaza HRN ISO EN 31000 - Od procjene do upravljanja rizicima</w:t>
        </w:r>
        <w:r>
          <w:rPr>
            <w:webHidden/>
          </w:rPr>
          <w:fldChar w:fldCharType="begin"/>
        </w:r>
        <w:r>
          <w:rPr>
            <w:webHidden/>
          </w:rPr>
          <w:instrText>PAGEREF _Toc527969573 \h</w:instrText>
        </w:r>
        <w:r>
          <w:rPr>
            <w:webHidden/>
          </w:rPr>
        </w:r>
        <w:r>
          <w:rPr>
            <w:webHidden/>
          </w:rPr>
          <w:fldChar w:fldCharType="separate"/>
        </w:r>
        <w:r>
          <w:rPr>
            <w:rStyle w:val="Indeksirajvezu"/>
          </w:rPr>
          <w:tab/>
          <w:t>16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74">
        <w:r>
          <w:rPr>
            <w:rStyle w:val="Indeksirajvezu"/>
          </w:rPr>
          <w:t>Slika 2: Prik</w:t>
        </w:r>
        <w:r>
          <w:rPr>
            <w:rStyle w:val="Indeksirajvezu"/>
          </w:rPr>
          <w:t>az položaja Općine s obzirom na Koprivničko - križevačku županiju</w:t>
        </w:r>
        <w:r>
          <w:rPr>
            <w:webHidden/>
          </w:rPr>
          <w:fldChar w:fldCharType="begin"/>
        </w:r>
        <w:r>
          <w:rPr>
            <w:webHidden/>
          </w:rPr>
          <w:instrText>PAGEREF _Toc527969574 \h</w:instrText>
        </w:r>
        <w:r>
          <w:rPr>
            <w:webHidden/>
          </w:rPr>
        </w:r>
        <w:r>
          <w:rPr>
            <w:webHidden/>
          </w:rPr>
          <w:fldChar w:fldCharType="separate"/>
        </w:r>
        <w:r>
          <w:rPr>
            <w:rStyle w:val="Indeksirajvezu"/>
          </w:rPr>
          <w:tab/>
          <w:t>17</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75">
        <w:r>
          <w:rPr>
            <w:rStyle w:val="Indeksirajvezu"/>
          </w:rPr>
          <w:t>Slika 3: Prikaz rasporeda naselja unutar Općine</w:t>
        </w:r>
        <w:r>
          <w:rPr>
            <w:webHidden/>
          </w:rPr>
          <w:fldChar w:fldCharType="begin"/>
        </w:r>
        <w:r>
          <w:rPr>
            <w:webHidden/>
          </w:rPr>
          <w:instrText>PAGEREF _Toc</w:instrText>
        </w:r>
        <w:r>
          <w:rPr>
            <w:webHidden/>
          </w:rPr>
          <w:instrText>527969575 \h</w:instrText>
        </w:r>
        <w:r>
          <w:rPr>
            <w:webHidden/>
          </w:rPr>
        </w:r>
        <w:r>
          <w:rPr>
            <w:webHidden/>
          </w:rPr>
          <w:fldChar w:fldCharType="separate"/>
        </w:r>
        <w:r>
          <w:rPr>
            <w:rStyle w:val="Indeksirajvezu"/>
          </w:rPr>
          <w:tab/>
          <w:t>18</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76">
        <w:r>
          <w:rPr>
            <w:rStyle w:val="Indeksirajvezu"/>
          </w:rPr>
          <w:t>Slika 4: Prikaz gustoće naseljenosti Općine s obzirom na gustoću naseljenosti po naseljima</w:t>
        </w:r>
        <w:r>
          <w:rPr>
            <w:webHidden/>
          </w:rPr>
          <w:fldChar w:fldCharType="begin"/>
        </w:r>
        <w:r>
          <w:rPr>
            <w:webHidden/>
          </w:rPr>
          <w:instrText>PAGEREF _Toc527969576 \h</w:instrText>
        </w:r>
        <w:r>
          <w:rPr>
            <w:webHidden/>
          </w:rPr>
        </w:r>
        <w:r>
          <w:rPr>
            <w:webHidden/>
          </w:rPr>
          <w:fldChar w:fldCharType="separate"/>
        </w:r>
        <w:r>
          <w:rPr>
            <w:rStyle w:val="Indeksirajvezu"/>
          </w:rPr>
          <w:tab/>
          <w:t>20</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77">
        <w:r>
          <w:rPr>
            <w:rStyle w:val="Indeksirajvezu"/>
          </w:rPr>
          <w:t>Slika 5: Prikaz kartograma prometnica na području Općine</w:t>
        </w:r>
        <w:r>
          <w:rPr>
            <w:webHidden/>
          </w:rPr>
          <w:fldChar w:fldCharType="begin"/>
        </w:r>
        <w:r>
          <w:rPr>
            <w:webHidden/>
          </w:rPr>
          <w:instrText>PAGEREF _Toc527969577 \h</w:instrText>
        </w:r>
        <w:r>
          <w:rPr>
            <w:webHidden/>
          </w:rPr>
        </w:r>
        <w:r>
          <w:rPr>
            <w:webHidden/>
          </w:rPr>
          <w:fldChar w:fldCharType="separate"/>
        </w:r>
        <w:r>
          <w:rPr>
            <w:rStyle w:val="Indeksirajvezu"/>
          </w:rPr>
          <w:tab/>
          <w:t>23</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78">
        <w:r>
          <w:rPr>
            <w:rStyle w:val="Indeksirajvezu"/>
            <w:rFonts w:cs="Arial"/>
            <w:bCs/>
          </w:rPr>
          <w:t>Slika 6: Prikaz poljoprivrednih površina na području Općine</w:t>
        </w:r>
        <w:r>
          <w:rPr>
            <w:webHidden/>
          </w:rPr>
          <w:fldChar w:fldCharType="begin"/>
        </w:r>
        <w:r>
          <w:rPr>
            <w:webHidden/>
          </w:rPr>
          <w:instrText>PAGEREF _Toc527969578 \h</w:instrText>
        </w:r>
        <w:r>
          <w:rPr>
            <w:webHidden/>
          </w:rPr>
        </w:r>
        <w:r>
          <w:rPr>
            <w:webHidden/>
          </w:rPr>
          <w:fldChar w:fldCharType="separate"/>
        </w:r>
        <w:r>
          <w:rPr>
            <w:rStyle w:val="Indeksirajvezu"/>
          </w:rPr>
          <w:tab/>
          <w:t>34</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79">
        <w:r>
          <w:rPr>
            <w:rStyle w:val="Indeksirajvezu"/>
            <w:rFonts w:cs="Arial"/>
            <w:bCs/>
          </w:rPr>
          <w:t>Slika 7: Prikaz šumskih površina na području Opći</w:t>
        </w:r>
        <w:r>
          <w:rPr>
            <w:rStyle w:val="Indeksirajvezu"/>
            <w:rFonts w:cs="Arial"/>
            <w:bCs/>
          </w:rPr>
          <w:t>ne</w:t>
        </w:r>
        <w:r>
          <w:rPr>
            <w:webHidden/>
          </w:rPr>
          <w:fldChar w:fldCharType="begin"/>
        </w:r>
        <w:r>
          <w:rPr>
            <w:webHidden/>
          </w:rPr>
          <w:instrText>PAGEREF _Toc527969579 \h</w:instrText>
        </w:r>
        <w:r>
          <w:rPr>
            <w:webHidden/>
          </w:rPr>
        </w:r>
        <w:r>
          <w:rPr>
            <w:webHidden/>
          </w:rPr>
          <w:fldChar w:fldCharType="separate"/>
        </w:r>
        <w:r>
          <w:rPr>
            <w:rStyle w:val="Indeksirajvezu"/>
          </w:rPr>
          <w:tab/>
          <w:t>47</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80">
        <w:r>
          <w:rPr>
            <w:rStyle w:val="Indeksirajvezu"/>
            <w:rFonts w:cs="Arial"/>
            <w:bCs/>
          </w:rPr>
          <w:t>Slika 8: Odstupanje srednje mjesečne temperature zraka od višegodišnjeg prosjeka za razdoblje 1961. - 1990.god. za srpanj 2017.god.</w:t>
        </w:r>
        <w:r>
          <w:rPr>
            <w:webHidden/>
          </w:rPr>
          <w:fldChar w:fldCharType="begin"/>
        </w:r>
        <w:r>
          <w:rPr>
            <w:webHidden/>
          </w:rPr>
          <w:instrText>PAGEREF _Toc527969580 \h</w:instrText>
        </w:r>
        <w:r>
          <w:rPr>
            <w:webHidden/>
          </w:rPr>
        </w:r>
        <w:r>
          <w:rPr>
            <w:webHidden/>
          </w:rPr>
          <w:fldChar w:fldCharType="separate"/>
        </w:r>
        <w:r>
          <w:rPr>
            <w:rStyle w:val="Indeksirajvezu"/>
          </w:rPr>
          <w:tab/>
          <w:t>80</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81">
        <w:r>
          <w:rPr>
            <w:rStyle w:val="Indeksirajvezu"/>
            <w:rFonts w:cs="Arial"/>
            <w:bCs/>
          </w:rPr>
          <w:t>Slika 9: Odstupanje srednje mjesečne temperature zraka od višegodišnjeg prosjeka za razdoblje 1961. - 1990.god. za kolovoz 2017.god.</w:t>
        </w:r>
        <w:r>
          <w:rPr>
            <w:webHidden/>
          </w:rPr>
          <w:fldChar w:fldCharType="begin"/>
        </w:r>
        <w:r>
          <w:rPr>
            <w:webHidden/>
          </w:rPr>
          <w:instrText>PAGEREF _Toc52796</w:instrText>
        </w:r>
        <w:r>
          <w:rPr>
            <w:webHidden/>
          </w:rPr>
          <w:instrText>9581 \h</w:instrText>
        </w:r>
        <w:r>
          <w:rPr>
            <w:webHidden/>
          </w:rPr>
        </w:r>
        <w:r>
          <w:rPr>
            <w:webHidden/>
          </w:rPr>
          <w:fldChar w:fldCharType="separate"/>
        </w:r>
        <w:r>
          <w:rPr>
            <w:rStyle w:val="Indeksirajvezu"/>
          </w:rPr>
          <w:tab/>
          <w:t>80</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82">
        <w:r>
          <w:rPr>
            <w:rStyle w:val="Indeksirajvezu"/>
            <w:rFonts w:cs="Arial"/>
            <w:bCs/>
          </w:rPr>
          <w:t>Slika 10: Odstupanje srednje mjesečne temperature zraka od višegodišnjih prosjeka za razdoblje 1961. - 1990.god. za 2017.god.</w:t>
        </w:r>
        <w:r>
          <w:rPr>
            <w:webHidden/>
          </w:rPr>
          <w:fldChar w:fldCharType="begin"/>
        </w:r>
        <w:r>
          <w:rPr>
            <w:webHidden/>
          </w:rPr>
          <w:instrText>PAGEREF _Toc5279</w:instrText>
        </w:r>
        <w:r>
          <w:rPr>
            <w:webHidden/>
          </w:rPr>
          <w:instrText>69582 \h</w:instrText>
        </w:r>
        <w:r>
          <w:rPr>
            <w:webHidden/>
          </w:rPr>
        </w:r>
        <w:r>
          <w:rPr>
            <w:webHidden/>
          </w:rPr>
          <w:fldChar w:fldCharType="separate"/>
        </w:r>
        <w:r>
          <w:rPr>
            <w:rStyle w:val="Indeksirajvezu"/>
          </w:rPr>
          <w:tab/>
          <w:t>92</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83">
        <w:r>
          <w:rPr>
            <w:rStyle w:val="Indeksirajvezu"/>
            <w:rFonts w:cs="Arial"/>
            <w:bCs/>
          </w:rPr>
          <w:t>Slika 11: Odstupanje godišnjih količina oborina od  višegodišnjih prosjeka 1961. - 1990.god. za srpanj 2017.god.</w:t>
        </w:r>
        <w:r>
          <w:rPr>
            <w:webHidden/>
          </w:rPr>
          <w:fldChar w:fldCharType="begin"/>
        </w:r>
        <w:r>
          <w:rPr>
            <w:webHidden/>
          </w:rPr>
          <w:instrText>PAGEREF _Toc527969583 \h</w:instrText>
        </w:r>
        <w:r>
          <w:rPr>
            <w:webHidden/>
          </w:rPr>
        </w:r>
        <w:r>
          <w:rPr>
            <w:webHidden/>
          </w:rPr>
          <w:fldChar w:fldCharType="separate"/>
        </w:r>
        <w:r>
          <w:rPr>
            <w:rStyle w:val="Indeksirajvezu"/>
          </w:rPr>
          <w:tab/>
          <w:t>93</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84">
        <w:r>
          <w:rPr>
            <w:rStyle w:val="Indeksirajvezu"/>
            <w:rFonts w:cs="Arial"/>
            <w:bCs/>
          </w:rPr>
          <w:t>Slika 12: Odstupanje godišnjih količina oborina od višegodišnjih prosjeka 1961. - 1990.god. za kolovoz 2017.god.</w:t>
        </w:r>
        <w:r>
          <w:rPr>
            <w:webHidden/>
          </w:rPr>
          <w:fldChar w:fldCharType="begin"/>
        </w:r>
        <w:r>
          <w:rPr>
            <w:webHidden/>
          </w:rPr>
          <w:instrText>PAGEREF _Toc527969584 \h</w:instrText>
        </w:r>
        <w:r>
          <w:rPr>
            <w:webHidden/>
          </w:rPr>
        </w:r>
        <w:r>
          <w:rPr>
            <w:webHidden/>
          </w:rPr>
          <w:fldChar w:fldCharType="separate"/>
        </w:r>
        <w:r>
          <w:rPr>
            <w:rStyle w:val="Indeksirajvezu"/>
          </w:rPr>
          <w:tab/>
          <w:t>93</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85">
        <w:r>
          <w:rPr>
            <w:rStyle w:val="Indeksirajvezu"/>
            <w:rFonts w:cs="Arial"/>
            <w:bCs/>
          </w:rPr>
          <w:t>Slika 13: Prikaz karte izohijeta za Koprivničko - križevačku županiju</w:t>
        </w:r>
        <w:r>
          <w:rPr>
            <w:webHidden/>
          </w:rPr>
          <w:fldChar w:fldCharType="begin"/>
        </w:r>
        <w:r>
          <w:rPr>
            <w:webHidden/>
          </w:rPr>
          <w:instrText>PAGEREF _Toc527969585 \h</w:instrText>
        </w:r>
        <w:r>
          <w:rPr>
            <w:webHidden/>
          </w:rPr>
        </w:r>
        <w:r>
          <w:rPr>
            <w:webHidden/>
          </w:rPr>
          <w:fldChar w:fldCharType="separate"/>
        </w:r>
        <w:r>
          <w:rPr>
            <w:rStyle w:val="Indeksirajvezu"/>
          </w:rPr>
          <w:tab/>
          <w:t>96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86">
        <w:r>
          <w:rPr>
            <w:rStyle w:val="Indeksirajvezu"/>
            <w:rFonts w:cs="Arial"/>
            <w:bCs/>
          </w:rPr>
          <w:t>Slika 14: Prikaz vodotoka na području Općine</w:t>
        </w:r>
        <w:r>
          <w:rPr>
            <w:webHidden/>
          </w:rPr>
          <w:fldChar w:fldCharType="begin"/>
        </w:r>
        <w:r>
          <w:rPr>
            <w:webHidden/>
          </w:rPr>
          <w:instrText>PAGEREF _Toc527969586 \h</w:instrText>
        </w:r>
        <w:r>
          <w:rPr>
            <w:webHidden/>
          </w:rPr>
        </w:r>
        <w:r>
          <w:rPr>
            <w:webHidden/>
          </w:rPr>
          <w:fldChar w:fldCharType="separate"/>
        </w:r>
        <w:r>
          <w:rPr>
            <w:rStyle w:val="Indeksirajvezu"/>
          </w:rPr>
          <w:tab/>
          <w:t>103</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87">
        <w:r>
          <w:rPr>
            <w:rStyle w:val="Indeksirajvezu"/>
          </w:rPr>
          <w:t xml:space="preserve">Slika 15: Prikaz dionice A.19.2. - Kopanjek, </w:t>
        </w:r>
        <w:r>
          <w:rPr>
            <w:rStyle w:val="Indeksirajvezu"/>
          </w:rPr>
          <w:t>lijeva i desna obala</w:t>
        </w:r>
        <w:r>
          <w:rPr>
            <w:webHidden/>
          </w:rPr>
          <w:fldChar w:fldCharType="begin"/>
        </w:r>
        <w:r>
          <w:rPr>
            <w:webHidden/>
          </w:rPr>
          <w:instrText>PAGEREF _Toc527969587 \h</w:instrText>
        </w:r>
        <w:r>
          <w:rPr>
            <w:webHidden/>
          </w:rPr>
        </w:r>
        <w:r>
          <w:rPr>
            <w:webHidden/>
          </w:rPr>
          <w:fldChar w:fldCharType="separate"/>
        </w:r>
        <w:r>
          <w:rPr>
            <w:rStyle w:val="Indeksirajvezu"/>
          </w:rPr>
          <w:tab/>
          <w:t>106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88">
        <w:r>
          <w:rPr>
            <w:rStyle w:val="Indeksirajvezu"/>
          </w:rPr>
          <w:t>Slika 16: Prikaz dionice A.19.4. - bujica Kozarevac, lijeva i desna obala</w:t>
        </w:r>
        <w:r>
          <w:rPr>
            <w:webHidden/>
          </w:rPr>
          <w:fldChar w:fldCharType="begin"/>
        </w:r>
        <w:r>
          <w:rPr>
            <w:webHidden/>
          </w:rPr>
          <w:instrText>PAGEREF _Toc527969588 \h</w:instrText>
        </w:r>
        <w:r>
          <w:rPr>
            <w:webHidden/>
          </w:rPr>
        </w:r>
        <w:r>
          <w:rPr>
            <w:webHidden/>
          </w:rPr>
          <w:fldChar w:fldCharType="separate"/>
        </w:r>
        <w:r>
          <w:rPr>
            <w:rStyle w:val="Indeksirajvezu"/>
          </w:rPr>
          <w:tab/>
          <w:t>108</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89">
        <w:r>
          <w:rPr>
            <w:rStyle w:val="Indeksirajvezu"/>
          </w:rPr>
          <w:t>Slika 17: Prikaz kritične točke - naselje Kloštar Podravski</w:t>
        </w:r>
        <w:r>
          <w:rPr>
            <w:webHidden/>
          </w:rPr>
          <w:fldChar w:fldCharType="begin"/>
        </w:r>
        <w:r>
          <w:rPr>
            <w:webHidden/>
          </w:rPr>
          <w:instrText>PAGEREF _Toc527969589 \h</w:instrText>
        </w:r>
        <w:r>
          <w:rPr>
            <w:webHidden/>
          </w:rPr>
        </w:r>
        <w:r>
          <w:rPr>
            <w:webHidden/>
          </w:rPr>
          <w:fldChar w:fldCharType="separate"/>
        </w:r>
        <w:r>
          <w:rPr>
            <w:rStyle w:val="Indeksirajvezu"/>
          </w:rPr>
          <w:tab/>
          <w:t>109</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90">
        <w:r>
          <w:rPr>
            <w:rStyle w:val="Indeksirajvezu"/>
          </w:rPr>
          <w:t>Slika 18: Prikaz kritične točke - naselje Kozarevac</w:t>
        </w:r>
        <w:r>
          <w:rPr>
            <w:webHidden/>
          </w:rPr>
          <w:fldChar w:fldCharType="begin"/>
        </w:r>
        <w:r>
          <w:rPr>
            <w:webHidden/>
          </w:rPr>
          <w:instrText>PAGEREF _Toc527969590 \h</w:instrText>
        </w:r>
        <w:r>
          <w:rPr>
            <w:webHidden/>
          </w:rPr>
        </w:r>
        <w:r>
          <w:rPr>
            <w:webHidden/>
          </w:rPr>
          <w:fldChar w:fldCharType="separate"/>
        </w:r>
        <w:r>
          <w:rPr>
            <w:rStyle w:val="Indeksirajvezu"/>
          </w:rPr>
          <w:tab/>
          <w:t>110</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91">
        <w:r>
          <w:rPr>
            <w:rStyle w:val="Indeksirajvezu"/>
            <w:rFonts w:cs="Arial"/>
            <w:bCs/>
          </w:rPr>
          <w:t>Slika 19: Prikaz odstupanja količ</w:t>
        </w:r>
        <w:r>
          <w:rPr>
            <w:rStyle w:val="Indeksirajvezu"/>
            <w:rFonts w:cs="Arial"/>
            <w:bCs/>
          </w:rPr>
          <w:t>ina oborina za rujan 2017.god.</w:t>
        </w:r>
        <w:r>
          <w:rPr>
            <w:webHidden/>
          </w:rPr>
          <w:fldChar w:fldCharType="begin"/>
        </w:r>
        <w:r>
          <w:rPr>
            <w:webHidden/>
          </w:rPr>
          <w:instrText>PAGEREF _Toc527969591 \h</w:instrText>
        </w:r>
        <w:r>
          <w:rPr>
            <w:webHidden/>
          </w:rPr>
        </w:r>
        <w:r>
          <w:rPr>
            <w:webHidden/>
          </w:rPr>
          <w:fldChar w:fldCharType="separate"/>
        </w:r>
        <w:r>
          <w:rPr>
            <w:rStyle w:val="Indeksirajvezu"/>
          </w:rPr>
          <w:tab/>
          <w:t>111</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92">
        <w:r>
          <w:rPr>
            <w:rStyle w:val="Indeksirajvezu"/>
            <w:rFonts w:cs="Arial"/>
            <w:bCs/>
          </w:rPr>
          <w:t>Slika 20: Prikaz odstupanja količina oborina za veljaču 2018.god.</w:t>
        </w:r>
        <w:r>
          <w:rPr>
            <w:webHidden/>
          </w:rPr>
          <w:fldChar w:fldCharType="begin"/>
        </w:r>
        <w:r>
          <w:rPr>
            <w:webHidden/>
          </w:rPr>
          <w:instrText>PAGEREF _Toc527969592 \h</w:instrText>
        </w:r>
        <w:r>
          <w:rPr>
            <w:webHidden/>
          </w:rPr>
        </w:r>
        <w:r>
          <w:rPr>
            <w:webHidden/>
          </w:rPr>
          <w:fldChar w:fldCharType="separate"/>
        </w:r>
        <w:r>
          <w:rPr>
            <w:rStyle w:val="Indeksirajvezu"/>
          </w:rPr>
          <w:tab/>
        </w:r>
        <w:r>
          <w:rPr>
            <w:rStyle w:val="Indeksirajvezu"/>
          </w:rPr>
          <w:t>112</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93">
        <w:r>
          <w:rPr>
            <w:rStyle w:val="Indeksirajvezu"/>
            <w:rFonts w:cs="Arial"/>
            <w:bCs/>
          </w:rPr>
          <w:t>Slika 21: Prikaz epicentara potresa iz Hrvatskog kataloga potresa</w:t>
        </w:r>
        <w:r>
          <w:rPr>
            <w:webHidden/>
          </w:rPr>
          <w:fldChar w:fldCharType="begin"/>
        </w:r>
        <w:r>
          <w:rPr>
            <w:webHidden/>
          </w:rPr>
          <w:instrText>PAGEREF _Toc527969593 \h</w:instrText>
        </w:r>
        <w:r>
          <w:rPr>
            <w:webHidden/>
          </w:rPr>
        </w:r>
        <w:r>
          <w:rPr>
            <w:webHidden/>
          </w:rPr>
          <w:fldChar w:fldCharType="separate"/>
        </w:r>
        <w:r>
          <w:rPr>
            <w:rStyle w:val="Indeksirajvezu"/>
          </w:rPr>
          <w:tab/>
          <w:t>120</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94">
        <w:r>
          <w:rPr>
            <w:rStyle w:val="Indeksirajvezu"/>
            <w:rFonts w:cs="Arial"/>
            <w:bCs/>
          </w:rPr>
          <w:t>Slika 22: Karta potresnog područja RH s povratnim razdobljem od 95 godina</w:t>
        </w:r>
        <w:r>
          <w:rPr>
            <w:webHidden/>
          </w:rPr>
          <w:fldChar w:fldCharType="begin"/>
        </w:r>
        <w:r>
          <w:rPr>
            <w:webHidden/>
          </w:rPr>
          <w:instrText>PAGEREF _Toc527969594 \h</w:instrText>
        </w:r>
        <w:r>
          <w:rPr>
            <w:webHidden/>
          </w:rPr>
        </w:r>
        <w:r>
          <w:rPr>
            <w:webHidden/>
          </w:rPr>
          <w:fldChar w:fldCharType="separate"/>
        </w:r>
        <w:r>
          <w:rPr>
            <w:rStyle w:val="Indeksirajvezu"/>
          </w:rPr>
          <w:tab/>
          <w:t>123</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95">
        <w:r>
          <w:rPr>
            <w:rStyle w:val="Indeksirajvezu"/>
            <w:rFonts w:cs="Arial"/>
            <w:bCs/>
          </w:rPr>
          <w:t>S</w:t>
        </w:r>
        <w:r>
          <w:rPr>
            <w:rStyle w:val="Indeksirajvezu"/>
            <w:rFonts w:cs="Arial"/>
            <w:bCs/>
          </w:rPr>
          <w:t>lika 23: Karta potresnog područja RH s povratnim razdobljem od 475 godina</w:t>
        </w:r>
        <w:r>
          <w:rPr>
            <w:webHidden/>
          </w:rPr>
          <w:fldChar w:fldCharType="begin"/>
        </w:r>
        <w:r>
          <w:rPr>
            <w:webHidden/>
          </w:rPr>
          <w:instrText>PAGEREF _Toc527969595 \h</w:instrText>
        </w:r>
        <w:r>
          <w:rPr>
            <w:webHidden/>
          </w:rPr>
        </w:r>
        <w:r>
          <w:rPr>
            <w:webHidden/>
          </w:rPr>
          <w:fldChar w:fldCharType="separate"/>
        </w:r>
        <w:r>
          <w:rPr>
            <w:rStyle w:val="Indeksirajvezu"/>
          </w:rPr>
          <w:tab/>
          <w:t>124</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96">
        <w:r>
          <w:rPr>
            <w:rStyle w:val="Indeksirajvezu"/>
            <w:rFonts w:cs="Arial"/>
            <w:bCs/>
          </w:rPr>
          <w:t>Slika 24: Karta potresnog područja RH - prikaz za O</w:t>
        </w:r>
        <w:r>
          <w:rPr>
            <w:rStyle w:val="Indeksirajvezu"/>
            <w:rFonts w:cs="Arial"/>
            <w:bCs/>
          </w:rPr>
          <w:t>pćinu Kloštar Podravski - za povratni period od 475.god., prikaz vršnog ubrzanja</w:t>
        </w:r>
        <w:r>
          <w:rPr>
            <w:webHidden/>
          </w:rPr>
          <w:fldChar w:fldCharType="begin"/>
        </w:r>
        <w:r>
          <w:rPr>
            <w:webHidden/>
          </w:rPr>
          <w:instrText>PAGEREF _Toc527969596 \h</w:instrText>
        </w:r>
        <w:r>
          <w:rPr>
            <w:webHidden/>
          </w:rPr>
        </w:r>
        <w:r>
          <w:rPr>
            <w:webHidden/>
          </w:rPr>
          <w:fldChar w:fldCharType="separate"/>
        </w:r>
        <w:r>
          <w:rPr>
            <w:rStyle w:val="Indeksirajvezu"/>
          </w:rPr>
          <w:tab/>
          <w:t>125</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97">
        <w:r>
          <w:rPr>
            <w:rStyle w:val="Indeksirajvezu"/>
            <w:rFonts w:cs="Arial"/>
            <w:bCs/>
          </w:rPr>
          <w:t>Slika 25: Seizmološka karta za povratni per</w:t>
        </w:r>
        <w:r>
          <w:rPr>
            <w:rStyle w:val="Indeksirajvezu"/>
            <w:rFonts w:cs="Arial"/>
            <w:bCs/>
          </w:rPr>
          <w:t>iod od 500 godina</w:t>
        </w:r>
        <w:r>
          <w:rPr>
            <w:webHidden/>
          </w:rPr>
          <w:fldChar w:fldCharType="begin"/>
        </w:r>
        <w:r>
          <w:rPr>
            <w:webHidden/>
          </w:rPr>
          <w:instrText>PAGEREF _Toc527969597 \h</w:instrText>
        </w:r>
        <w:r>
          <w:rPr>
            <w:webHidden/>
          </w:rPr>
        </w:r>
        <w:r>
          <w:rPr>
            <w:webHidden/>
          </w:rPr>
          <w:fldChar w:fldCharType="separate"/>
        </w:r>
        <w:r>
          <w:rPr>
            <w:rStyle w:val="Indeksirajvezu"/>
          </w:rPr>
          <w:tab/>
          <w:t>126</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98">
        <w:r>
          <w:rPr>
            <w:rStyle w:val="Indeksirajvezu"/>
            <w:rFonts w:cs="Arial"/>
            <w:bCs/>
          </w:rPr>
          <w:t>Slika 26: Karta potresnog područja s povratnim periodom od 475 godina za područje Općine</w:t>
        </w:r>
        <w:r>
          <w:rPr>
            <w:webHidden/>
          </w:rPr>
          <w:fldChar w:fldCharType="begin"/>
        </w:r>
        <w:r>
          <w:rPr>
            <w:webHidden/>
          </w:rPr>
          <w:instrText xml:space="preserve">PAGEREF </w:instrText>
        </w:r>
        <w:r>
          <w:rPr>
            <w:webHidden/>
          </w:rPr>
          <w:instrText>_Toc527969598 \h</w:instrText>
        </w:r>
        <w:r>
          <w:rPr>
            <w:webHidden/>
          </w:rPr>
        </w:r>
        <w:r>
          <w:rPr>
            <w:webHidden/>
          </w:rPr>
          <w:fldChar w:fldCharType="separate"/>
        </w:r>
        <w:r>
          <w:rPr>
            <w:rStyle w:val="Indeksirajvezu"/>
          </w:rPr>
          <w:tab/>
          <w:t>142</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599">
        <w:r>
          <w:rPr>
            <w:rStyle w:val="Indeksirajvezu"/>
            <w:rFonts w:cs="Arial"/>
            <w:bCs/>
          </w:rPr>
          <w:t>Slika 27: Karta potresnog područja s povratnim razdobljem od 95 godina za područje Općine</w:t>
        </w:r>
        <w:r>
          <w:rPr>
            <w:webHidden/>
          </w:rPr>
          <w:fldChar w:fldCharType="begin"/>
        </w:r>
        <w:r>
          <w:rPr>
            <w:webHidden/>
          </w:rPr>
          <w:instrText>PAGEREF _Toc527969599 \h</w:instrText>
        </w:r>
        <w:r>
          <w:rPr>
            <w:webHidden/>
          </w:rPr>
        </w:r>
        <w:r>
          <w:rPr>
            <w:webHidden/>
          </w:rPr>
          <w:fldChar w:fldCharType="separate"/>
        </w:r>
        <w:r>
          <w:rPr>
            <w:rStyle w:val="Indeksirajvezu"/>
          </w:rPr>
          <w:tab/>
          <w:t>142</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600">
        <w:r>
          <w:rPr>
            <w:rStyle w:val="Indeksirajvezu"/>
            <w:rFonts w:cs="Arial"/>
            <w:bCs/>
          </w:rPr>
          <w:t>Slika 28: Prikaz položaja benzinske postaje Lepirac d.o.o.</w:t>
        </w:r>
        <w:r>
          <w:rPr>
            <w:webHidden/>
          </w:rPr>
          <w:fldChar w:fldCharType="begin"/>
        </w:r>
        <w:r>
          <w:rPr>
            <w:webHidden/>
          </w:rPr>
          <w:instrText>PAGEREF _Toc527969600 \h</w:instrText>
        </w:r>
        <w:r>
          <w:rPr>
            <w:webHidden/>
          </w:rPr>
        </w:r>
        <w:r>
          <w:rPr>
            <w:webHidden/>
          </w:rPr>
          <w:fldChar w:fldCharType="separate"/>
        </w:r>
        <w:r>
          <w:rPr>
            <w:rStyle w:val="Indeksirajvezu"/>
          </w:rPr>
          <w:tab/>
          <w:t>147</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601">
        <w:r>
          <w:rPr>
            <w:rStyle w:val="Indeksirajvezu"/>
            <w:rFonts w:cs="Arial"/>
            <w:bCs/>
          </w:rPr>
          <w:t>Slika 29: Vrednovanje rizika - ALARP načela</w:t>
        </w:r>
        <w:r>
          <w:rPr>
            <w:webHidden/>
          </w:rPr>
          <w:fldChar w:fldCharType="begin"/>
        </w:r>
        <w:r>
          <w:rPr>
            <w:webHidden/>
          </w:rPr>
          <w:instrText>PAGEREF _Toc527969601 \h</w:instrText>
        </w:r>
        <w:r>
          <w:rPr>
            <w:webHidden/>
          </w:rPr>
        </w:r>
        <w:r>
          <w:rPr>
            <w:webHidden/>
          </w:rPr>
          <w:fldChar w:fldCharType="separate"/>
        </w:r>
        <w:r>
          <w:rPr>
            <w:rStyle w:val="Indeksirajvezu"/>
          </w:rPr>
          <w:tab/>
          <w:t>209</w:t>
        </w:r>
        <w:r>
          <w:rPr>
            <w:webHidden/>
          </w:rPr>
          <w:fldChar w:fldCharType="end"/>
        </w:r>
      </w:hyperlink>
    </w:p>
    <w:p w:rsidR="008F0D85" w:rsidRDefault="00AE42A1">
      <w:pPr>
        <w:jc w:val="center"/>
      </w:pPr>
      <w:r>
        <w:fldChar w:fldCharType="end"/>
      </w:r>
    </w:p>
    <w:p w:rsidR="008F0D85" w:rsidRDefault="00AE42A1">
      <w:pPr>
        <w:jc w:val="center"/>
      </w:pPr>
      <w:r>
        <w:rPr>
          <w:b/>
          <w:i/>
        </w:rPr>
        <w:t>POPIS GRAFIKONA:</w:t>
      </w:r>
    </w:p>
    <w:p w:rsidR="008F0D85" w:rsidRDefault="00AE42A1">
      <w:pPr>
        <w:pStyle w:val="Tablicaslika"/>
        <w:tabs>
          <w:tab w:val="right" w:leader="dot" w:pos="9062"/>
        </w:tabs>
        <w:rPr>
          <w:rFonts w:cs="Times New Roman"/>
          <w:smallCaps w:val="0"/>
          <w:sz w:val="22"/>
          <w:szCs w:val="22"/>
          <w:lang w:eastAsia="hr-HR"/>
        </w:rPr>
      </w:pPr>
      <w:r>
        <w:fldChar w:fldCharType="begin"/>
      </w:r>
      <w:r>
        <w:instrText>TOC \c "Grafikon"</w:instrText>
      </w:r>
      <w:r>
        <w:fldChar w:fldCharType="separate"/>
      </w:r>
      <w:hyperlink w:anchor="_Toc527969602">
        <w:r>
          <w:rPr>
            <w:rStyle w:val="Indeksirajvezu"/>
            <w:rFonts w:cs="Arial"/>
            <w:bCs/>
          </w:rPr>
          <w:t>Grafiko</w:t>
        </w:r>
        <w:r>
          <w:rPr>
            <w:rStyle w:val="Indeksirajvezu"/>
            <w:rFonts w:cs="Arial"/>
            <w:bCs/>
          </w:rPr>
          <w:t>n 1: Prikaz ukupnog broja oboljelih od gripe u KKŽ u sezoni 2017./2018.god.</w:t>
        </w:r>
        <w:r>
          <w:rPr>
            <w:webHidden/>
          </w:rPr>
          <w:fldChar w:fldCharType="begin"/>
        </w:r>
        <w:r>
          <w:rPr>
            <w:webHidden/>
          </w:rPr>
          <w:instrText>PAGEREF _Toc527969602 \h</w:instrText>
        </w:r>
        <w:r>
          <w:rPr>
            <w:webHidden/>
          </w:rPr>
        </w:r>
        <w:r>
          <w:rPr>
            <w:webHidden/>
          </w:rPr>
          <w:fldChar w:fldCharType="separate"/>
        </w:r>
        <w:r>
          <w:rPr>
            <w:rStyle w:val="Indeksirajvezu"/>
          </w:rPr>
          <w:tab/>
          <w:t>68</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603">
        <w:r>
          <w:rPr>
            <w:rStyle w:val="Indeksirajvezu"/>
            <w:rFonts w:cs="Arial"/>
            <w:bCs/>
          </w:rPr>
          <w:t>Grafikon 2: Prikaz broja oboljelih u sezoni 2017.</w:t>
        </w:r>
        <w:r>
          <w:rPr>
            <w:rStyle w:val="Indeksirajvezu"/>
            <w:rFonts w:cs="Arial"/>
            <w:bCs/>
          </w:rPr>
          <w:t>/2018.god. u KKŽ s obzirom na dobne skupine</w:t>
        </w:r>
        <w:r>
          <w:rPr>
            <w:webHidden/>
          </w:rPr>
          <w:fldChar w:fldCharType="begin"/>
        </w:r>
        <w:r>
          <w:rPr>
            <w:webHidden/>
          </w:rPr>
          <w:instrText>PAGEREF _Toc527969603 \h</w:instrText>
        </w:r>
        <w:r>
          <w:rPr>
            <w:webHidden/>
          </w:rPr>
        </w:r>
        <w:r>
          <w:rPr>
            <w:webHidden/>
          </w:rPr>
          <w:fldChar w:fldCharType="separate"/>
        </w:r>
        <w:r>
          <w:rPr>
            <w:rStyle w:val="Indeksirajvezu"/>
          </w:rPr>
          <w:tab/>
          <w:t>68</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604">
        <w:r>
          <w:rPr>
            <w:rStyle w:val="Indeksirajvezu"/>
            <w:rFonts w:cs="Arial"/>
            <w:bCs/>
          </w:rPr>
          <w:t xml:space="preserve">Grafikon 3: Prikaz broja oboljelih u sezoni 2017./2018.god. u KKŽ na </w:t>
        </w:r>
        <w:r>
          <w:rPr>
            <w:rStyle w:val="Indeksirajvezu"/>
            <w:rFonts w:cs="Arial"/>
            <w:bCs/>
          </w:rPr>
          <w:t>tjednoj bazi</w:t>
        </w:r>
        <w:r>
          <w:rPr>
            <w:webHidden/>
          </w:rPr>
          <w:fldChar w:fldCharType="begin"/>
        </w:r>
        <w:r>
          <w:rPr>
            <w:webHidden/>
          </w:rPr>
          <w:instrText>PAGEREF _Toc527969604 \h</w:instrText>
        </w:r>
        <w:r>
          <w:rPr>
            <w:webHidden/>
          </w:rPr>
        </w:r>
        <w:r>
          <w:rPr>
            <w:webHidden/>
          </w:rPr>
          <w:fldChar w:fldCharType="separate"/>
        </w:r>
        <w:r>
          <w:rPr>
            <w:rStyle w:val="Indeksirajvezu"/>
          </w:rPr>
          <w:tab/>
          <w:t>69</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605">
        <w:r>
          <w:rPr>
            <w:rStyle w:val="Indeksirajvezu"/>
            <w:rFonts w:cs="Arial"/>
            <w:bCs/>
          </w:rPr>
          <w:t>Grafikon 4: Prikaz 90 najtoplijih dana od početka meteoroloških motrenja 1861. - 2017.god. Zagreb – Grič</w:t>
        </w:r>
        <w:r>
          <w:rPr>
            <w:webHidden/>
          </w:rPr>
          <w:fldChar w:fldCharType="begin"/>
        </w:r>
        <w:r>
          <w:rPr>
            <w:webHidden/>
          </w:rPr>
          <w:instrText>PAGEREF _</w:instrText>
        </w:r>
        <w:r>
          <w:rPr>
            <w:webHidden/>
          </w:rPr>
          <w:instrText>Toc527969605 \h</w:instrText>
        </w:r>
        <w:r>
          <w:rPr>
            <w:webHidden/>
          </w:rPr>
        </w:r>
        <w:r>
          <w:rPr>
            <w:webHidden/>
          </w:rPr>
          <w:fldChar w:fldCharType="separate"/>
        </w:r>
        <w:r>
          <w:rPr>
            <w:rStyle w:val="Indeksirajvezu"/>
          </w:rPr>
          <w:tab/>
          <w:t>81</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606">
        <w:r>
          <w:rPr>
            <w:rStyle w:val="Indeksirajvezu"/>
            <w:rFonts w:cs="Arial"/>
            <w:bCs/>
          </w:rPr>
          <w:t>Grafikon 5: Prikaz srednje mjesečne temperature zraka, postaja Zagreb - Grič u razdoblju 1861. - 2017.god.</w:t>
        </w:r>
        <w:r>
          <w:rPr>
            <w:webHidden/>
          </w:rPr>
          <w:fldChar w:fldCharType="begin"/>
        </w:r>
        <w:r>
          <w:rPr>
            <w:webHidden/>
          </w:rPr>
          <w:instrText>PAGEREF _Toc527969606 \h</w:instrText>
        </w:r>
        <w:r>
          <w:rPr>
            <w:webHidden/>
          </w:rPr>
        </w:r>
        <w:r>
          <w:rPr>
            <w:webHidden/>
          </w:rPr>
          <w:fldChar w:fldCharType="separate"/>
        </w:r>
        <w:r>
          <w:rPr>
            <w:rStyle w:val="Indeksirajvezu"/>
          </w:rPr>
          <w:tab/>
          <w:t>81</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607">
        <w:r>
          <w:rPr>
            <w:rStyle w:val="Indeksirajvezu"/>
            <w:rFonts w:cs="Arial"/>
            <w:bCs/>
          </w:rPr>
          <w:t>Grafikon 6: Prikaz kumulativne količine oborine (mm) za srpanj 2017.god. i krivulje teorijskih percentila (2., 10., 25., 50., 75., 90. i 98.) za razdob</w:t>
        </w:r>
        <w:r>
          <w:rPr>
            <w:rStyle w:val="Indeksirajvezu"/>
            <w:rFonts w:cs="Arial"/>
            <w:bCs/>
          </w:rPr>
          <w:t>lje 1961. - 2000.god.</w:t>
        </w:r>
        <w:r>
          <w:rPr>
            <w:webHidden/>
          </w:rPr>
          <w:fldChar w:fldCharType="begin"/>
        </w:r>
        <w:r>
          <w:rPr>
            <w:webHidden/>
          </w:rPr>
          <w:instrText>PAGEREF _Toc527969607 \h</w:instrText>
        </w:r>
        <w:r>
          <w:rPr>
            <w:webHidden/>
          </w:rPr>
        </w:r>
        <w:r>
          <w:rPr>
            <w:webHidden/>
          </w:rPr>
          <w:fldChar w:fldCharType="separate"/>
        </w:r>
        <w:r>
          <w:rPr>
            <w:rStyle w:val="Indeksirajvezu"/>
          </w:rPr>
          <w:tab/>
          <w:t>94</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608">
        <w:r>
          <w:rPr>
            <w:rStyle w:val="Indeksirajvezu"/>
            <w:rFonts w:cs="Arial"/>
            <w:bCs/>
          </w:rPr>
          <w:t>Grafikon 7: Prikaz kumulativne količine oborine (mm) za kolovoz 2017.god. i krivulje teorijskih percent</w:t>
        </w:r>
        <w:r>
          <w:rPr>
            <w:rStyle w:val="Indeksirajvezu"/>
            <w:rFonts w:cs="Arial"/>
            <w:bCs/>
          </w:rPr>
          <w:t>ila (2., 10., 25., 50., 75., 90. i 98.) za razdoblje 1961. - 2000.god.</w:t>
        </w:r>
        <w:r>
          <w:rPr>
            <w:webHidden/>
          </w:rPr>
          <w:fldChar w:fldCharType="begin"/>
        </w:r>
        <w:r>
          <w:rPr>
            <w:webHidden/>
          </w:rPr>
          <w:instrText>PAGEREF _Toc527969608 \h</w:instrText>
        </w:r>
        <w:r>
          <w:rPr>
            <w:webHidden/>
          </w:rPr>
        </w:r>
        <w:r>
          <w:rPr>
            <w:webHidden/>
          </w:rPr>
          <w:fldChar w:fldCharType="separate"/>
        </w:r>
        <w:r>
          <w:rPr>
            <w:rStyle w:val="Indeksirajvezu"/>
          </w:rPr>
          <w:tab/>
          <w:t>95</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609">
        <w:r>
          <w:rPr>
            <w:rStyle w:val="Indeksirajvezu"/>
            <w:rFonts w:cs="Arial"/>
            <w:bCs/>
          </w:rPr>
          <w:t>Grafikon 8: Prikaz otiska oblaka para benzina sa zonama</w:t>
        </w:r>
        <w:r>
          <w:rPr>
            <w:rStyle w:val="Indeksirajvezu"/>
            <w:rFonts w:cs="Arial"/>
            <w:bCs/>
          </w:rPr>
          <w:t xml:space="preserve"> GGE, DGE i 50DGE</w:t>
        </w:r>
        <w:r>
          <w:rPr>
            <w:webHidden/>
          </w:rPr>
          <w:fldChar w:fldCharType="begin"/>
        </w:r>
        <w:r>
          <w:rPr>
            <w:webHidden/>
          </w:rPr>
          <w:instrText>PAGEREF _Toc527969609 \h</w:instrText>
        </w:r>
        <w:r>
          <w:rPr>
            <w:webHidden/>
          </w:rPr>
        </w:r>
        <w:r>
          <w:rPr>
            <w:webHidden/>
          </w:rPr>
          <w:fldChar w:fldCharType="separate"/>
        </w:r>
        <w:r>
          <w:rPr>
            <w:rStyle w:val="Indeksirajvezu"/>
          </w:rPr>
          <w:tab/>
          <w:t>151</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610">
        <w:r>
          <w:rPr>
            <w:rStyle w:val="Indeksirajvezu"/>
            <w:rFonts w:cs="Arial"/>
            <w:bCs/>
          </w:rPr>
          <w:t>Grafikon 9: Prikaz zona ugroženosti za kasni požar lokve</w:t>
        </w:r>
        <w:r>
          <w:rPr>
            <w:webHidden/>
          </w:rPr>
          <w:fldChar w:fldCharType="begin"/>
        </w:r>
        <w:r>
          <w:rPr>
            <w:webHidden/>
          </w:rPr>
          <w:instrText>PAGEREF _Toc527969610 \h</w:instrText>
        </w:r>
        <w:r>
          <w:rPr>
            <w:webHidden/>
          </w:rPr>
        </w:r>
        <w:r>
          <w:rPr>
            <w:webHidden/>
          </w:rPr>
          <w:fldChar w:fldCharType="separate"/>
        </w:r>
        <w:r>
          <w:rPr>
            <w:rStyle w:val="Indeksirajvezu"/>
          </w:rPr>
          <w:tab/>
          <w:t>152</w:t>
        </w:r>
        <w:r>
          <w:rPr>
            <w:webHidden/>
          </w:rPr>
          <w:fldChar w:fldCharType="end"/>
        </w:r>
      </w:hyperlink>
    </w:p>
    <w:p w:rsidR="008F0D85" w:rsidRDefault="00AE42A1">
      <w:pPr>
        <w:pStyle w:val="Tablicaslika"/>
        <w:tabs>
          <w:tab w:val="right" w:leader="dot" w:pos="9062"/>
        </w:tabs>
        <w:rPr>
          <w:rFonts w:cs="Times New Roman"/>
          <w:smallCaps w:val="0"/>
          <w:sz w:val="22"/>
          <w:szCs w:val="22"/>
          <w:lang w:eastAsia="hr-HR"/>
        </w:rPr>
      </w:pPr>
      <w:hyperlink w:anchor="_Toc527969611">
        <w:r>
          <w:rPr>
            <w:rStyle w:val="Indeksirajvezu"/>
            <w:rFonts w:cs="Arial"/>
            <w:bCs/>
          </w:rPr>
          <w:t>Grafikon 10: Prikaz zone ugroženosti za kasnu worst - case eksploziju oblaka para benzina</w:t>
        </w:r>
        <w:r>
          <w:rPr>
            <w:webHidden/>
          </w:rPr>
          <w:fldChar w:fldCharType="begin"/>
        </w:r>
        <w:r>
          <w:rPr>
            <w:webHidden/>
          </w:rPr>
          <w:instrText>PAGEREF _Toc527969611 \h</w:instrText>
        </w:r>
        <w:r>
          <w:rPr>
            <w:webHidden/>
          </w:rPr>
        </w:r>
        <w:r>
          <w:rPr>
            <w:webHidden/>
          </w:rPr>
          <w:fldChar w:fldCharType="separate"/>
        </w:r>
        <w:r>
          <w:rPr>
            <w:rStyle w:val="Indeksirajvezu"/>
          </w:rPr>
          <w:tab/>
          <w:t>153</w:t>
        </w:r>
        <w:r>
          <w:rPr>
            <w:webHidden/>
          </w:rPr>
          <w:fldChar w:fldCharType="end"/>
        </w:r>
      </w:hyperlink>
    </w:p>
    <w:p w:rsidR="008F0D85" w:rsidRDefault="00AE42A1">
      <w:pPr>
        <w:jc w:val="center"/>
        <w:rPr>
          <w:b/>
          <w:i/>
        </w:rPr>
      </w:pPr>
      <w:r>
        <w:fldChar w:fldCharType="end"/>
      </w:r>
    </w:p>
    <w:p w:rsidR="008F0D85" w:rsidRDefault="008F0D85">
      <w:pPr>
        <w:jc w:val="center"/>
        <w:rPr>
          <w:b/>
          <w:i/>
        </w:rPr>
      </w:pPr>
    </w:p>
    <w:p w:rsidR="008F0D85" w:rsidRDefault="008F0D85">
      <w:pPr>
        <w:jc w:val="center"/>
        <w:rPr>
          <w:b/>
          <w:i/>
        </w:rPr>
      </w:pPr>
    </w:p>
    <w:p w:rsidR="008F0D85" w:rsidRDefault="008F0D85">
      <w:pPr>
        <w:jc w:val="center"/>
        <w:rPr>
          <w:b/>
          <w:i/>
        </w:rPr>
      </w:pPr>
    </w:p>
    <w:p w:rsidR="008F0D85" w:rsidRDefault="008F0D85">
      <w:pPr>
        <w:rPr>
          <w:b/>
          <w:i/>
        </w:rPr>
      </w:pPr>
    </w:p>
    <w:p w:rsidR="008F0D85" w:rsidRDefault="00AE42A1">
      <w:pPr>
        <w:jc w:val="center"/>
      </w:pPr>
      <w:r>
        <w:rPr>
          <w:noProof/>
        </w:rPr>
        <w:lastRenderedPageBreak/>
        <w:drawing>
          <wp:inline distT="0" distB="0" distL="0" distR="0">
            <wp:extent cx="5677535" cy="8068310"/>
            <wp:effectExtent l="0" t="0" r="0" b="0"/>
            <wp:docPr id="2"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73"/>
                    <pic:cNvPicPr>
                      <a:picLocks noChangeAspect="1" noChangeArrowheads="1"/>
                    </pic:cNvPicPr>
                  </pic:nvPicPr>
                  <pic:blipFill>
                    <a:blip r:embed="rId8"/>
                    <a:stretch>
                      <a:fillRect/>
                    </a:stretch>
                  </pic:blipFill>
                  <pic:spPr bwMode="auto">
                    <a:xfrm>
                      <a:off x="0" y="0"/>
                      <a:ext cx="5677535" cy="8068310"/>
                    </a:xfrm>
                    <a:prstGeom prst="rect">
                      <a:avLst/>
                    </a:prstGeom>
                  </pic:spPr>
                </pic:pic>
              </a:graphicData>
            </a:graphic>
          </wp:inline>
        </w:drawing>
      </w:r>
    </w:p>
    <w:p w:rsidR="008F0D85" w:rsidRDefault="008F0D85">
      <w:pPr>
        <w:jc w:val="center"/>
      </w:pPr>
    </w:p>
    <w:p w:rsidR="008F0D85" w:rsidRDefault="00AE42A1">
      <w:pPr>
        <w:jc w:val="center"/>
      </w:pPr>
      <w:r>
        <w:rPr>
          <w:noProof/>
        </w:rPr>
        <w:lastRenderedPageBreak/>
        <w:drawing>
          <wp:inline distT="0" distB="0" distL="0" distR="0">
            <wp:extent cx="5753735" cy="8163560"/>
            <wp:effectExtent l="0" t="0" r="0" b="0"/>
            <wp:docPr id="3"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84"/>
                    <pic:cNvPicPr>
                      <a:picLocks noChangeAspect="1" noChangeArrowheads="1"/>
                    </pic:cNvPicPr>
                  </pic:nvPicPr>
                  <pic:blipFill>
                    <a:blip r:embed="rId9"/>
                    <a:stretch>
                      <a:fillRect/>
                    </a:stretch>
                  </pic:blipFill>
                  <pic:spPr bwMode="auto">
                    <a:xfrm>
                      <a:off x="0" y="0"/>
                      <a:ext cx="5753735" cy="8163560"/>
                    </a:xfrm>
                    <a:prstGeom prst="rect">
                      <a:avLst/>
                    </a:prstGeom>
                  </pic:spPr>
                </pic:pic>
              </a:graphicData>
            </a:graphic>
          </wp:inline>
        </w:drawing>
      </w:r>
    </w:p>
    <w:p w:rsidR="008F0D85" w:rsidRDefault="008F0D85">
      <w:pPr>
        <w:jc w:val="center"/>
      </w:pPr>
    </w:p>
    <w:p w:rsidR="008F0D85" w:rsidRDefault="00AE42A1">
      <w:pPr>
        <w:jc w:val="center"/>
      </w:pPr>
      <w:r>
        <w:rPr>
          <w:noProof/>
        </w:rPr>
        <w:lastRenderedPageBreak/>
        <w:drawing>
          <wp:inline distT="0" distB="0" distL="0" distR="0">
            <wp:extent cx="5182235" cy="7401560"/>
            <wp:effectExtent l="0" t="0" r="0" b="0"/>
            <wp:docPr id="4"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100"/>
                    <pic:cNvPicPr>
                      <a:picLocks noChangeAspect="1" noChangeArrowheads="1"/>
                    </pic:cNvPicPr>
                  </pic:nvPicPr>
                  <pic:blipFill>
                    <a:blip r:embed="rId10"/>
                    <a:stretch>
                      <a:fillRect/>
                    </a:stretch>
                  </pic:blipFill>
                  <pic:spPr bwMode="auto">
                    <a:xfrm>
                      <a:off x="0" y="0"/>
                      <a:ext cx="5182235" cy="7401560"/>
                    </a:xfrm>
                    <a:prstGeom prst="rect">
                      <a:avLst/>
                    </a:prstGeom>
                  </pic:spPr>
                </pic:pic>
              </a:graphicData>
            </a:graphic>
          </wp:inline>
        </w:drawing>
      </w:r>
    </w:p>
    <w:p w:rsidR="008F0D85" w:rsidRDefault="008F0D85">
      <w:pPr>
        <w:jc w:val="center"/>
      </w:pPr>
    </w:p>
    <w:p w:rsidR="008F0D85" w:rsidRDefault="008F0D85">
      <w:pPr>
        <w:jc w:val="center"/>
      </w:pPr>
    </w:p>
    <w:p w:rsidR="008F0D85" w:rsidRDefault="008F0D85">
      <w:pPr>
        <w:jc w:val="center"/>
      </w:pPr>
    </w:p>
    <w:p w:rsidR="008F0D85" w:rsidRDefault="008F0D85">
      <w:pPr>
        <w:jc w:val="center"/>
      </w:pPr>
    </w:p>
    <w:p w:rsidR="008F0D85" w:rsidRDefault="00AE42A1">
      <w:pPr>
        <w:jc w:val="center"/>
      </w:pPr>
      <w:r>
        <w:rPr>
          <w:noProof/>
        </w:rPr>
        <w:lastRenderedPageBreak/>
        <w:drawing>
          <wp:inline distT="0" distB="0" distL="0" distR="0">
            <wp:extent cx="5096510" cy="7096760"/>
            <wp:effectExtent l="0" t="0" r="0" b="0"/>
            <wp:docPr id="5" name="Slika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125"/>
                    <pic:cNvPicPr>
                      <a:picLocks noChangeAspect="1" noChangeArrowheads="1"/>
                    </pic:cNvPicPr>
                  </pic:nvPicPr>
                  <pic:blipFill>
                    <a:blip r:embed="rId11"/>
                    <a:stretch>
                      <a:fillRect/>
                    </a:stretch>
                  </pic:blipFill>
                  <pic:spPr bwMode="auto">
                    <a:xfrm>
                      <a:off x="0" y="0"/>
                      <a:ext cx="5096510" cy="7096760"/>
                    </a:xfrm>
                    <a:prstGeom prst="rect">
                      <a:avLst/>
                    </a:prstGeom>
                  </pic:spPr>
                </pic:pic>
              </a:graphicData>
            </a:graphic>
          </wp:inline>
        </w:drawing>
      </w:r>
    </w:p>
    <w:p w:rsidR="008F0D85" w:rsidRDefault="008F0D85">
      <w:pPr>
        <w:jc w:val="center"/>
      </w:pPr>
    </w:p>
    <w:p w:rsidR="008F0D85" w:rsidRDefault="008F0D85">
      <w:pPr>
        <w:jc w:val="center"/>
      </w:pPr>
    </w:p>
    <w:p w:rsidR="008F0D85" w:rsidRDefault="008F0D85">
      <w:pPr>
        <w:jc w:val="center"/>
      </w:pPr>
    </w:p>
    <w:p w:rsidR="008F0D85" w:rsidRDefault="008F0D85">
      <w:pPr>
        <w:jc w:val="center"/>
      </w:pPr>
    </w:p>
    <w:p w:rsidR="008F0D85" w:rsidRDefault="00AE42A1">
      <w:pPr>
        <w:jc w:val="center"/>
      </w:pPr>
      <w:r>
        <w:rPr>
          <w:noProof/>
        </w:rPr>
        <w:lastRenderedPageBreak/>
        <w:drawing>
          <wp:inline distT="0" distB="0" distL="0" distR="0">
            <wp:extent cx="5172710" cy="7477760"/>
            <wp:effectExtent l="0" t="0" r="0" b="0"/>
            <wp:docPr id="6" name="Slika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126"/>
                    <pic:cNvPicPr>
                      <a:picLocks noChangeAspect="1" noChangeArrowheads="1"/>
                    </pic:cNvPicPr>
                  </pic:nvPicPr>
                  <pic:blipFill>
                    <a:blip r:embed="rId12"/>
                    <a:stretch>
                      <a:fillRect/>
                    </a:stretch>
                  </pic:blipFill>
                  <pic:spPr bwMode="auto">
                    <a:xfrm>
                      <a:off x="0" y="0"/>
                      <a:ext cx="5172710" cy="7477760"/>
                    </a:xfrm>
                    <a:prstGeom prst="rect">
                      <a:avLst/>
                    </a:prstGeom>
                  </pic:spPr>
                </pic:pic>
              </a:graphicData>
            </a:graphic>
          </wp:inline>
        </w:drawing>
      </w:r>
    </w:p>
    <w:p w:rsidR="008F0D85" w:rsidRDefault="008F0D85">
      <w:pPr>
        <w:jc w:val="center"/>
      </w:pPr>
    </w:p>
    <w:p w:rsidR="008F0D85" w:rsidRDefault="008F0D85">
      <w:pPr>
        <w:jc w:val="center"/>
      </w:pPr>
    </w:p>
    <w:p w:rsidR="008F0D85" w:rsidRDefault="008F0D85">
      <w:pPr>
        <w:jc w:val="center"/>
      </w:pPr>
    </w:p>
    <w:p w:rsidR="008F0D85" w:rsidRDefault="00AE42A1">
      <w:pPr>
        <w:jc w:val="center"/>
      </w:pPr>
      <w:r>
        <w:rPr>
          <w:noProof/>
        </w:rPr>
        <w:lastRenderedPageBreak/>
        <w:drawing>
          <wp:inline distT="0" distB="0" distL="0" distR="0">
            <wp:extent cx="5220335" cy="7058660"/>
            <wp:effectExtent l="0" t="0" r="0" b="0"/>
            <wp:docPr id="7" name="Slika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127"/>
                    <pic:cNvPicPr>
                      <a:picLocks noChangeAspect="1" noChangeArrowheads="1"/>
                    </pic:cNvPicPr>
                  </pic:nvPicPr>
                  <pic:blipFill>
                    <a:blip r:embed="rId13"/>
                    <a:stretch>
                      <a:fillRect/>
                    </a:stretch>
                  </pic:blipFill>
                  <pic:spPr bwMode="auto">
                    <a:xfrm>
                      <a:off x="0" y="0"/>
                      <a:ext cx="5220335" cy="7058660"/>
                    </a:xfrm>
                    <a:prstGeom prst="rect">
                      <a:avLst/>
                    </a:prstGeom>
                  </pic:spPr>
                </pic:pic>
              </a:graphicData>
            </a:graphic>
          </wp:inline>
        </w:drawing>
      </w:r>
    </w:p>
    <w:p w:rsidR="008F0D85" w:rsidRDefault="008F0D85">
      <w:pPr>
        <w:jc w:val="center"/>
      </w:pPr>
    </w:p>
    <w:p w:rsidR="008F0D85" w:rsidRDefault="008F0D85">
      <w:pPr>
        <w:jc w:val="center"/>
      </w:pPr>
    </w:p>
    <w:p w:rsidR="008F0D85" w:rsidRDefault="008F0D85">
      <w:pPr>
        <w:jc w:val="center"/>
      </w:pPr>
    </w:p>
    <w:p w:rsidR="008F0D85" w:rsidRDefault="008F0D85">
      <w:pPr>
        <w:jc w:val="center"/>
      </w:pPr>
    </w:p>
    <w:p w:rsidR="008F0D85" w:rsidRDefault="00AE42A1">
      <w:pPr>
        <w:pStyle w:val="Naslov1"/>
      </w:pPr>
      <w:bookmarkStart w:id="1" w:name="_Toc516128215"/>
      <w:bookmarkStart w:id="2" w:name="_Toc527969325"/>
      <w:bookmarkEnd w:id="1"/>
      <w:bookmarkEnd w:id="2"/>
      <w:r>
        <w:lastRenderedPageBreak/>
        <w:t>1. UVOD</w:t>
      </w:r>
    </w:p>
    <w:p w:rsidR="008F0D85" w:rsidRDefault="008F0D85"/>
    <w:p w:rsidR="008F0D85" w:rsidRDefault="00AE42A1">
      <w:r>
        <w:t xml:space="preserve">Temeljem članka 17. stavka 1. Zakona o sustavu civilne zaštite („Narodne Novine“ broj 82/15) predstavničko tijelo, na prijedlog izvršnog </w:t>
      </w:r>
      <w:r>
        <w:t>tijela jedinice lokalne i područne (regionalne) samouprave donosi procjenu rizika od velikih nesreća.</w:t>
      </w:r>
    </w:p>
    <w:p w:rsidR="008F0D85" w:rsidRDefault="00AE42A1">
      <w:pPr>
        <w:spacing w:after="0"/>
      </w:pPr>
      <w:r>
        <w:t>Potreba izrade Procjene rizika od velikih nesreća za Općinu Kloštar Podravski (u daljnjem tekstu Općina) temelji se na društvenim, ekonomskim te praktični</w:t>
      </w:r>
      <w:r>
        <w:t>m razlozima, koji uključuju:</w:t>
      </w:r>
    </w:p>
    <w:p w:rsidR="008F0D85" w:rsidRDefault="00AE42A1">
      <w:pPr>
        <w:numPr>
          <w:ilvl w:val="0"/>
          <w:numId w:val="2"/>
        </w:numPr>
        <w:suppressAutoHyphens/>
        <w:spacing w:after="0"/>
        <w:textAlignment w:val="baseline"/>
        <w:rPr>
          <w:szCs w:val="24"/>
        </w:rPr>
      </w:pPr>
      <w:r>
        <w:rPr>
          <w:szCs w:val="24"/>
        </w:rPr>
        <w:t>pojednostavljenje procesa u svrhu lakšeg nadzora i razumijevanja izlaznih rezultata</w:t>
      </w:r>
    </w:p>
    <w:p w:rsidR="008F0D85" w:rsidRDefault="00AE42A1">
      <w:pPr>
        <w:numPr>
          <w:ilvl w:val="0"/>
          <w:numId w:val="2"/>
        </w:numPr>
        <w:suppressAutoHyphens/>
        <w:spacing w:after="0"/>
        <w:textAlignment w:val="baseline"/>
        <w:rPr>
          <w:szCs w:val="24"/>
        </w:rPr>
      </w:pPr>
      <w:r>
        <w:rPr>
          <w:szCs w:val="24"/>
        </w:rPr>
        <w:t>jačanje dosljednosti radi lakše uporabe rezultata različitih područja i/ili prijetnji</w:t>
      </w:r>
    </w:p>
    <w:p w:rsidR="008F0D85" w:rsidRDefault="00AE42A1">
      <w:pPr>
        <w:numPr>
          <w:ilvl w:val="0"/>
          <w:numId w:val="2"/>
        </w:numPr>
        <w:suppressAutoHyphens/>
        <w:spacing w:after="0"/>
        <w:textAlignment w:val="baseline"/>
        <w:rPr>
          <w:szCs w:val="24"/>
        </w:rPr>
      </w:pPr>
      <w:r>
        <w:rPr>
          <w:szCs w:val="24"/>
        </w:rPr>
        <w:t>standardiziranje procjenjivanja rizika   na svim razinama</w:t>
      </w:r>
      <w:r>
        <w:rPr>
          <w:szCs w:val="24"/>
        </w:rPr>
        <w:t xml:space="preserve"> i od strane svih sektora</w:t>
      </w:r>
    </w:p>
    <w:p w:rsidR="008F0D85" w:rsidRDefault="00AE42A1">
      <w:pPr>
        <w:numPr>
          <w:ilvl w:val="0"/>
          <w:numId w:val="2"/>
        </w:numPr>
        <w:suppressAutoHyphens/>
        <w:spacing w:after="0"/>
        <w:textAlignment w:val="baseline"/>
        <w:rPr>
          <w:szCs w:val="24"/>
        </w:rPr>
      </w:pPr>
      <w:r>
        <w:rPr>
          <w:szCs w:val="24"/>
        </w:rPr>
        <w:t>unapređenje shvaćanja rizika za potrebe praktičnog korištenja u postupcima planiranja, investiranja, osiguranja te sličnim aktivnostima</w:t>
      </w:r>
    </w:p>
    <w:p w:rsidR="008F0D85" w:rsidRDefault="008F0D85">
      <w:pPr>
        <w:suppressAutoHyphens/>
        <w:spacing w:after="0"/>
        <w:textAlignment w:val="baseline"/>
        <w:rPr>
          <w:szCs w:val="24"/>
        </w:rPr>
      </w:pPr>
    </w:p>
    <w:p w:rsidR="008F0D85" w:rsidRDefault="00AE42A1">
      <w:pPr>
        <w:suppressAutoHyphens/>
        <w:spacing w:after="0"/>
        <w:textAlignment w:val="baseline"/>
        <w:rPr>
          <w:szCs w:val="24"/>
        </w:rPr>
      </w:pPr>
      <w:r>
        <w:rPr>
          <w:szCs w:val="24"/>
        </w:rPr>
        <w:t xml:space="preserve">Procjena rizika od velikih nesreća za Općinu Kloštar Podravski izrađena je sukladno: </w:t>
      </w:r>
    </w:p>
    <w:p w:rsidR="008F0D85" w:rsidRDefault="00AE42A1">
      <w:pPr>
        <w:pStyle w:val="Odlomakpopisa"/>
        <w:numPr>
          <w:ilvl w:val="0"/>
          <w:numId w:val="5"/>
        </w:numPr>
        <w:suppressAutoHyphens/>
        <w:spacing w:after="0"/>
        <w:jc w:val="both"/>
        <w:textAlignment w:val="baseline"/>
        <w:rPr>
          <w:sz w:val="24"/>
          <w:szCs w:val="24"/>
        </w:rPr>
      </w:pPr>
      <w:r>
        <w:rPr>
          <w:sz w:val="24"/>
          <w:szCs w:val="24"/>
        </w:rPr>
        <w:t>Zakonu o sustavu civilne zaštite („Narodne Novine“ broj 82/15),</w:t>
      </w:r>
    </w:p>
    <w:p w:rsidR="008F0D85" w:rsidRDefault="00AE42A1">
      <w:pPr>
        <w:pStyle w:val="Odlomakpopisa"/>
        <w:numPr>
          <w:ilvl w:val="0"/>
          <w:numId w:val="5"/>
        </w:numPr>
        <w:suppressAutoHyphens/>
        <w:spacing w:after="0"/>
        <w:jc w:val="both"/>
        <w:textAlignment w:val="baseline"/>
        <w:rPr>
          <w:sz w:val="24"/>
          <w:szCs w:val="24"/>
        </w:rPr>
      </w:pPr>
      <w:r>
        <w:rPr>
          <w:sz w:val="24"/>
          <w:szCs w:val="24"/>
        </w:rPr>
        <w:t>Pravilniku o smjernicama za izradu procjena rizika od katastrofa i velikih nesreća za područje Republike Hrvatske i jedinica lokalne i područne (regionalne) samouprave („Narodne Novine“ broj 6</w:t>
      </w:r>
      <w:r>
        <w:rPr>
          <w:sz w:val="24"/>
          <w:szCs w:val="24"/>
        </w:rPr>
        <w:t>5/16),</w:t>
      </w:r>
    </w:p>
    <w:p w:rsidR="008F0D85" w:rsidRDefault="00AE42A1">
      <w:pPr>
        <w:pStyle w:val="Odlomakpopisa"/>
        <w:numPr>
          <w:ilvl w:val="0"/>
          <w:numId w:val="5"/>
        </w:numPr>
        <w:suppressAutoHyphens/>
        <w:spacing w:after="0"/>
        <w:jc w:val="both"/>
        <w:textAlignment w:val="baseline"/>
        <w:rPr>
          <w:sz w:val="24"/>
          <w:szCs w:val="24"/>
        </w:rPr>
      </w:pPr>
      <w:r>
        <w:rPr>
          <w:sz w:val="24"/>
          <w:szCs w:val="24"/>
        </w:rPr>
        <w:t>Pravilniku o mobilizaciji, uvjetima i načinu rada operativnih snaga sustava civilne zaštite („Narodne Novine“ broj 69/16),</w:t>
      </w:r>
    </w:p>
    <w:p w:rsidR="008F0D85" w:rsidRDefault="00AE42A1">
      <w:pPr>
        <w:pStyle w:val="Odlomakpopisa"/>
        <w:numPr>
          <w:ilvl w:val="0"/>
          <w:numId w:val="5"/>
        </w:numPr>
        <w:suppressAutoHyphens/>
        <w:spacing w:after="0"/>
        <w:jc w:val="both"/>
        <w:textAlignment w:val="baseline"/>
        <w:rPr>
          <w:sz w:val="24"/>
          <w:szCs w:val="24"/>
        </w:rPr>
      </w:pPr>
      <w:r>
        <w:rPr>
          <w:sz w:val="24"/>
          <w:szCs w:val="24"/>
        </w:rPr>
        <w:t>Smjernicama za izradu procjena rizika od velikih nesreća na području Koprivničko – križevačke županije, 2017.god.</w:t>
      </w:r>
    </w:p>
    <w:p w:rsidR="008F0D85" w:rsidRDefault="00AE42A1">
      <w:pPr>
        <w:pStyle w:val="Odlomakpopisa"/>
        <w:numPr>
          <w:ilvl w:val="0"/>
          <w:numId w:val="5"/>
        </w:numPr>
        <w:suppressAutoHyphens/>
        <w:spacing w:after="0"/>
        <w:jc w:val="both"/>
        <w:textAlignment w:val="baseline"/>
        <w:rPr>
          <w:sz w:val="24"/>
          <w:szCs w:val="24"/>
        </w:rPr>
      </w:pPr>
      <w:r>
        <w:rPr>
          <w:sz w:val="24"/>
          <w:szCs w:val="24"/>
        </w:rPr>
        <w:t>Procjeni riz</w:t>
      </w:r>
      <w:r>
        <w:rPr>
          <w:sz w:val="24"/>
          <w:szCs w:val="24"/>
        </w:rPr>
        <w:t>ika od katastrofa za Republiku Hrvatsku te</w:t>
      </w:r>
    </w:p>
    <w:p w:rsidR="008F0D85" w:rsidRDefault="00AE42A1">
      <w:pPr>
        <w:pStyle w:val="Odlomakpopisa"/>
        <w:numPr>
          <w:ilvl w:val="0"/>
          <w:numId w:val="5"/>
        </w:numPr>
        <w:suppressAutoHyphens/>
        <w:spacing w:after="0"/>
        <w:jc w:val="both"/>
        <w:textAlignment w:val="baseline"/>
        <w:rPr>
          <w:sz w:val="24"/>
          <w:szCs w:val="24"/>
        </w:rPr>
      </w:pPr>
      <w:r>
        <w:rPr>
          <w:sz w:val="24"/>
          <w:szCs w:val="24"/>
        </w:rPr>
        <w:t>Procjeni ugroženosti stanovništva, materijalnih i kulturnih dobara i okoliša Općine Kloštar Podravski, 2015.god.</w:t>
      </w:r>
    </w:p>
    <w:p w:rsidR="008F0D85" w:rsidRDefault="008F0D85">
      <w:pPr>
        <w:spacing w:after="0"/>
        <w:ind w:left="1080"/>
        <w:rPr>
          <w:szCs w:val="24"/>
        </w:rPr>
      </w:pPr>
    </w:p>
    <w:p w:rsidR="008F0D85" w:rsidRDefault="00AE42A1">
      <w:r>
        <w:t xml:space="preserve">Procjena rizika označava metodologiju kojom se utvrđuju priroda i stupanj rizika, prilikom čega se analiziraju potencijalne prijetnje i procjenjuje postojeće stanje ranjivosti koji zajedno mogu ugroziti stanovništvo, materijalna i kulturna dobra, biljni i </w:t>
      </w:r>
      <w:r>
        <w:t xml:space="preserve">životinjski svijet i sl. Rizik obuhvaća kombinaciju vjerojatnosti nekog događaja i njegovih negativnih posljedica. </w:t>
      </w:r>
    </w:p>
    <w:p w:rsidR="008F0D85" w:rsidRDefault="00AE42A1">
      <w:r>
        <w:rPr>
          <w:rStyle w:val="Zadanifontodlomka1"/>
          <w:rFonts w:cs="Arial"/>
        </w:rPr>
        <w:t>Procjenom se uređuju opasnosti i rizici koji ugrožavaju Općinu, procjenjuju potrebe i mogućnosti za sprječavanje, umanjivanje i uklanjanje p</w:t>
      </w:r>
      <w:r>
        <w:rPr>
          <w:rStyle w:val="Zadanifontodlomka1"/>
          <w:rFonts w:cs="Arial"/>
        </w:rPr>
        <w:t>osljedica katastrofa i velikih nesreća te stvaraju uvjeti za izradu planova zaštite i spašavanja stanovništva, uz djelovanje svih mjerodavnih struktura, operativnih snaga zaštite i spašavanja i resursa cjelovitog i sveobuhvatnog županijskog sustava upravlj</w:t>
      </w:r>
      <w:r>
        <w:rPr>
          <w:rStyle w:val="Zadanifontodlomka1"/>
          <w:rFonts w:cs="Arial"/>
        </w:rPr>
        <w:t>anja u zaštiti od katastrofa i velikih nesreća.</w:t>
      </w:r>
    </w:p>
    <w:p w:rsidR="008F0D85" w:rsidRDefault="00AE42A1">
      <w:r>
        <w:t>Procjena rizika se ne provodi za antropogene prijetnje poput ratova i terorističkih djelovanja te ostalih zlonamjernih aktivnosti pojedinaca koje mogu ugroziti stanovništvo, materijalna i kulturna dobra, okol</w:t>
      </w:r>
      <w:r>
        <w:t>iš i sl. na području.</w:t>
      </w:r>
    </w:p>
    <w:p w:rsidR="008F0D85" w:rsidRDefault="00AE42A1">
      <w:pPr>
        <w:spacing w:after="120"/>
      </w:pPr>
      <w:r>
        <w:rPr>
          <w:rStyle w:val="Zadanifontodlomka1"/>
          <w:b/>
        </w:rPr>
        <w:lastRenderedPageBreak/>
        <w:t>Procjena rizika</w:t>
      </w:r>
      <w:r>
        <w:t xml:space="preserve"> je cjelokupni proces koji se sastoji od:</w:t>
      </w:r>
    </w:p>
    <w:p w:rsidR="008F0D85" w:rsidRDefault="00AE42A1">
      <w:pPr>
        <w:numPr>
          <w:ilvl w:val="0"/>
          <w:numId w:val="3"/>
        </w:numPr>
        <w:suppressAutoHyphens/>
        <w:ind w:left="709" w:hanging="283"/>
        <w:textAlignment w:val="baseline"/>
      </w:pPr>
      <w:r>
        <w:rPr>
          <w:rStyle w:val="Zadanifontodlomka1"/>
          <w:b/>
        </w:rPr>
        <w:t>Identifikacije rizika</w:t>
      </w:r>
      <w:r>
        <w:t xml:space="preserve"> - proces pronalaženja, prepoznavanja i opisivanja rizika.</w:t>
      </w:r>
    </w:p>
    <w:p w:rsidR="008F0D85" w:rsidRDefault="00AE42A1">
      <w:pPr>
        <w:numPr>
          <w:ilvl w:val="0"/>
          <w:numId w:val="3"/>
        </w:numPr>
        <w:suppressAutoHyphens/>
        <w:ind w:left="709" w:hanging="283"/>
        <w:textAlignment w:val="baseline"/>
      </w:pPr>
      <w:r>
        <w:rPr>
          <w:rStyle w:val="Zadanifontodlomka1"/>
          <w:b/>
        </w:rPr>
        <w:t>Analize rizika</w:t>
      </w:r>
      <w:r>
        <w:t xml:space="preserve"> - obuhvaća pregled tehničkih karakteristika prijetnji kao što su lokacija, intenzi</w:t>
      </w:r>
      <w:r>
        <w:t>tet, učestalost i vjerojatnost; analizu izloženosti i ranjivosti te procjenu učinkovitosti prevladavajućih i alternativnih kapaciteta za suočavanja u pogledu vjerojatnih rizičnih scenarija.</w:t>
      </w:r>
    </w:p>
    <w:p w:rsidR="008F0D85" w:rsidRDefault="00AE42A1">
      <w:pPr>
        <w:numPr>
          <w:ilvl w:val="0"/>
          <w:numId w:val="3"/>
        </w:numPr>
        <w:suppressAutoHyphens/>
        <w:ind w:left="709" w:hanging="283"/>
        <w:textAlignment w:val="baseline"/>
      </w:pPr>
      <w:r>
        <w:rPr>
          <w:rStyle w:val="Zadanifontodlomka1"/>
          <w:b/>
          <w:lang w:eastAsia="hr-HR"/>
        </w:rPr>
        <w:t>Vrednovanja (evaluacije) rizika</w:t>
      </w:r>
      <w:r>
        <w:rPr>
          <w:rStyle w:val="Zadanifontodlomka1"/>
          <w:lang w:eastAsia="hr-HR"/>
        </w:rPr>
        <w:t xml:space="preserve"> - postupak usporedbe rezultata ana</w:t>
      </w:r>
      <w:r>
        <w:rPr>
          <w:rStyle w:val="Zadanifontodlomka1"/>
          <w:lang w:eastAsia="hr-HR"/>
        </w:rPr>
        <w:t>lize rizika s kriterijima prihvatljivosti rizika.</w:t>
      </w:r>
    </w:p>
    <w:p w:rsidR="008F0D85" w:rsidRDefault="00AE42A1">
      <w:r>
        <w:t>Postupak izrade Procjene u skladu je s HRN EN ISO 31000:2012 – Upravljanje rizicima – Načela i smjernice, prikazanog na slici 1., te služi za potrebe unaprjeđenja razumijevanja rizika na svim razinama, osob</w:t>
      </w:r>
      <w:r>
        <w:t>ito u smislu povećanja efikasnosti dosad uspostavljenih mjera za smanjenje rizika od velikih nesreća kao i definiranje novih mjera.</w:t>
      </w:r>
    </w:p>
    <w:p w:rsidR="008F0D85" w:rsidRDefault="00AE42A1">
      <w:pPr>
        <w:spacing w:after="0" w:line="240" w:lineRule="auto"/>
        <w:jc w:val="center"/>
      </w:pPr>
      <w:r>
        <w:rPr>
          <w:noProof/>
        </w:rPr>
        <w:drawing>
          <wp:inline distT="0" distB="0" distL="0" distR="0">
            <wp:extent cx="4201160" cy="4925060"/>
            <wp:effectExtent l="0" t="0" r="0" b="0"/>
            <wp:docPr id="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4"/>
                    <pic:cNvPicPr>
                      <a:picLocks noChangeAspect="1" noChangeArrowheads="1"/>
                    </pic:cNvPicPr>
                  </pic:nvPicPr>
                  <pic:blipFill>
                    <a:blip r:embed="rId14"/>
                    <a:stretch>
                      <a:fillRect/>
                    </a:stretch>
                  </pic:blipFill>
                  <pic:spPr bwMode="auto">
                    <a:xfrm>
                      <a:off x="0" y="0"/>
                      <a:ext cx="4201160" cy="4925060"/>
                    </a:xfrm>
                    <a:prstGeom prst="rect">
                      <a:avLst/>
                    </a:prstGeom>
                  </pic:spPr>
                </pic:pic>
              </a:graphicData>
            </a:graphic>
          </wp:inline>
        </w:drawing>
      </w:r>
    </w:p>
    <w:p w:rsidR="008F0D85" w:rsidRDefault="00AE42A1">
      <w:pPr>
        <w:pStyle w:val="Opisslike"/>
        <w:spacing w:line="240" w:lineRule="auto"/>
      </w:pPr>
      <w:bookmarkStart w:id="3" w:name="_Toc514240389"/>
      <w:bookmarkStart w:id="4" w:name="_Toc516128470"/>
      <w:bookmarkStart w:id="5" w:name="_Toc527969573"/>
      <w:r>
        <w:t xml:space="preserve">Slika </w:t>
      </w:r>
      <w:r>
        <w:fldChar w:fldCharType="begin"/>
      </w:r>
      <w:r>
        <w:instrText>SEQ Slika \* ARABIC</w:instrText>
      </w:r>
      <w:r>
        <w:fldChar w:fldCharType="separate"/>
      </w:r>
      <w:r>
        <w:t>1</w:t>
      </w:r>
      <w:r>
        <w:fldChar w:fldCharType="end"/>
      </w:r>
      <w:bookmarkEnd w:id="3"/>
      <w:bookmarkEnd w:id="4"/>
      <w:bookmarkEnd w:id="5"/>
      <w:r>
        <w:t>: Model prikaza HRN ISO EN 31000 - Od procjene do upravljanja rizicima</w:t>
      </w:r>
    </w:p>
    <w:p w:rsidR="008F0D85" w:rsidRDefault="00AE42A1">
      <w:pPr>
        <w:pStyle w:val="Opisslike"/>
        <w:spacing w:line="240" w:lineRule="auto"/>
        <w:rPr>
          <w:b w:val="0"/>
        </w:rPr>
      </w:pPr>
      <w:r>
        <w:rPr>
          <w:b w:val="0"/>
        </w:rPr>
        <w:t>Izvor: Smjernica za iz</w:t>
      </w:r>
      <w:r>
        <w:rPr>
          <w:b w:val="0"/>
        </w:rPr>
        <w:t>radu procjene rizika od velikih nesreća na području Koprivničko – križevačke županije, 2017.god.</w:t>
      </w:r>
    </w:p>
    <w:p w:rsidR="008F0D85" w:rsidRDefault="00AE42A1">
      <w:pPr>
        <w:pStyle w:val="Naslov1"/>
      </w:pPr>
      <w:bookmarkStart w:id="6" w:name="_Toc512434558"/>
      <w:bookmarkStart w:id="7" w:name="_Toc514240113"/>
      <w:bookmarkStart w:id="8" w:name="_Toc516128216"/>
      <w:bookmarkStart w:id="9" w:name="_Toc527969326"/>
      <w:bookmarkEnd w:id="6"/>
      <w:bookmarkEnd w:id="7"/>
      <w:bookmarkEnd w:id="8"/>
      <w:bookmarkEnd w:id="9"/>
      <w:r>
        <w:lastRenderedPageBreak/>
        <w:t>2. OSNOVNE KARAKTERISTIKE PODRUČJA OPĆINE</w:t>
      </w:r>
    </w:p>
    <w:p w:rsidR="008F0D85" w:rsidRDefault="008F0D85"/>
    <w:p w:rsidR="008F0D85" w:rsidRDefault="00AE42A1">
      <w:pPr>
        <w:rPr>
          <w:szCs w:val="24"/>
        </w:rPr>
      </w:pPr>
      <w:r>
        <w:rPr>
          <w:szCs w:val="24"/>
        </w:rPr>
        <w:t>Za područje Općine opisuju se osnovne karakteristike i podaci koji se odnose na sljedeće grupe pokazatelja: geografs</w:t>
      </w:r>
      <w:r>
        <w:rPr>
          <w:szCs w:val="24"/>
        </w:rPr>
        <w:t>ki pokazatelji, društveno – politički  pokazatelji, ekonomsko - gospodarski pokazatelji, prirodno – kulturni pokazatelji, povijesni pokazatelji, pokazatelji operativne sposobnosti te pokazatelji, primjerice: broj stanovnika, zdravstvene ustanove, broj zapo</w:t>
      </w:r>
      <w:r>
        <w:rPr>
          <w:szCs w:val="24"/>
        </w:rPr>
        <w:t>slenih i mjesta zaposlenja, zaštićena područja, popis operativnih snaga  i dr.</w:t>
      </w:r>
    </w:p>
    <w:p w:rsidR="008F0D85" w:rsidRDefault="00AE42A1">
      <w:pPr>
        <w:pStyle w:val="Naslov2"/>
      </w:pPr>
      <w:bookmarkStart w:id="10" w:name="_Toc512434559"/>
      <w:bookmarkStart w:id="11" w:name="_Toc514240114"/>
      <w:bookmarkStart w:id="12" w:name="_Toc516128217"/>
      <w:bookmarkStart w:id="13" w:name="_Toc527969327"/>
      <w:bookmarkEnd w:id="10"/>
      <w:bookmarkEnd w:id="11"/>
      <w:bookmarkEnd w:id="12"/>
      <w:bookmarkEnd w:id="13"/>
      <w:r>
        <w:t>2.1. Geografski položaj</w:t>
      </w:r>
    </w:p>
    <w:p w:rsidR="008F0D85" w:rsidRDefault="008F0D85"/>
    <w:p w:rsidR="008F0D85" w:rsidRDefault="00AE42A1">
      <w:pPr>
        <w:rPr>
          <w:rFonts w:cs="Calibri"/>
          <w:szCs w:val="24"/>
        </w:rPr>
      </w:pPr>
      <w:r>
        <w:rPr>
          <w:rFonts w:cs="Calibri"/>
          <w:szCs w:val="24"/>
        </w:rPr>
        <w:t xml:space="preserve">Općina se nalazi u sastavu Koprivničko-križevačke županije i čini je četiri naselja: Općinsko središte Kloštar Podravski, te naselja </w:t>
      </w:r>
      <w:r>
        <w:rPr>
          <w:rFonts w:cs="Calibri"/>
          <w:szCs w:val="24"/>
        </w:rPr>
        <w:t>Kozarevac, Budančevica i Prugovac. Općina je smještena u jugoistočnom dijelu Koprivničko-križevačke županije i graniči s tri jedinice lokalne samouprave Koprivničko-križevačke županije: Gradom Đurđevcom te općinama Kalinovac i Podravske Sesvete, dok je dio</w:t>
      </w:r>
      <w:r>
        <w:rPr>
          <w:rFonts w:cs="Calibri"/>
          <w:szCs w:val="24"/>
        </w:rPr>
        <w:t xml:space="preserve"> općinske granice ujedno i županijska granica s Virovitičko-podravskom (Općina Pitomača) i Bjelovarsko-bilogorskom (Općina Velika Pisanica) županijom.</w:t>
      </w:r>
    </w:p>
    <w:p w:rsidR="008F0D85" w:rsidRDefault="00AE42A1">
      <w:pPr>
        <w:jc w:val="center"/>
        <w:rPr>
          <w:rFonts w:cs="Calibri"/>
          <w:szCs w:val="24"/>
        </w:rPr>
      </w:pPr>
      <w:r>
        <w:rPr>
          <w:noProof/>
        </w:rPr>
        <w:drawing>
          <wp:inline distT="0" distB="0" distL="0" distR="0">
            <wp:extent cx="5744210" cy="3963035"/>
            <wp:effectExtent l="0" t="0" r="0" b="0"/>
            <wp:docPr id="9"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88"/>
                    <pic:cNvPicPr>
                      <a:picLocks noChangeAspect="1" noChangeArrowheads="1"/>
                    </pic:cNvPicPr>
                  </pic:nvPicPr>
                  <pic:blipFill>
                    <a:blip r:embed="rId15"/>
                    <a:stretch>
                      <a:fillRect/>
                    </a:stretch>
                  </pic:blipFill>
                  <pic:spPr bwMode="auto">
                    <a:xfrm>
                      <a:off x="0" y="0"/>
                      <a:ext cx="5744210" cy="3963035"/>
                    </a:xfrm>
                    <a:prstGeom prst="rect">
                      <a:avLst/>
                    </a:prstGeom>
                  </pic:spPr>
                </pic:pic>
              </a:graphicData>
            </a:graphic>
          </wp:inline>
        </w:drawing>
      </w:r>
    </w:p>
    <w:p w:rsidR="008F0D85" w:rsidRDefault="00AE42A1">
      <w:pPr>
        <w:pStyle w:val="Opisslike"/>
      </w:pPr>
      <w:bookmarkStart w:id="14" w:name="_Toc514240390"/>
      <w:bookmarkStart w:id="15" w:name="_Toc516128471"/>
      <w:bookmarkStart w:id="16" w:name="_Toc527969574"/>
      <w:r>
        <w:t xml:space="preserve">Slika </w:t>
      </w:r>
      <w:r>
        <w:fldChar w:fldCharType="begin"/>
      </w:r>
      <w:r>
        <w:instrText>SEQ Slika \* ARABIC</w:instrText>
      </w:r>
      <w:r>
        <w:fldChar w:fldCharType="separate"/>
      </w:r>
      <w:r>
        <w:t>2</w:t>
      </w:r>
      <w:r>
        <w:fldChar w:fldCharType="end"/>
      </w:r>
      <w:bookmarkEnd w:id="14"/>
      <w:bookmarkEnd w:id="15"/>
      <w:bookmarkEnd w:id="16"/>
      <w:r>
        <w:t>: Prikaz položaja Općine s obzirom na Koprivničko - križevačku županiju</w:t>
      </w:r>
    </w:p>
    <w:p w:rsidR="008F0D85" w:rsidRDefault="00AE42A1">
      <w:pPr>
        <w:spacing w:after="0"/>
        <w:rPr>
          <w:sz w:val="20"/>
          <w:szCs w:val="20"/>
        </w:rPr>
      </w:pPr>
      <w:r>
        <w:rPr>
          <w:sz w:val="20"/>
          <w:szCs w:val="20"/>
        </w:rPr>
        <w:t>Iz</w:t>
      </w:r>
      <w:r>
        <w:rPr>
          <w:sz w:val="20"/>
          <w:szCs w:val="20"/>
        </w:rPr>
        <w:t>vor: Geoportal, DGU, 2018.god.</w:t>
      </w:r>
    </w:p>
    <w:p w:rsidR="008F0D85" w:rsidRDefault="008F0D85">
      <w:pPr>
        <w:spacing w:after="0"/>
        <w:rPr>
          <w:sz w:val="20"/>
          <w:szCs w:val="20"/>
        </w:rPr>
      </w:pPr>
    </w:p>
    <w:p w:rsidR="008F0D85" w:rsidRDefault="008F0D85">
      <w:pPr>
        <w:spacing w:after="0"/>
        <w:rPr>
          <w:sz w:val="20"/>
          <w:szCs w:val="20"/>
        </w:rPr>
      </w:pPr>
    </w:p>
    <w:p w:rsidR="008F0D85" w:rsidRDefault="00AE42A1">
      <w:pPr>
        <w:spacing w:after="0"/>
        <w:jc w:val="center"/>
        <w:rPr>
          <w:sz w:val="20"/>
          <w:szCs w:val="20"/>
        </w:rPr>
      </w:pPr>
      <w:r>
        <w:rPr>
          <w:noProof/>
        </w:rPr>
        <w:lastRenderedPageBreak/>
        <w:drawing>
          <wp:inline distT="0" distB="0" distL="0" distR="0">
            <wp:extent cx="5477510" cy="8173085"/>
            <wp:effectExtent l="0" t="0" r="0" b="0"/>
            <wp:docPr id="10" name="Slika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94"/>
                    <pic:cNvPicPr>
                      <a:picLocks noChangeAspect="1" noChangeArrowheads="1"/>
                    </pic:cNvPicPr>
                  </pic:nvPicPr>
                  <pic:blipFill>
                    <a:blip r:embed="rId16"/>
                    <a:stretch>
                      <a:fillRect/>
                    </a:stretch>
                  </pic:blipFill>
                  <pic:spPr bwMode="auto">
                    <a:xfrm>
                      <a:off x="0" y="0"/>
                      <a:ext cx="5477510" cy="8173085"/>
                    </a:xfrm>
                    <a:prstGeom prst="rect">
                      <a:avLst/>
                    </a:prstGeom>
                  </pic:spPr>
                </pic:pic>
              </a:graphicData>
            </a:graphic>
          </wp:inline>
        </w:drawing>
      </w:r>
    </w:p>
    <w:p w:rsidR="008F0D85" w:rsidRDefault="00AE42A1">
      <w:pPr>
        <w:pStyle w:val="Opisslike"/>
      </w:pPr>
      <w:bookmarkStart w:id="17" w:name="_Toc512434782"/>
      <w:bookmarkStart w:id="18" w:name="_Toc514240391"/>
      <w:bookmarkStart w:id="19" w:name="_Toc516128472"/>
      <w:bookmarkStart w:id="20" w:name="_Toc527969575"/>
      <w:r>
        <w:t xml:space="preserve">Slika </w:t>
      </w:r>
      <w:r>
        <w:fldChar w:fldCharType="begin"/>
      </w:r>
      <w:r>
        <w:instrText>SEQ Slika \* ARABIC</w:instrText>
      </w:r>
      <w:r>
        <w:fldChar w:fldCharType="separate"/>
      </w:r>
      <w:r>
        <w:t>3</w:t>
      </w:r>
      <w:r>
        <w:fldChar w:fldCharType="end"/>
      </w:r>
      <w:bookmarkEnd w:id="17"/>
      <w:bookmarkEnd w:id="18"/>
      <w:bookmarkEnd w:id="19"/>
      <w:bookmarkEnd w:id="20"/>
      <w:r>
        <w:t>: Prikaz rasporeda naselja unutar Općine</w:t>
      </w:r>
    </w:p>
    <w:p w:rsidR="008F0D85" w:rsidRDefault="00AE42A1">
      <w:pPr>
        <w:spacing w:after="0" w:line="240" w:lineRule="auto"/>
        <w:rPr>
          <w:sz w:val="20"/>
          <w:szCs w:val="20"/>
        </w:rPr>
      </w:pPr>
      <w:r>
        <w:rPr>
          <w:sz w:val="20"/>
          <w:szCs w:val="20"/>
        </w:rPr>
        <w:t>Izvor: Geoportal, DGU, 2018.god.</w:t>
      </w:r>
    </w:p>
    <w:p w:rsidR="008F0D85" w:rsidRDefault="00AE42A1">
      <w:pPr>
        <w:pStyle w:val="Naslov2"/>
      </w:pPr>
      <w:bookmarkStart w:id="21" w:name="_Toc512434560"/>
      <w:bookmarkStart w:id="22" w:name="_Toc514240115"/>
      <w:bookmarkStart w:id="23" w:name="_Toc516128218"/>
      <w:bookmarkStart w:id="24" w:name="_Toc527969328"/>
      <w:bookmarkEnd w:id="21"/>
      <w:bookmarkEnd w:id="22"/>
      <w:bookmarkEnd w:id="23"/>
      <w:bookmarkEnd w:id="24"/>
      <w:r>
        <w:lastRenderedPageBreak/>
        <w:t>2.2. Stanovništvo Općine</w:t>
      </w:r>
    </w:p>
    <w:p w:rsidR="008F0D85" w:rsidRDefault="008F0D85">
      <w:pPr>
        <w:rPr>
          <w:rFonts w:cs="Calibri"/>
          <w:szCs w:val="24"/>
        </w:rPr>
      </w:pPr>
    </w:p>
    <w:p w:rsidR="008F0D85" w:rsidRDefault="00AE42A1">
      <w:r>
        <w:t>Prema posljednjem popisu stanovništva iz 2011. godine, Općina je imala 3.306 stanovnika, ras</w:t>
      </w:r>
      <w:r>
        <w:t>poređena u 4 naselja, što predstavlja 2,86% od ukupnog broja stanovnika Koprivničko - križevačke županije (115.584 st.).</w:t>
      </w:r>
    </w:p>
    <w:p w:rsidR="008F0D85" w:rsidRDefault="00AE42A1">
      <w:pPr>
        <w:pStyle w:val="Opisslike"/>
        <w:jc w:val="center"/>
      </w:pPr>
      <w:bookmarkStart w:id="25" w:name="_Toc512434697"/>
      <w:bookmarkStart w:id="26" w:name="_Toc514240291"/>
      <w:bookmarkStart w:id="27" w:name="_Toc516128372"/>
      <w:bookmarkStart w:id="28" w:name="_Toc527969483"/>
      <w:r>
        <w:t xml:space="preserve">Tablica </w:t>
      </w:r>
      <w:r>
        <w:fldChar w:fldCharType="begin"/>
      </w:r>
      <w:r>
        <w:instrText>SEQ Tablica \* ARABIC</w:instrText>
      </w:r>
      <w:r>
        <w:fldChar w:fldCharType="separate"/>
      </w:r>
      <w:r>
        <w:t>1</w:t>
      </w:r>
      <w:r>
        <w:fldChar w:fldCharType="end"/>
      </w:r>
      <w:bookmarkEnd w:id="25"/>
      <w:bookmarkEnd w:id="26"/>
      <w:bookmarkEnd w:id="27"/>
      <w:bookmarkEnd w:id="28"/>
      <w:r>
        <w:t>: Raspodjela stanovništva na području Općine prema starosti i spolu</w:t>
      </w:r>
    </w:p>
    <w:tbl>
      <w:tblPr>
        <w:tblW w:w="6502"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1858"/>
        <w:gridCol w:w="1433"/>
        <w:gridCol w:w="1559"/>
        <w:gridCol w:w="1652"/>
      </w:tblGrid>
      <w:tr w:rsidR="008F0D85">
        <w:trPr>
          <w:jc w:val="center"/>
        </w:trPr>
        <w:tc>
          <w:tcPr>
            <w:tcW w:w="6501" w:type="dxa"/>
            <w:gridSpan w:val="4"/>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Stanovništvo na području Općine</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Starost - Godine</w:t>
            </w:r>
          </w:p>
        </w:tc>
        <w:tc>
          <w:tcPr>
            <w:tcW w:w="1433"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Muški</w:t>
            </w:r>
          </w:p>
        </w:tc>
        <w:tc>
          <w:tcPr>
            <w:tcW w:w="1559"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Ženski</w:t>
            </w:r>
          </w:p>
        </w:tc>
        <w:tc>
          <w:tcPr>
            <w:tcW w:w="165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Ukupno</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0-4</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107</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72</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179</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5-9</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110</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95</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205</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10-14</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93</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120</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213</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15-19</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101</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103</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204</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20-24</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127</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84</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211</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25-29</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123</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82</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205</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30-34</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112</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101</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213</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35-39</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106</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95</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201</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40-44</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110</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104</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214</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45-49</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112</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131</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243</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50-54</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128</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104</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232</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 xml:space="preserve"> 55-59</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110</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92</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202</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60-64</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92</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100</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192</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65-69</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74</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109</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183</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70-74</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47</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103</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150</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75-79</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37</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79</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113</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80-84</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31</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74</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105</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85-89</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4</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27</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31</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90-94</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8</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8</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95 i više</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w:t>
            </w:r>
          </w:p>
        </w:tc>
      </w:tr>
      <w:tr w:rsidR="008F0D85">
        <w:trPr>
          <w:jc w:val="center"/>
        </w:trPr>
        <w:tc>
          <w:tcPr>
            <w:tcW w:w="1857"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Ukupan broj stanovnika</w:t>
            </w:r>
          </w:p>
        </w:tc>
        <w:tc>
          <w:tcPr>
            <w:tcW w:w="14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1.621</w:t>
            </w:r>
          </w:p>
        </w:tc>
        <w:tc>
          <w:tcPr>
            <w:tcW w:w="155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1.685</w:t>
            </w:r>
          </w:p>
        </w:tc>
        <w:tc>
          <w:tcPr>
            <w:tcW w:w="165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3.306</w:t>
            </w:r>
          </w:p>
        </w:tc>
      </w:tr>
    </w:tbl>
    <w:p w:rsidR="008F0D85" w:rsidRDefault="00AE42A1">
      <w:pPr>
        <w:jc w:val="center"/>
        <w:rPr>
          <w:sz w:val="20"/>
          <w:szCs w:val="20"/>
        </w:rPr>
      </w:pPr>
      <w:r>
        <w:rPr>
          <w:sz w:val="20"/>
          <w:szCs w:val="20"/>
        </w:rPr>
        <w:t>Izvor: Državni zavod za statistiku, Popis stanovništva 2011. godine</w:t>
      </w:r>
    </w:p>
    <w:p w:rsidR="008F0D85" w:rsidRDefault="00AE42A1">
      <w:pPr>
        <w:pStyle w:val="Opisslike"/>
        <w:jc w:val="center"/>
      </w:pPr>
      <w:bookmarkStart w:id="29" w:name="_Toc512434698"/>
      <w:bookmarkStart w:id="30" w:name="_Toc514240292"/>
      <w:bookmarkStart w:id="31" w:name="_Toc516128373"/>
      <w:bookmarkStart w:id="32" w:name="_Toc527969484"/>
      <w:r>
        <w:t xml:space="preserve">Tablica </w:t>
      </w:r>
      <w:r>
        <w:fldChar w:fldCharType="begin"/>
      </w:r>
      <w:r>
        <w:instrText>SEQ Tablica \* ARABIC</w:instrText>
      </w:r>
      <w:r>
        <w:fldChar w:fldCharType="separate"/>
      </w:r>
      <w:r>
        <w:t>2</w:t>
      </w:r>
      <w:r>
        <w:fldChar w:fldCharType="end"/>
      </w:r>
      <w:bookmarkEnd w:id="29"/>
      <w:bookmarkEnd w:id="30"/>
      <w:bookmarkEnd w:id="31"/>
      <w:bookmarkEnd w:id="32"/>
      <w:r>
        <w:t>: Raspodjela stanovništva po naseljima Općine</w:t>
      </w:r>
    </w:p>
    <w:tbl>
      <w:tblPr>
        <w:tblW w:w="6804" w:type="dxa"/>
        <w:tblInd w:w="1129"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3401"/>
        <w:gridCol w:w="3403"/>
      </w:tblGrid>
      <w:tr w:rsidR="008F0D85">
        <w:tc>
          <w:tcPr>
            <w:tcW w:w="3401"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b/>
                <w:sz w:val="20"/>
                <w:szCs w:val="20"/>
              </w:rPr>
            </w:pPr>
            <w:r>
              <w:rPr>
                <w:b/>
                <w:sz w:val="20"/>
                <w:szCs w:val="20"/>
              </w:rPr>
              <w:t>Naselje</w:t>
            </w:r>
          </w:p>
        </w:tc>
        <w:tc>
          <w:tcPr>
            <w:tcW w:w="340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b/>
                <w:sz w:val="20"/>
                <w:szCs w:val="20"/>
              </w:rPr>
            </w:pPr>
            <w:r>
              <w:rPr>
                <w:b/>
                <w:sz w:val="20"/>
                <w:szCs w:val="20"/>
              </w:rPr>
              <w:t>Br. stanovnika</w:t>
            </w:r>
          </w:p>
        </w:tc>
      </w:tr>
      <w:tr w:rsidR="008F0D85">
        <w:tc>
          <w:tcPr>
            <w:tcW w:w="340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left"/>
              <w:rPr>
                <w:sz w:val="20"/>
                <w:szCs w:val="20"/>
              </w:rPr>
            </w:pPr>
            <w:r>
              <w:rPr>
                <w:sz w:val="20"/>
                <w:szCs w:val="20"/>
              </w:rPr>
              <w:t>Budančevica</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527</w:t>
            </w:r>
          </w:p>
        </w:tc>
      </w:tr>
      <w:tr w:rsidR="008F0D85">
        <w:tc>
          <w:tcPr>
            <w:tcW w:w="340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left"/>
              <w:rPr>
                <w:sz w:val="20"/>
                <w:szCs w:val="20"/>
              </w:rPr>
            </w:pPr>
            <w:r>
              <w:rPr>
                <w:sz w:val="20"/>
                <w:szCs w:val="20"/>
              </w:rPr>
              <w:t>Kloštar Podravski</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1.532</w:t>
            </w:r>
          </w:p>
        </w:tc>
      </w:tr>
      <w:tr w:rsidR="008F0D85">
        <w:tc>
          <w:tcPr>
            <w:tcW w:w="340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left"/>
              <w:rPr>
                <w:sz w:val="20"/>
                <w:szCs w:val="20"/>
              </w:rPr>
            </w:pPr>
            <w:r>
              <w:rPr>
                <w:sz w:val="20"/>
                <w:szCs w:val="20"/>
              </w:rPr>
              <w:t>Kozarevac</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560</w:t>
            </w:r>
          </w:p>
        </w:tc>
      </w:tr>
      <w:tr w:rsidR="008F0D85">
        <w:tc>
          <w:tcPr>
            <w:tcW w:w="340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left"/>
              <w:rPr>
                <w:sz w:val="20"/>
                <w:szCs w:val="20"/>
              </w:rPr>
            </w:pPr>
            <w:r>
              <w:rPr>
                <w:sz w:val="20"/>
                <w:szCs w:val="20"/>
              </w:rPr>
              <w:t>Prugovac</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687</w:t>
            </w:r>
          </w:p>
        </w:tc>
      </w:tr>
    </w:tbl>
    <w:p w:rsidR="008F0D85" w:rsidRDefault="00AE42A1">
      <w:pPr>
        <w:jc w:val="center"/>
        <w:rPr>
          <w:sz w:val="20"/>
          <w:szCs w:val="20"/>
        </w:rPr>
      </w:pPr>
      <w:r>
        <w:rPr>
          <w:sz w:val="20"/>
          <w:szCs w:val="20"/>
        </w:rPr>
        <w:t>Izvor: Državni zavod za statistiku, Popis stanovništva 2011. godine</w:t>
      </w:r>
    </w:p>
    <w:p w:rsidR="008F0D85" w:rsidRDefault="008F0D85">
      <w:pPr>
        <w:rPr>
          <w:sz w:val="20"/>
          <w:szCs w:val="20"/>
        </w:rPr>
      </w:pPr>
    </w:p>
    <w:p w:rsidR="008F0D85" w:rsidRDefault="00AE42A1">
      <w:r>
        <w:t xml:space="preserve">Prema rezultatima Popisa stanovništva te podacima koji se odnose na raspodjelu prema spolu i starosti, vidljivo je da je broj muškaraca i žena na području Općine približno jednako zastupljen. </w:t>
      </w:r>
    </w:p>
    <w:p w:rsidR="008F0D85" w:rsidRDefault="00AE42A1">
      <w:pPr>
        <w:pStyle w:val="Naslov2"/>
      </w:pPr>
      <w:bookmarkStart w:id="33" w:name="_Toc512434561"/>
      <w:bookmarkStart w:id="34" w:name="_Toc514240116"/>
      <w:bookmarkStart w:id="35" w:name="_Toc516128219"/>
      <w:bookmarkStart w:id="36" w:name="_Toc527969329"/>
      <w:bookmarkEnd w:id="33"/>
      <w:bookmarkEnd w:id="34"/>
      <w:bookmarkEnd w:id="35"/>
      <w:bookmarkEnd w:id="36"/>
      <w:r>
        <w:lastRenderedPageBreak/>
        <w:t>2.3. Gustoća naseljenosti</w:t>
      </w:r>
    </w:p>
    <w:p w:rsidR="008F0D85" w:rsidRDefault="008F0D85">
      <w:pPr>
        <w:rPr>
          <w:rFonts w:cs="Calibri"/>
          <w:szCs w:val="24"/>
        </w:rPr>
      </w:pPr>
    </w:p>
    <w:p w:rsidR="008F0D85" w:rsidRDefault="00AE42A1">
      <w:r>
        <w:t>Površina Općine iznosi 51,47 km</w:t>
      </w:r>
      <w:r>
        <w:rPr>
          <w:vertAlign w:val="superscript"/>
        </w:rPr>
        <w:t>2</w:t>
      </w:r>
      <w:r>
        <w:t xml:space="preserve"> ( 2,95% od ukupne površine Koprivničko - križevačke županije koja iznosi 1.748 km</w:t>
      </w:r>
      <w:r>
        <w:rPr>
          <w:vertAlign w:val="superscript"/>
        </w:rPr>
        <w:t>2</w:t>
      </w:r>
      <w:r>
        <w:t>). Prema popisu iz 2011. godine u Općini je živjelo 3.306 stanovnika (2,86% stanovnika Županije). To je prosječno naseljen kraj s gustoćom naseljenosti od 64,23 st./km</w:t>
      </w:r>
      <w:r>
        <w:rPr>
          <w:vertAlign w:val="superscript"/>
        </w:rPr>
        <w:t>2</w:t>
      </w:r>
      <w:r>
        <w:t>. Gus</w:t>
      </w:r>
      <w:r>
        <w:t>toća naseljenosti Općine ispod je prosjeka Županijske gustoće naseljenosti koja iznosi 66,12 st./km</w:t>
      </w:r>
      <w:r>
        <w:rPr>
          <w:vertAlign w:val="superscript"/>
        </w:rPr>
        <w:t>2</w:t>
      </w:r>
      <w:r>
        <w:t xml:space="preserve">. </w:t>
      </w:r>
    </w:p>
    <w:p w:rsidR="008F0D85" w:rsidRDefault="00AE42A1">
      <w:pPr>
        <w:pStyle w:val="Opisslike"/>
        <w:jc w:val="center"/>
      </w:pPr>
      <w:bookmarkStart w:id="37" w:name="_Toc512434699"/>
      <w:bookmarkStart w:id="38" w:name="_Toc514240293"/>
      <w:bookmarkStart w:id="39" w:name="_Toc516128374"/>
      <w:bookmarkStart w:id="40" w:name="_Toc527969485"/>
      <w:r>
        <w:t xml:space="preserve">Tablica </w:t>
      </w:r>
      <w:r>
        <w:fldChar w:fldCharType="begin"/>
      </w:r>
      <w:r>
        <w:instrText>SEQ Tablica \* ARABIC</w:instrText>
      </w:r>
      <w:r>
        <w:fldChar w:fldCharType="separate"/>
      </w:r>
      <w:r>
        <w:t>3</w:t>
      </w:r>
      <w:r>
        <w:fldChar w:fldCharType="end"/>
      </w:r>
      <w:bookmarkEnd w:id="37"/>
      <w:bookmarkEnd w:id="38"/>
      <w:bookmarkEnd w:id="39"/>
      <w:bookmarkEnd w:id="40"/>
      <w:r>
        <w:t>: Prikaz gustoće naseljenosti po naseljima Općine</w:t>
      </w:r>
    </w:p>
    <w:tbl>
      <w:tblPr>
        <w:tblW w:w="906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2284"/>
        <w:gridCol w:w="2381"/>
        <w:gridCol w:w="2317"/>
        <w:gridCol w:w="2078"/>
      </w:tblGrid>
      <w:tr w:rsidR="008F0D85">
        <w:tc>
          <w:tcPr>
            <w:tcW w:w="2283"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Naselje</w:t>
            </w:r>
          </w:p>
        </w:tc>
        <w:tc>
          <w:tcPr>
            <w:tcW w:w="2381"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Broj stanovnika</w:t>
            </w:r>
          </w:p>
        </w:tc>
        <w:tc>
          <w:tcPr>
            <w:tcW w:w="2317"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Površina naselje (km</w:t>
            </w:r>
            <w:r>
              <w:rPr>
                <w:rFonts w:cs="Calibri"/>
                <w:b/>
                <w:sz w:val="20"/>
                <w:szCs w:val="20"/>
                <w:vertAlign w:val="superscript"/>
              </w:rPr>
              <w:t>2</w:t>
            </w:r>
            <w:r>
              <w:rPr>
                <w:rFonts w:cs="Calibri"/>
                <w:b/>
                <w:sz w:val="20"/>
                <w:szCs w:val="20"/>
              </w:rPr>
              <w:t>)</w:t>
            </w:r>
          </w:p>
        </w:tc>
        <w:tc>
          <w:tcPr>
            <w:tcW w:w="2078"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Gustoća naseljenosti (s</w:t>
            </w:r>
            <w:r>
              <w:rPr>
                <w:rFonts w:cs="Calibri"/>
                <w:b/>
                <w:sz w:val="20"/>
                <w:szCs w:val="20"/>
              </w:rPr>
              <w:t>t./km</w:t>
            </w:r>
            <w:r>
              <w:rPr>
                <w:rFonts w:cs="Calibri"/>
                <w:b/>
                <w:sz w:val="20"/>
                <w:szCs w:val="20"/>
                <w:vertAlign w:val="superscript"/>
              </w:rPr>
              <w:t>2</w:t>
            </w:r>
            <w:r>
              <w:rPr>
                <w:rFonts w:cs="Calibri"/>
                <w:b/>
                <w:sz w:val="20"/>
                <w:szCs w:val="20"/>
              </w:rPr>
              <w:t>)</w:t>
            </w:r>
          </w:p>
        </w:tc>
      </w:tr>
      <w:tr w:rsidR="008F0D85">
        <w:tc>
          <w:tcPr>
            <w:tcW w:w="228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left"/>
              <w:rPr>
                <w:sz w:val="20"/>
                <w:szCs w:val="20"/>
              </w:rPr>
            </w:pPr>
            <w:r>
              <w:rPr>
                <w:sz w:val="20"/>
                <w:szCs w:val="20"/>
              </w:rPr>
              <w:t>Budančevica</w:t>
            </w:r>
          </w:p>
        </w:tc>
        <w:tc>
          <w:tcPr>
            <w:tcW w:w="238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527</w:t>
            </w:r>
          </w:p>
        </w:tc>
        <w:tc>
          <w:tcPr>
            <w:tcW w:w="231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3,78</w:t>
            </w:r>
          </w:p>
        </w:tc>
        <w:tc>
          <w:tcPr>
            <w:tcW w:w="207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139,42</w:t>
            </w:r>
          </w:p>
        </w:tc>
      </w:tr>
      <w:tr w:rsidR="008F0D85">
        <w:tc>
          <w:tcPr>
            <w:tcW w:w="228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left"/>
              <w:rPr>
                <w:sz w:val="20"/>
                <w:szCs w:val="20"/>
              </w:rPr>
            </w:pPr>
            <w:r>
              <w:rPr>
                <w:sz w:val="20"/>
                <w:szCs w:val="20"/>
              </w:rPr>
              <w:t>Kloštar Podravski</w:t>
            </w:r>
          </w:p>
        </w:tc>
        <w:tc>
          <w:tcPr>
            <w:tcW w:w="238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1.532</w:t>
            </w:r>
          </w:p>
        </w:tc>
        <w:tc>
          <w:tcPr>
            <w:tcW w:w="231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17,6</w:t>
            </w:r>
          </w:p>
        </w:tc>
        <w:tc>
          <w:tcPr>
            <w:tcW w:w="207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87,05</w:t>
            </w:r>
          </w:p>
        </w:tc>
      </w:tr>
      <w:tr w:rsidR="008F0D85">
        <w:tc>
          <w:tcPr>
            <w:tcW w:w="228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left"/>
              <w:rPr>
                <w:sz w:val="20"/>
                <w:szCs w:val="20"/>
              </w:rPr>
            </w:pPr>
            <w:r>
              <w:rPr>
                <w:sz w:val="20"/>
                <w:szCs w:val="20"/>
              </w:rPr>
              <w:t>Kozarevac</w:t>
            </w:r>
          </w:p>
        </w:tc>
        <w:tc>
          <w:tcPr>
            <w:tcW w:w="238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560</w:t>
            </w:r>
          </w:p>
        </w:tc>
        <w:tc>
          <w:tcPr>
            <w:tcW w:w="231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17,4</w:t>
            </w:r>
          </w:p>
        </w:tc>
        <w:tc>
          <w:tcPr>
            <w:tcW w:w="207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32,18</w:t>
            </w:r>
          </w:p>
        </w:tc>
      </w:tr>
      <w:tr w:rsidR="008F0D85">
        <w:tc>
          <w:tcPr>
            <w:tcW w:w="228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left"/>
              <w:rPr>
                <w:sz w:val="20"/>
                <w:szCs w:val="20"/>
              </w:rPr>
            </w:pPr>
            <w:r>
              <w:rPr>
                <w:sz w:val="20"/>
                <w:szCs w:val="20"/>
              </w:rPr>
              <w:t>Prugovac</w:t>
            </w:r>
          </w:p>
        </w:tc>
        <w:tc>
          <w:tcPr>
            <w:tcW w:w="238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687</w:t>
            </w:r>
          </w:p>
        </w:tc>
        <w:tc>
          <w:tcPr>
            <w:tcW w:w="231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12,21</w:t>
            </w:r>
          </w:p>
        </w:tc>
        <w:tc>
          <w:tcPr>
            <w:tcW w:w="207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56,27</w:t>
            </w:r>
          </w:p>
        </w:tc>
      </w:tr>
    </w:tbl>
    <w:p w:rsidR="008F0D85" w:rsidRDefault="008F0D85">
      <w:pPr>
        <w:jc w:val="center"/>
      </w:pPr>
    </w:p>
    <w:p w:rsidR="008F0D85" w:rsidRDefault="00AE42A1">
      <w:pPr>
        <w:spacing w:after="0"/>
        <w:jc w:val="center"/>
      </w:pPr>
      <w:r>
        <w:rPr>
          <w:noProof/>
        </w:rPr>
        <w:drawing>
          <wp:inline distT="0" distB="0" distL="0" distR="0">
            <wp:extent cx="3410585" cy="5020310"/>
            <wp:effectExtent l="0" t="0" r="0" b="0"/>
            <wp:docPr id="11"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7"/>
                    <pic:cNvPicPr>
                      <a:picLocks noChangeAspect="1" noChangeArrowheads="1"/>
                    </pic:cNvPicPr>
                  </pic:nvPicPr>
                  <pic:blipFill>
                    <a:blip r:embed="rId17"/>
                    <a:stretch>
                      <a:fillRect/>
                    </a:stretch>
                  </pic:blipFill>
                  <pic:spPr bwMode="auto">
                    <a:xfrm>
                      <a:off x="0" y="0"/>
                      <a:ext cx="3410585" cy="5020310"/>
                    </a:xfrm>
                    <a:prstGeom prst="rect">
                      <a:avLst/>
                    </a:prstGeom>
                  </pic:spPr>
                </pic:pic>
              </a:graphicData>
            </a:graphic>
          </wp:inline>
        </w:drawing>
      </w:r>
    </w:p>
    <w:p w:rsidR="008F0D85" w:rsidRDefault="00AE42A1">
      <w:pPr>
        <w:pStyle w:val="Opisslike"/>
        <w:spacing w:line="240" w:lineRule="auto"/>
      </w:pPr>
      <w:bookmarkStart w:id="41" w:name="_Toc512434783"/>
      <w:bookmarkStart w:id="42" w:name="_Toc514240392"/>
      <w:bookmarkStart w:id="43" w:name="_Toc516128473"/>
      <w:bookmarkStart w:id="44" w:name="_Toc527969576"/>
      <w:r>
        <w:t xml:space="preserve">Slika </w:t>
      </w:r>
      <w:r>
        <w:fldChar w:fldCharType="begin"/>
      </w:r>
      <w:r>
        <w:instrText>SEQ Slika \* ARABIC</w:instrText>
      </w:r>
      <w:r>
        <w:fldChar w:fldCharType="separate"/>
      </w:r>
      <w:r>
        <w:t>4</w:t>
      </w:r>
      <w:r>
        <w:fldChar w:fldCharType="end"/>
      </w:r>
      <w:bookmarkEnd w:id="41"/>
      <w:bookmarkEnd w:id="42"/>
      <w:bookmarkEnd w:id="43"/>
      <w:bookmarkEnd w:id="44"/>
      <w:r>
        <w:t>: Prikaz gustoće naseljenosti Općine s obzirom na gustoću naseljenosti po naseljima</w:t>
      </w:r>
    </w:p>
    <w:p w:rsidR="008F0D85" w:rsidRDefault="00AE42A1">
      <w:pPr>
        <w:spacing w:after="0" w:line="240" w:lineRule="auto"/>
        <w:rPr>
          <w:sz w:val="20"/>
          <w:szCs w:val="20"/>
        </w:rPr>
      </w:pPr>
      <w:r>
        <w:rPr>
          <w:sz w:val="20"/>
          <w:szCs w:val="20"/>
        </w:rPr>
        <w:t xml:space="preserve">Izvor: </w:t>
      </w:r>
      <w:r>
        <w:rPr>
          <w:sz w:val="20"/>
          <w:szCs w:val="20"/>
        </w:rPr>
        <w:t>Geoportal, DGU, 2018.god.</w:t>
      </w:r>
    </w:p>
    <w:p w:rsidR="008F0D85" w:rsidRDefault="00AE42A1">
      <w:pPr>
        <w:pStyle w:val="Naslov2"/>
      </w:pPr>
      <w:bookmarkStart w:id="45" w:name="_Toc512434562"/>
      <w:bookmarkStart w:id="46" w:name="_Toc514240117"/>
      <w:bookmarkStart w:id="47" w:name="_Toc516128220"/>
      <w:bookmarkStart w:id="48" w:name="_Toc527969330"/>
      <w:bookmarkEnd w:id="45"/>
      <w:bookmarkEnd w:id="46"/>
      <w:bookmarkEnd w:id="47"/>
      <w:bookmarkEnd w:id="48"/>
      <w:r>
        <w:lastRenderedPageBreak/>
        <w:t>2.4. Razmještaj stanovništva Općine</w:t>
      </w:r>
    </w:p>
    <w:p w:rsidR="008F0D85" w:rsidRDefault="008F0D85"/>
    <w:p w:rsidR="008F0D85" w:rsidRDefault="00AE42A1">
      <w:r>
        <w:t xml:space="preserve">Najveći broj stanovnika Općine naseljen je u naselju Kloštar Podravski, točnije 46,34% ukupnog stanovništva Općine. U naselju Kloštar Podravski nalazi se najveći broj radno aktivnog </w:t>
      </w:r>
      <w:r>
        <w:t>stanovništva, mladog stanovništva te osoba starije životne dobi. Međutim, najveća gustoća naseljenosti zabilježena je u naselju Budančevica te iznosi 139,42 st./km</w:t>
      </w:r>
      <w:r>
        <w:rPr>
          <w:vertAlign w:val="superscript"/>
        </w:rPr>
        <w:t>2</w:t>
      </w:r>
      <w:r>
        <w:t>. Naselje se nalazi na sjevernom dijelu Općine te graniči s Općinom Kalinovac na sjeveru, Gr</w:t>
      </w:r>
      <w:r>
        <w:t>adom Đurđevac na zapadu, naseljem Kloštar Podravski na istoku te naseljem Prugovac na jugu. Položaj naselja vidljiv je na slici 4.</w:t>
      </w:r>
    </w:p>
    <w:p w:rsidR="008F0D85" w:rsidRDefault="00AE42A1">
      <w:pPr>
        <w:pStyle w:val="Naslov2"/>
      </w:pPr>
      <w:bookmarkStart w:id="49" w:name="_Toc512434563"/>
      <w:bookmarkStart w:id="50" w:name="_Toc514240118"/>
      <w:bookmarkStart w:id="51" w:name="_Toc516128221"/>
      <w:bookmarkStart w:id="52" w:name="_Toc527969331"/>
      <w:bookmarkEnd w:id="49"/>
      <w:bookmarkEnd w:id="50"/>
      <w:bookmarkEnd w:id="51"/>
      <w:bookmarkEnd w:id="52"/>
      <w:r>
        <w:t>2.5. Spolno – dobna struktura stanovništva te koje izazove on predstavlja za Općinu</w:t>
      </w:r>
    </w:p>
    <w:p w:rsidR="008F0D85" w:rsidRDefault="008F0D85"/>
    <w:p w:rsidR="008F0D85" w:rsidRDefault="00AE42A1">
      <w:pPr>
        <w:rPr>
          <w:rFonts w:cs="Calibri"/>
          <w:szCs w:val="24"/>
        </w:rPr>
      </w:pPr>
      <w:r>
        <w:rPr>
          <w:rFonts w:cs="Calibri"/>
          <w:szCs w:val="24"/>
        </w:rPr>
        <w:t xml:space="preserve">Prema dobnoj strukturi </w:t>
      </w:r>
      <w:r>
        <w:rPr>
          <w:rFonts w:cs="Calibri"/>
          <w:szCs w:val="24"/>
        </w:rPr>
        <w:t>raspodjela stanovništva ukazuje na podjednaku koncentraciju stanovništva u dobnim skupinama, a najzastupljenije su dobne skupine od 45 - 49 godine (243 st.) te 50 – 54 godine (232 st.). To govori o pozitivnim demografskim kretanjima. Prema spolu su neznatn</w:t>
      </w:r>
      <w:r>
        <w:rPr>
          <w:rFonts w:cs="Calibri"/>
          <w:szCs w:val="24"/>
        </w:rPr>
        <w:t>o zastupljenije žene u odnosu na muškarce. Stanovnika muškog spola ima 1.621, točnije 49,03%, a ženskog 1.685, točnije 50,97%. Najveći broj mladog stanovništva do 30 godina života zastupljen je u naselju Kloštar Podravski, njih 573, što čini 17,33% ukupnog</w:t>
      </w:r>
      <w:r>
        <w:rPr>
          <w:rFonts w:cs="Calibri"/>
          <w:szCs w:val="24"/>
        </w:rPr>
        <w:t xml:space="preserve"> broja stanovnika Općine. Najveći broj osoba starije životne dobi, odnosno stanovništva starijeg od 65 godina života, zastupljen je također u naselju Kloštar Podravski, njih 253, što čini 7,65% ukupnog broja stanovnika Općine. Na razini Općine, omjer mlado</w:t>
      </w:r>
      <w:r>
        <w:rPr>
          <w:rFonts w:cs="Calibri"/>
          <w:szCs w:val="24"/>
        </w:rPr>
        <w:t>g stanovništva (1.217 st.) veći je za 51,36% u odnosu na zastupljenost osoba starije životne dobi (592 st.). S obzirom na broj mladog stanovništva te najveću zastupljenost radno aktivnog stanovništva, srednje životne dobi od 30 do 65 godina života (1.497 s</w:t>
      </w:r>
      <w:r>
        <w:rPr>
          <w:rFonts w:cs="Calibri"/>
          <w:szCs w:val="24"/>
        </w:rPr>
        <w:t>t., točnije 45,28% od ukupnog broja stanovnika Općine), Općina ne bilježi trend ubrzanog starenja stanovništva, međutim s obzirom na Popis stanovništva 2001.god. bilježi pad u ukupnom broju stanovnika od 8,24%.</w:t>
      </w:r>
    </w:p>
    <w:p w:rsidR="008F0D85" w:rsidRDefault="00AE42A1">
      <w:pPr>
        <w:pStyle w:val="Naslov2"/>
      </w:pPr>
      <w:bookmarkStart w:id="53" w:name="_Toc512434564"/>
      <w:bookmarkStart w:id="54" w:name="_Toc514240119"/>
      <w:bookmarkStart w:id="55" w:name="_Toc516128222"/>
      <w:bookmarkStart w:id="56" w:name="_Toc527969332"/>
      <w:bookmarkEnd w:id="53"/>
      <w:bookmarkEnd w:id="54"/>
      <w:bookmarkEnd w:id="55"/>
      <w:bookmarkEnd w:id="56"/>
      <w:r>
        <w:t>2.6. Stanovništvo s obzirom na potrebu i kori</w:t>
      </w:r>
      <w:r>
        <w:t>štenje pomoći druge osobe pri obavljanju svakodnevnih zadataka</w:t>
      </w:r>
    </w:p>
    <w:p w:rsidR="008F0D85" w:rsidRDefault="008F0D85"/>
    <w:p w:rsidR="008F0D85" w:rsidRDefault="00AE42A1">
      <w:r>
        <w:t>Na području Općine živi ukupno 990 (438 muškaraca i 552 žena), stanovnika kojima je potreban neki oblik pomoći pri obavljanju svakodnevnih zadataka, od toga 331 osoba (od toga 117 muškarca i 2</w:t>
      </w:r>
      <w:r>
        <w:t>14 žena), treba pomoć druge osobe pri obavljanju istih, dok njih 287 (od toga 104 muškaraca te 183 žene), koristi pomoć druge osobe pri obavljanju svakodnevnih zadataka.</w:t>
      </w:r>
    </w:p>
    <w:p w:rsidR="008F0D85" w:rsidRDefault="008F0D85"/>
    <w:p w:rsidR="008F0D85" w:rsidRDefault="008F0D85"/>
    <w:p w:rsidR="008F0D85" w:rsidRDefault="008F0D85"/>
    <w:p w:rsidR="008F0D85" w:rsidRDefault="008F0D85"/>
    <w:p w:rsidR="008F0D85" w:rsidRDefault="00AE42A1">
      <w:pPr>
        <w:pStyle w:val="Opisslike"/>
        <w:jc w:val="center"/>
      </w:pPr>
      <w:bookmarkStart w:id="57" w:name="_Toc512434700"/>
      <w:bookmarkStart w:id="58" w:name="_Toc514240294"/>
      <w:bookmarkStart w:id="59" w:name="_Toc516128375"/>
      <w:bookmarkStart w:id="60" w:name="_Toc527969486"/>
      <w:r>
        <w:t xml:space="preserve">Tablica </w:t>
      </w:r>
      <w:r>
        <w:fldChar w:fldCharType="begin"/>
      </w:r>
      <w:r>
        <w:instrText>SEQ Tablica \* ARABIC</w:instrText>
      </w:r>
      <w:r>
        <w:fldChar w:fldCharType="separate"/>
      </w:r>
      <w:r>
        <w:t>4</w:t>
      </w:r>
      <w:r>
        <w:fldChar w:fldCharType="end"/>
      </w:r>
      <w:bookmarkEnd w:id="57"/>
      <w:bookmarkEnd w:id="58"/>
      <w:bookmarkEnd w:id="59"/>
      <w:bookmarkEnd w:id="60"/>
      <w:r>
        <w:t xml:space="preserve">: Raspodjela stanovništva s obzirom na potrebu i </w:t>
      </w:r>
      <w:r>
        <w:t>korištenje pomoći druge osobe pri obavljanju svakodnevnih zadataka</w:t>
      </w:r>
    </w:p>
    <w:tbl>
      <w:tblPr>
        <w:tblW w:w="4200" w:type="pct"/>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2021"/>
        <w:gridCol w:w="892"/>
        <w:gridCol w:w="1133"/>
        <w:gridCol w:w="1243"/>
        <w:gridCol w:w="1242"/>
        <w:gridCol w:w="1081"/>
      </w:tblGrid>
      <w:tr w:rsidR="008F0D85">
        <w:trPr>
          <w:trHeight w:val="315"/>
          <w:jc w:val="center"/>
        </w:trPr>
        <w:tc>
          <w:tcPr>
            <w:tcW w:w="2023"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jc w:val="center"/>
              <w:rPr>
                <w:rFonts w:cs="Calibri"/>
                <w:b/>
                <w:color w:val="000000"/>
                <w:sz w:val="20"/>
                <w:szCs w:val="20"/>
                <w:lang w:eastAsia="hr-HR"/>
              </w:rPr>
            </w:pPr>
          </w:p>
        </w:tc>
        <w:tc>
          <w:tcPr>
            <w:tcW w:w="893"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pPr>
            <w:r>
              <w:rPr>
                <w:rFonts w:cs="Calibri"/>
                <w:b/>
                <w:color w:val="000000"/>
                <w:sz w:val="20"/>
                <w:szCs w:val="20"/>
                <w:lang w:eastAsia="hr-HR"/>
              </w:rPr>
              <w:t>Spol</w:t>
            </w:r>
          </w:p>
        </w:tc>
        <w:tc>
          <w:tcPr>
            <w:tcW w:w="1133"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pPr>
            <w:r>
              <w:rPr>
                <w:rFonts w:cs="Calibri"/>
                <w:b/>
                <w:color w:val="000000"/>
                <w:sz w:val="20"/>
                <w:szCs w:val="20"/>
                <w:lang w:eastAsia="hr-HR"/>
              </w:rPr>
              <w:t>Ukupno</w:t>
            </w:r>
          </w:p>
        </w:tc>
        <w:tc>
          <w:tcPr>
            <w:tcW w:w="3570" w:type="dxa"/>
            <w:gridSpan w:val="3"/>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pPr>
            <w:r>
              <w:rPr>
                <w:rFonts w:cs="Calibri"/>
                <w:b/>
                <w:color w:val="000000"/>
                <w:sz w:val="20"/>
                <w:szCs w:val="20"/>
                <w:lang w:eastAsia="hr-HR"/>
              </w:rPr>
              <w:t>Starosne skupine</w:t>
            </w:r>
          </w:p>
        </w:tc>
      </w:tr>
      <w:tr w:rsidR="008F0D85">
        <w:trPr>
          <w:trHeight w:val="315"/>
          <w:jc w:val="center"/>
        </w:trPr>
        <w:tc>
          <w:tcPr>
            <w:tcW w:w="2023"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jc w:val="center"/>
              <w:rPr>
                <w:rFonts w:cs="Calibri"/>
                <w:b/>
                <w:color w:val="000000"/>
                <w:sz w:val="20"/>
                <w:szCs w:val="20"/>
                <w:lang w:eastAsia="hr-HR"/>
              </w:rPr>
            </w:pPr>
          </w:p>
        </w:tc>
        <w:tc>
          <w:tcPr>
            <w:tcW w:w="893"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jc w:val="center"/>
              <w:rPr>
                <w:rFonts w:cs="Calibri"/>
                <w:b/>
                <w:bCs/>
                <w:color w:val="000000"/>
                <w:sz w:val="20"/>
                <w:szCs w:val="20"/>
                <w:lang w:eastAsia="hr-HR"/>
              </w:rPr>
            </w:pPr>
          </w:p>
        </w:tc>
        <w:tc>
          <w:tcPr>
            <w:tcW w:w="1133"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jc w:val="center"/>
              <w:rPr>
                <w:rFonts w:cs="Calibri"/>
                <w:b/>
                <w:bCs/>
                <w:color w:val="000000"/>
                <w:sz w:val="20"/>
                <w:szCs w:val="20"/>
                <w:lang w:eastAsia="hr-HR"/>
              </w:rPr>
            </w:pPr>
          </w:p>
        </w:tc>
        <w:tc>
          <w:tcPr>
            <w:tcW w:w="124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rFonts w:cs="Calibri"/>
                <w:b/>
                <w:bCs/>
                <w:color w:val="000000"/>
                <w:sz w:val="20"/>
                <w:szCs w:val="20"/>
                <w:lang w:eastAsia="hr-HR"/>
              </w:rPr>
              <w:t>0-29</w:t>
            </w:r>
          </w:p>
        </w:tc>
        <w:tc>
          <w:tcPr>
            <w:tcW w:w="124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30 - 64</w:t>
            </w:r>
          </w:p>
        </w:tc>
        <w:tc>
          <w:tcPr>
            <w:tcW w:w="108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rPr>
                <w:b/>
                <w:sz w:val="20"/>
                <w:szCs w:val="20"/>
              </w:rPr>
            </w:pPr>
            <w:r>
              <w:rPr>
                <w:rFonts w:cs="Calibri"/>
                <w:b/>
                <w:bCs/>
                <w:color w:val="000000"/>
                <w:sz w:val="20"/>
                <w:szCs w:val="20"/>
                <w:lang w:eastAsia="hr-HR"/>
              </w:rPr>
              <w:t>65 i više</w:t>
            </w:r>
          </w:p>
        </w:tc>
      </w:tr>
      <w:tr w:rsidR="008F0D85">
        <w:trPr>
          <w:trHeight w:val="315"/>
          <w:jc w:val="center"/>
        </w:trPr>
        <w:tc>
          <w:tcPr>
            <w:tcW w:w="2023"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pPr>
            <w:r>
              <w:rPr>
                <w:rFonts w:cs="Calibri"/>
                <w:b/>
                <w:color w:val="000000"/>
                <w:sz w:val="20"/>
                <w:szCs w:val="20"/>
                <w:lang w:eastAsia="hr-HR"/>
              </w:rPr>
              <w:t>Ukupno</w:t>
            </w:r>
          </w:p>
        </w:tc>
        <w:tc>
          <w:tcPr>
            <w:tcW w:w="89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pPr>
            <w:r>
              <w:rPr>
                <w:rFonts w:cs="Calibri"/>
                <w:color w:val="000000"/>
                <w:sz w:val="20"/>
                <w:szCs w:val="20"/>
                <w:lang w:eastAsia="hr-HR"/>
              </w:rPr>
              <w:t>sv.</w:t>
            </w:r>
          </w:p>
        </w:tc>
        <w:tc>
          <w:tcPr>
            <w:tcW w:w="113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990</w:t>
            </w:r>
          </w:p>
        </w:tc>
        <w:tc>
          <w:tcPr>
            <w:tcW w:w="124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58</w:t>
            </w:r>
          </w:p>
        </w:tc>
        <w:tc>
          <w:tcPr>
            <w:tcW w:w="12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500</w:t>
            </w:r>
          </w:p>
        </w:tc>
        <w:tc>
          <w:tcPr>
            <w:tcW w:w="108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432</w:t>
            </w:r>
          </w:p>
        </w:tc>
      </w:tr>
      <w:tr w:rsidR="008F0D85">
        <w:trPr>
          <w:trHeight w:val="315"/>
          <w:jc w:val="center"/>
        </w:trPr>
        <w:tc>
          <w:tcPr>
            <w:tcW w:w="2023"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jc w:val="center"/>
              <w:rPr>
                <w:rFonts w:cs="Calibri"/>
                <w:b/>
                <w:color w:val="000000"/>
                <w:sz w:val="20"/>
                <w:szCs w:val="20"/>
                <w:lang w:eastAsia="hr-HR"/>
              </w:rPr>
            </w:pPr>
          </w:p>
        </w:tc>
        <w:tc>
          <w:tcPr>
            <w:tcW w:w="89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pPr>
            <w:r>
              <w:rPr>
                <w:rFonts w:cs="Calibri"/>
                <w:color w:val="000000"/>
                <w:sz w:val="20"/>
                <w:szCs w:val="20"/>
                <w:lang w:eastAsia="hr-HR"/>
              </w:rPr>
              <w:t>m</w:t>
            </w:r>
          </w:p>
        </w:tc>
        <w:tc>
          <w:tcPr>
            <w:tcW w:w="113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438</w:t>
            </w:r>
          </w:p>
        </w:tc>
        <w:tc>
          <w:tcPr>
            <w:tcW w:w="124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37</w:t>
            </w:r>
          </w:p>
        </w:tc>
        <w:tc>
          <w:tcPr>
            <w:tcW w:w="12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275</w:t>
            </w:r>
          </w:p>
        </w:tc>
        <w:tc>
          <w:tcPr>
            <w:tcW w:w="108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126</w:t>
            </w:r>
          </w:p>
        </w:tc>
      </w:tr>
      <w:tr w:rsidR="008F0D85">
        <w:trPr>
          <w:trHeight w:val="315"/>
          <w:jc w:val="center"/>
        </w:trPr>
        <w:tc>
          <w:tcPr>
            <w:tcW w:w="2023"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jc w:val="center"/>
              <w:rPr>
                <w:rFonts w:cs="Calibri"/>
                <w:b/>
                <w:color w:val="000000"/>
                <w:sz w:val="20"/>
                <w:szCs w:val="20"/>
                <w:lang w:eastAsia="hr-HR"/>
              </w:rPr>
            </w:pPr>
          </w:p>
        </w:tc>
        <w:tc>
          <w:tcPr>
            <w:tcW w:w="89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pPr>
            <w:r>
              <w:rPr>
                <w:rFonts w:cs="Calibri"/>
                <w:color w:val="000000"/>
                <w:sz w:val="20"/>
                <w:szCs w:val="20"/>
                <w:lang w:eastAsia="hr-HR"/>
              </w:rPr>
              <w:t>ž</w:t>
            </w:r>
          </w:p>
        </w:tc>
        <w:tc>
          <w:tcPr>
            <w:tcW w:w="113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552</w:t>
            </w:r>
          </w:p>
        </w:tc>
        <w:tc>
          <w:tcPr>
            <w:tcW w:w="124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21</w:t>
            </w:r>
          </w:p>
        </w:tc>
        <w:tc>
          <w:tcPr>
            <w:tcW w:w="12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225</w:t>
            </w:r>
          </w:p>
        </w:tc>
        <w:tc>
          <w:tcPr>
            <w:tcW w:w="108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306</w:t>
            </w:r>
          </w:p>
        </w:tc>
      </w:tr>
      <w:tr w:rsidR="008F0D85">
        <w:trPr>
          <w:trHeight w:val="315"/>
          <w:jc w:val="center"/>
        </w:trPr>
        <w:tc>
          <w:tcPr>
            <w:tcW w:w="2023"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pPr>
            <w:r>
              <w:rPr>
                <w:rFonts w:cs="Calibri"/>
                <w:b/>
                <w:color w:val="000000"/>
                <w:sz w:val="20"/>
                <w:szCs w:val="20"/>
                <w:lang w:eastAsia="hr-HR"/>
              </w:rPr>
              <w:t>Osoba treba pomoć druge osobe</w:t>
            </w:r>
          </w:p>
        </w:tc>
        <w:tc>
          <w:tcPr>
            <w:tcW w:w="89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pPr>
            <w:r>
              <w:rPr>
                <w:rFonts w:cs="Calibri"/>
                <w:color w:val="000000"/>
                <w:sz w:val="20"/>
                <w:szCs w:val="20"/>
                <w:lang w:eastAsia="hr-HR"/>
              </w:rPr>
              <w:t>sv.</w:t>
            </w:r>
          </w:p>
        </w:tc>
        <w:tc>
          <w:tcPr>
            <w:tcW w:w="113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331</w:t>
            </w:r>
          </w:p>
        </w:tc>
        <w:tc>
          <w:tcPr>
            <w:tcW w:w="124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9</w:t>
            </w:r>
          </w:p>
        </w:tc>
        <w:tc>
          <w:tcPr>
            <w:tcW w:w="12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101</w:t>
            </w:r>
          </w:p>
        </w:tc>
        <w:tc>
          <w:tcPr>
            <w:tcW w:w="108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221</w:t>
            </w:r>
          </w:p>
        </w:tc>
      </w:tr>
      <w:tr w:rsidR="008F0D85">
        <w:trPr>
          <w:trHeight w:val="315"/>
          <w:jc w:val="center"/>
        </w:trPr>
        <w:tc>
          <w:tcPr>
            <w:tcW w:w="2023"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jc w:val="center"/>
              <w:rPr>
                <w:rFonts w:cs="Calibri"/>
                <w:b/>
                <w:color w:val="000000"/>
                <w:sz w:val="20"/>
                <w:szCs w:val="20"/>
                <w:lang w:eastAsia="hr-HR"/>
              </w:rPr>
            </w:pPr>
          </w:p>
        </w:tc>
        <w:tc>
          <w:tcPr>
            <w:tcW w:w="89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pPr>
            <w:r>
              <w:rPr>
                <w:rFonts w:cs="Calibri"/>
                <w:color w:val="000000"/>
                <w:sz w:val="20"/>
                <w:szCs w:val="20"/>
                <w:lang w:eastAsia="hr-HR"/>
              </w:rPr>
              <w:t>m</w:t>
            </w:r>
          </w:p>
        </w:tc>
        <w:tc>
          <w:tcPr>
            <w:tcW w:w="113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117</w:t>
            </w:r>
          </w:p>
        </w:tc>
        <w:tc>
          <w:tcPr>
            <w:tcW w:w="124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w:t>
            </w:r>
          </w:p>
        </w:tc>
        <w:tc>
          <w:tcPr>
            <w:tcW w:w="12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51</w:t>
            </w:r>
          </w:p>
        </w:tc>
        <w:tc>
          <w:tcPr>
            <w:tcW w:w="108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62</w:t>
            </w:r>
          </w:p>
        </w:tc>
      </w:tr>
      <w:tr w:rsidR="008F0D85">
        <w:trPr>
          <w:trHeight w:val="315"/>
          <w:jc w:val="center"/>
        </w:trPr>
        <w:tc>
          <w:tcPr>
            <w:tcW w:w="2023"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jc w:val="center"/>
              <w:rPr>
                <w:rFonts w:cs="Calibri"/>
                <w:b/>
                <w:color w:val="000000"/>
                <w:sz w:val="20"/>
                <w:szCs w:val="20"/>
                <w:lang w:eastAsia="hr-HR"/>
              </w:rPr>
            </w:pPr>
          </w:p>
        </w:tc>
        <w:tc>
          <w:tcPr>
            <w:tcW w:w="89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pPr>
            <w:r>
              <w:rPr>
                <w:rFonts w:cs="Calibri"/>
                <w:color w:val="000000"/>
                <w:sz w:val="20"/>
                <w:szCs w:val="20"/>
                <w:lang w:eastAsia="hr-HR"/>
              </w:rPr>
              <w:t>ž</w:t>
            </w:r>
          </w:p>
        </w:tc>
        <w:tc>
          <w:tcPr>
            <w:tcW w:w="113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214</w:t>
            </w:r>
          </w:p>
        </w:tc>
        <w:tc>
          <w:tcPr>
            <w:tcW w:w="124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4</w:t>
            </w:r>
          </w:p>
        </w:tc>
        <w:tc>
          <w:tcPr>
            <w:tcW w:w="12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50</w:t>
            </w:r>
          </w:p>
        </w:tc>
        <w:tc>
          <w:tcPr>
            <w:tcW w:w="108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159</w:t>
            </w:r>
          </w:p>
        </w:tc>
      </w:tr>
      <w:tr w:rsidR="008F0D85">
        <w:trPr>
          <w:trHeight w:val="315"/>
          <w:jc w:val="center"/>
        </w:trPr>
        <w:tc>
          <w:tcPr>
            <w:tcW w:w="2023"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pPr>
            <w:r>
              <w:rPr>
                <w:rFonts w:cs="Calibri"/>
                <w:b/>
                <w:color w:val="000000"/>
                <w:sz w:val="20"/>
                <w:szCs w:val="20"/>
                <w:lang w:eastAsia="hr-HR"/>
              </w:rPr>
              <w:t>Osoba koristi pomoć druge osobe</w:t>
            </w:r>
          </w:p>
        </w:tc>
        <w:tc>
          <w:tcPr>
            <w:tcW w:w="89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pPr>
            <w:r>
              <w:rPr>
                <w:rFonts w:cs="Calibri"/>
                <w:color w:val="000000"/>
                <w:sz w:val="20"/>
                <w:szCs w:val="20"/>
                <w:lang w:eastAsia="hr-HR"/>
              </w:rPr>
              <w:t>sv.</w:t>
            </w:r>
          </w:p>
        </w:tc>
        <w:tc>
          <w:tcPr>
            <w:tcW w:w="113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287</w:t>
            </w:r>
          </w:p>
        </w:tc>
        <w:tc>
          <w:tcPr>
            <w:tcW w:w="124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9</w:t>
            </w:r>
          </w:p>
        </w:tc>
        <w:tc>
          <w:tcPr>
            <w:tcW w:w="12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91</w:t>
            </w:r>
          </w:p>
        </w:tc>
        <w:tc>
          <w:tcPr>
            <w:tcW w:w="108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187</w:t>
            </w:r>
          </w:p>
        </w:tc>
      </w:tr>
      <w:tr w:rsidR="008F0D85">
        <w:trPr>
          <w:trHeight w:val="315"/>
          <w:jc w:val="center"/>
        </w:trPr>
        <w:tc>
          <w:tcPr>
            <w:tcW w:w="2023"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jc w:val="center"/>
              <w:rPr>
                <w:rFonts w:cs="Calibri"/>
                <w:color w:val="000000"/>
                <w:sz w:val="20"/>
                <w:szCs w:val="20"/>
                <w:lang w:eastAsia="hr-HR"/>
              </w:rPr>
            </w:pPr>
          </w:p>
        </w:tc>
        <w:tc>
          <w:tcPr>
            <w:tcW w:w="89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pPr>
            <w:r>
              <w:rPr>
                <w:rFonts w:cs="Calibri"/>
                <w:color w:val="000000"/>
                <w:sz w:val="20"/>
                <w:szCs w:val="20"/>
                <w:lang w:eastAsia="hr-HR"/>
              </w:rPr>
              <w:t>m</w:t>
            </w:r>
          </w:p>
        </w:tc>
        <w:tc>
          <w:tcPr>
            <w:tcW w:w="113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104</w:t>
            </w:r>
          </w:p>
        </w:tc>
        <w:tc>
          <w:tcPr>
            <w:tcW w:w="124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w:t>
            </w:r>
          </w:p>
        </w:tc>
        <w:tc>
          <w:tcPr>
            <w:tcW w:w="12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45</w:t>
            </w:r>
          </w:p>
        </w:tc>
        <w:tc>
          <w:tcPr>
            <w:tcW w:w="108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54</w:t>
            </w:r>
          </w:p>
        </w:tc>
      </w:tr>
      <w:tr w:rsidR="008F0D85">
        <w:trPr>
          <w:trHeight w:val="315"/>
          <w:jc w:val="center"/>
        </w:trPr>
        <w:tc>
          <w:tcPr>
            <w:tcW w:w="2023"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jc w:val="center"/>
              <w:rPr>
                <w:rFonts w:cs="Calibri"/>
                <w:color w:val="000000"/>
                <w:sz w:val="20"/>
                <w:szCs w:val="20"/>
                <w:lang w:eastAsia="hr-HR"/>
              </w:rPr>
            </w:pPr>
          </w:p>
        </w:tc>
        <w:tc>
          <w:tcPr>
            <w:tcW w:w="89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color w:val="000000"/>
                <w:sz w:val="20"/>
                <w:szCs w:val="20"/>
                <w:lang w:eastAsia="hr-HR"/>
              </w:rPr>
            </w:pPr>
            <w:r>
              <w:rPr>
                <w:rFonts w:cs="Calibri"/>
                <w:color w:val="000000"/>
                <w:sz w:val="20"/>
                <w:szCs w:val="20"/>
                <w:lang w:eastAsia="hr-HR"/>
              </w:rPr>
              <w:t>ž</w:t>
            </w:r>
          </w:p>
        </w:tc>
        <w:tc>
          <w:tcPr>
            <w:tcW w:w="113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color w:val="000000"/>
                <w:sz w:val="20"/>
                <w:szCs w:val="20"/>
                <w:lang w:eastAsia="hr-HR"/>
              </w:rPr>
            </w:pPr>
            <w:r>
              <w:rPr>
                <w:rFonts w:cs="Calibri"/>
                <w:color w:val="000000"/>
                <w:sz w:val="20"/>
                <w:szCs w:val="20"/>
                <w:lang w:eastAsia="hr-HR"/>
              </w:rPr>
              <w:t>183</w:t>
            </w:r>
          </w:p>
        </w:tc>
        <w:tc>
          <w:tcPr>
            <w:tcW w:w="124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color w:val="000000"/>
                <w:sz w:val="20"/>
                <w:szCs w:val="20"/>
                <w:lang w:eastAsia="hr-HR"/>
              </w:rPr>
            </w:pPr>
            <w:r>
              <w:rPr>
                <w:rFonts w:cs="Calibri"/>
                <w:color w:val="000000"/>
                <w:sz w:val="20"/>
                <w:szCs w:val="20"/>
                <w:lang w:eastAsia="hr-HR"/>
              </w:rPr>
              <w:t>4</w:t>
            </w:r>
          </w:p>
        </w:tc>
        <w:tc>
          <w:tcPr>
            <w:tcW w:w="12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color w:val="000000"/>
                <w:sz w:val="20"/>
                <w:szCs w:val="20"/>
                <w:lang w:eastAsia="hr-HR"/>
              </w:rPr>
            </w:pPr>
            <w:r>
              <w:rPr>
                <w:rFonts w:cs="Calibri"/>
                <w:color w:val="000000"/>
                <w:sz w:val="20"/>
                <w:szCs w:val="20"/>
                <w:lang w:eastAsia="hr-HR"/>
              </w:rPr>
              <w:t>46</w:t>
            </w:r>
          </w:p>
        </w:tc>
        <w:tc>
          <w:tcPr>
            <w:tcW w:w="108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color w:val="000000"/>
                <w:sz w:val="20"/>
                <w:szCs w:val="20"/>
                <w:lang w:eastAsia="hr-HR"/>
              </w:rPr>
            </w:pPr>
            <w:bookmarkStart w:id="61" w:name="_Hlk497119617"/>
            <w:bookmarkEnd w:id="61"/>
            <w:r>
              <w:rPr>
                <w:rFonts w:cs="Calibri"/>
                <w:color w:val="000000"/>
                <w:sz w:val="20"/>
                <w:szCs w:val="20"/>
                <w:lang w:eastAsia="hr-HR"/>
              </w:rPr>
              <w:t>133</w:t>
            </w:r>
          </w:p>
        </w:tc>
      </w:tr>
    </w:tbl>
    <w:p w:rsidR="008F0D85" w:rsidRDefault="00AE42A1">
      <w:pPr>
        <w:spacing w:after="0"/>
        <w:jc w:val="center"/>
        <w:rPr>
          <w:rFonts w:cs="Calibri"/>
          <w:sz w:val="20"/>
          <w:szCs w:val="20"/>
        </w:rPr>
      </w:pPr>
      <w:r>
        <w:rPr>
          <w:rFonts w:cs="Calibri"/>
          <w:sz w:val="20"/>
          <w:szCs w:val="20"/>
        </w:rPr>
        <w:t>Izvor: Državni zavod za statistiku, Popis stanovništva 2011. godine</w:t>
      </w:r>
    </w:p>
    <w:p w:rsidR="008F0D85" w:rsidRDefault="008F0D85">
      <w:pPr>
        <w:rPr>
          <w:rFonts w:cs="Calibri"/>
          <w:szCs w:val="24"/>
        </w:rPr>
      </w:pPr>
    </w:p>
    <w:p w:rsidR="008F0D85" w:rsidRDefault="00AE42A1">
      <w:pPr>
        <w:pStyle w:val="Naslov2"/>
      </w:pPr>
      <w:bookmarkStart w:id="62" w:name="_Toc512434565"/>
      <w:bookmarkStart w:id="63" w:name="_Toc514240120"/>
      <w:bookmarkStart w:id="64" w:name="_Toc516128223"/>
      <w:bookmarkStart w:id="65" w:name="_Toc527969333"/>
      <w:bookmarkEnd w:id="62"/>
      <w:bookmarkEnd w:id="63"/>
      <w:bookmarkEnd w:id="64"/>
      <w:bookmarkEnd w:id="65"/>
      <w:r>
        <w:t>2.7. Prometna povezanost Općine</w:t>
      </w:r>
    </w:p>
    <w:p w:rsidR="008F0D85" w:rsidRDefault="008F0D85"/>
    <w:p w:rsidR="008F0D85" w:rsidRDefault="00AE42A1">
      <w:pPr>
        <w:pStyle w:val="Odlomakpopisa"/>
        <w:numPr>
          <w:ilvl w:val="0"/>
          <w:numId w:val="9"/>
        </w:numPr>
        <w:rPr>
          <w:b/>
          <w:sz w:val="24"/>
          <w:szCs w:val="24"/>
        </w:rPr>
      </w:pPr>
      <w:r>
        <w:rPr>
          <w:b/>
          <w:sz w:val="24"/>
          <w:szCs w:val="24"/>
        </w:rPr>
        <w:t>Cestovni promet</w:t>
      </w:r>
    </w:p>
    <w:p w:rsidR="008F0D85" w:rsidRDefault="00AE42A1">
      <w:pPr>
        <w:rPr>
          <w:rFonts w:cs="Calibri"/>
          <w:b/>
          <w:szCs w:val="24"/>
        </w:rPr>
      </w:pPr>
      <w:r>
        <w:rPr>
          <w:rFonts w:cs="Calibri"/>
          <w:color w:val="000000"/>
          <w:szCs w:val="24"/>
          <w:shd w:val="clear" w:color="auto" w:fill="FFFFFF"/>
        </w:rPr>
        <w:t xml:space="preserve">Prometno-geografski položaj </w:t>
      </w:r>
      <w:r>
        <w:rPr>
          <w:rFonts w:cs="Calibri"/>
          <w:color w:val="000000"/>
          <w:szCs w:val="24"/>
          <w:shd w:val="clear" w:color="auto" w:fill="FFFFFF"/>
        </w:rPr>
        <w:t>Općine se može ocijeniti povoljnim jer njenim sjevernim dijelom prolazi longitudinalni pravac koji povezuje središnji i istočni dio Republike Hrvatske, a čine ga Podravska magistrala i željeznička pruga Osijek-Koprivnica) sjevernim dijelom Općine. Postojeć</w:t>
      </w:r>
      <w:r>
        <w:rPr>
          <w:rFonts w:cs="Calibri"/>
          <w:color w:val="000000"/>
          <w:szCs w:val="24"/>
          <w:shd w:val="clear" w:color="auto" w:fill="FFFFFF"/>
        </w:rPr>
        <w:t>a trasa ceste prolazi kroz naselja Budančevicu i Kloštar Podravski. Ovaj prometni pravac povezuje sjeverno - istočnu Hrvatsku sa sjeverozapadnom Hrvatskom. Izgradnjom brze ceste Bjelovar-Virovitica promet prema Zagrebu će zaobići područje Općine. Kloštar P</w:t>
      </w:r>
      <w:r>
        <w:rPr>
          <w:rFonts w:cs="Calibri"/>
          <w:color w:val="000000"/>
          <w:szCs w:val="24"/>
          <w:shd w:val="clear" w:color="auto" w:fill="FFFFFF"/>
        </w:rPr>
        <w:t>odravski ima položaj željezničkog čvorišta koji nije adekvatno iskorišten zbog zanemarivanja postojeće trase željezničke pruge Kloštar Podravski-Bjelovar.</w:t>
      </w:r>
    </w:p>
    <w:p w:rsidR="008F0D85" w:rsidRDefault="00AE42A1">
      <w:pPr>
        <w:pStyle w:val="Opisslike"/>
        <w:jc w:val="center"/>
        <w:rPr>
          <w:rFonts w:cs="Calibri"/>
          <w:szCs w:val="24"/>
        </w:rPr>
      </w:pPr>
      <w:bookmarkStart w:id="66" w:name="_Toc516128376"/>
      <w:bookmarkStart w:id="67" w:name="_Toc527969487"/>
      <w:r>
        <w:t xml:space="preserve">Tablica </w:t>
      </w:r>
      <w:r>
        <w:fldChar w:fldCharType="begin"/>
      </w:r>
      <w:r>
        <w:instrText>SEQ Tablica \* ARABIC</w:instrText>
      </w:r>
      <w:r>
        <w:fldChar w:fldCharType="separate"/>
      </w:r>
      <w:r>
        <w:t>5</w:t>
      </w:r>
      <w:r>
        <w:fldChar w:fldCharType="end"/>
      </w:r>
      <w:bookmarkEnd w:id="66"/>
      <w:bookmarkEnd w:id="67"/>
      <w:r>
        <w:t>: Prikaz prometnica na području Općine</w:t>
      </w:r>
    </w:p>
    <w:tbl>
      <w:tblPr>
        <w:tblW w:w="906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616"/>
        <w:gridCol w:w="1176"/>
        <w:gridCol w:w="6018"/>
        <w:gridCol w:w="1250"/>
      </w:tblGrid>
      <w:tr w:rsidR="008F0D85">
        <w:tc>
          <w:tcPr>
            <w:tcW w:w="61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keepNext/>
              <w:spacing w:after="0" w:line="240" w:lineRule="auto"/>
              <w:jc w:val="center"/>
              <w:rPr>
                <w:rFonts w:cs="Calibri"/>
                <w:b/>
                <w:sz w:val="20"/>
                <w:szCs w:val="20"/>
              </w:rPr>
            </w:pPr>
            <w:r>
              <w:rPr>
                <w:rFonts w:cs="Calibri"/>
                <w:b/>
                <w:sz w:val="20"/>
                <w:szCs w:val="20"/>
              </w:rPr>
              <w:lastRenderedPageBreak/>
              <w:t>R.Br.</w:t>
            </w:r>
          </w:p>
        </w:tc>
        <w:tc>
          <w:tcPr>
            <w:tcW w:w="11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keepNext/>
              <w:spacing w:after="0" w:line="240" w:lineRule="auto"/>
              <w:jc w:val="center"/>
              <w:rPr>
                <w:rFonts w:cs="Calibri"/>
                <w:b/>
                <w:sz w:val="20"/>
                <w:szCs w:val="20"/>
              </w:rPr>
            </w:pPr>
            <w:r>
              <w:rPr>
                <w:rFonts w:cs="Calibri"/>
                <w:b/>
                <w:sz w:val="20"/>
                <w:szCs w:val="20"/>
              </w:rPr>
              <w:t>Oznaka prometnice</w:t>
            </w:r>
          </w:p>
        </w:tc>
        <w:tc>
          <w:tcPr>
            <w:tcW w:w="601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keepNext/>
              <w:spacing w:after="0" w:line="240" w:lineRule="auto"/>
              <w:jc w:val="center"/>
              <w:rPr>
                <w:rFonts w:cs="Calibri"/>
                <w:b/>
                <w:sz w:val="20"/>
                <w:szCs w:val="20"/>
              </w:rPr>
            </w:pPr>
            <w:r>
              <w:rPr>
                <w:rFonts w:cs="Calibri"/>
                <w:b/>
                <w:sz w:val="20"/>
                <w:szCs w:val="20"/>
              </w:rPr>
              <w:t>Naziv</w:t>
            </w:r>
            <w:r>
              <w:rPr>
                <w:rFonts w:cs="Calibri"/>
                <w:b/>
                <w:sz w:val="20"/>
                <w:szCs w:val="20"/>
              </w:rPr>
              <w:t xml:space="preserve"> prometnice</w:t>
            </w:r>
          </w:p>
        </w:tc>
        <w:tc>
          <w:tcPr>
            <w:tcW w:w="125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keepNext/>
              <w:spacing w:after="0" w:line="240" w:lineRule="auto"/>
              <w:jc w:val="center"/>
              <w:rPr>
                <w:rFonts w:cs="Calibri"/>
                <w:b/>
                <w:sz w:val="20"/>
                <w:szCs w:val="20"/>
              </w:rPr>
            </w:pPr>
            <w:r>
              <w:rPr>
                <w:rFonts w:cs="Calibri"/>
                <w:b/>
                <w:sz w:val="20"/>
                <w:szCs w:val="20"/>
              </w:rPr>
              <w:t xml:space="preserve">Duljina (km) </w:t>
            </w:r>
          </w:p>
        </w:tc>
      </w:tr>
      <w:tr w:rsidR="008F0D85">
        <w:tc>
          <w:tcPr>
            <w:tcW w:w="61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keepNext/>
              <w:spacing w:after="0" w:line="240" w:lineRule="auto"/>
              <w:jc w:val="center"/>
              <w:rPr>
                <w:rFonts w:cs="Calibri"/>
                <w:b/>
                <w:sz w:val="20"/>
                <w:szCs w:val="20"/>
              </w:rPr>
            </w:pPr>
          </w:p>
        </w:tc>
        <w:tc>
          <w:tcPr>
            <w:tcW w:w="11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keepNext/>
              <w:spacing w:after="0" w:line="240" w:lineRule="auto"/>
              <w:jc w:val="center"/>
              <w:rPr>
                <w:rFonts w:cs="Calibri"/>
                <w:sz w:val="20"/>
                <w:szCs w:val="20"/>
              </w:rPr>
            </w:pPr>
          </w:p>
        </w:tc>
        <w:tc>
          <w:tcPr>
            <w:tcW w:w="60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rPr>
                <w:rFonts w:cs="Calibri"/>
                <w:b/>
                <w:sz w:val="20"/>
                <w:szCs w:val="20"/>
              </w:rPr>
            </w:pPr>
            <w:r>
              <w:rPr>
                <w:rFonts w:cs="Calibri"/>
                <w:b/>
                <w:sz w:val="20"/>
                <w:szCs w:val="20"/>
              </w:rPr>
              <w:t xml:space="preserve">                                             DRŽAVNE CESTE</w:t>
            </w:r>
          </w:p>
        </w:tc>
        <w:tc>
          <w:tcPr>
            <w:tcW w:w="125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keepNext/>
              <w:spacing w:after="0" w:line="240" w:lineRule="auto"/>
              <w:jc w:val="center"/>
              <w:rPr>
                <w:rFonts w:cs="Calibri"/>
                <w:sz w:val="20"/>
                <w:szCs w:val="20"/>
              </w:rPr>
            </w:pPr>
          </w:p>
        </w:tc>
      </w:tr>
      <w:tr w:rsidR="008F0D85">
        <w:tc>
          <w:tcPr>
            <w:tcW w:w="61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b/>
                <w:sz w:val="20"/>
                <w:szCs w:val="20"/>
              </w:rPr>
            </w:pPr>
            <w:r>
              <w:rPr>
                <w:rFonts w:cs="Calibri"/>
                <w:b/>
                <w:sz w:val="20"/>
                <w:szCs w:val="20"/>
              </w:rPr>
              <w:t>1.</w:t>
            </w:r>
          </w:p>
        </w:tc>
        <w:tc>
          <w:tcPr>
            <w:tcW w:w="11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DC 2</w:t>
            </w:r>
          </w:p>
        </w:tc>
        <w:tc>
          <w:tcPr>
            <w:tcW w:w="60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G.P. Dubrava Križovljanska (gr. R. Slovenije) – Varaždin – Virovitica – Našice – Osijek – Vukovar – G.P. Ilok (gr. R. Srbije)</w:t>
            </w:r>
          </w:p>
        </w:tc>
        <w:tc>
          <w:tcPr>
            <w:tcW w:w="125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347,49</w:t>
            </w:r>
          </w:p>
        </w:tc>
      </w:tr>
      <w:tr w:rsidR="008F0D85">
        <w:tc>
          <w:tcPr>
            <w:tcW w:w="9059" w:type="dxa"/>
            <w:gridSpan w:val="4"/>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b/>
                <w:sz w:val="20"/>
                <w:szCs w:val="20"/>
              </w:rPr>
              <w:t>ŽUPANIJSKE CESTE</w:t>
            </w:r>
          </w:p>
        </w:tc>
      </w:tr>
      <w:tr w:rsidR="008F0D85">
        <w:tc>
          <w:tcPr>
            <w:tcW w:w="61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b/>
                <w:sz w:val="20"/>
                <w:szCs w:val="20"/>
              </w:rPr>
            </w:pPr>
            <w:r>
              <w:rPr>
                <w:rFonts w:cs="Calibri"/>
                <w:b/>
                <w:sz w:val="20"/>
                <w:szCs w:val="20"/>
              </w:rPr>
              <w:t>1.</w:t>
            </w:r>
          </w:p>
        </w:tc>
        <w:tc>
          <w:tcPr>
            <w:tcW w:w="11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ŽC 2185</w:t>
            </w:r>
          </w:p>
        </w:tc>
        <w:tc>
          <w:tcPr>
            <w:tcW w:w="60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Ž2184 – Novo Virje – Ferdinandovac – Kloštar Podravski (D2)</w:t>
            </w:r>
          </w:p>
        </w:tc>
        <w:tc>
          <w:tcPr>
            <w:tcW w:w="125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24,52</w:t>
            </w:r>
          </w:p>
        </w:tc>
      </w:tr>
      <w:tr w:rsidR="008F0D85">
        <w:tc>
          <w:tcPr>
            <w:tcW w:w="61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b/>
                <w:sz w:val="20"/>
                <w:szCs w:val="20"/>
              </w:rPr>
            </w:pPr>
            <w:r>
              <w:rPr>
                <w:rFonts w:cs="Calibri"/>
                <w:b/>
                <w:sz w:val="20"/>
                <w:szCs w:val="20"/>
              </w:rPr>
              <w:t>2.</w:t>
            </w:r>
          </w:p>
        </w:tc>
        <w:tc>
          <w:tcPr>
            <w:tcW w:w="11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ŽC 2232</w:t>
            </w:r>
          </w:p>
        </w:tc>
        <w:tc>
          <w:tcPr>
            <w:tcW w:w="60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Budančevica (D2) – Suha Katalena – Šandrovac – Bulinac (D 28)</w:t>
            </w:r>
          </w:p>
        </w:tc>
        <w:tc>
          <w:tcPr>
            <w:tcW w:w="125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27,50</w:t>
            </w:r>
          </w:p>
        </w:tc>
      </w:tr>
      <w:tr w:rsidR="008F0D85">
        <w:tc>
          <w:tcPr>
            <w:tcW w:w="61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b/>
                <w:sz w:val="20"/>
                <w:szCs w:val="20"/>
              </w:rPr>
            </w:pPr>
            <w:r>
              <w:rPr>
                <w:rFonts w:cs="Calibri"/>
                <w:b/>
                <w:sz w:val="20"/>
                <w:szCs w:val="20"/>
              </w:rPr>
              <w:t>3.</w:t>
            </w:r>
          </w:p>
        </w:tc>
        <w:tc>
          <w:tcPr>
            <w:tcW w:w="11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ŽC 2234</w:t>
            </w:r>
          </w:p>
        </w:tc>
        <w:tc>
          <w:tcPr>
            <w:tcW w:w="60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Kloštar Podravski (D2) – Dinjevac – Grabrovica – Ž 4002</w:t>
            </w:r>
          </w:p>
        </w:tc>
        <w:tc>
          <w:tcPr>
            <w:tcW w:w="125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9,10</w:t>
            </w:r>
          </w:p>
        </w:tc>
      </w:tr>
      <w:tr w:rsidR="008F0D85">
        <w:tc>
          <w:tcPr>
            <w:tcW w:w="61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b/>
                <w:sz w:val="20"/>
                <w:szCs w:val="20"/>
              </w:rPr>
            </w:pPr>
            <w:r>
              <w:rPr>
                <w:rFonts w:cs="Calibri"/>
                <w:b/>
                <w:sz w:val="20"/>
                <w:szCs w:val="20"/>
              </w:rPr>
              <w:t>4.</w:t>
            </w:r>
          </w:p>
        </w:tc>
        <w:tc>
          <w:tcPr>
            <w:tcW w:w="11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ŽC 2235</w:t>
            </w:r>
          </w:p>
        </w:tc>
        <w:tc>
          <w:tcPr>
            <w:tcW w:w="60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 xml:space="preserve">Ž 2185 – </w:t>
            </w:r>
            <w:r>
              <w:rPr>
                <w:rFonts w:cs="Calibri"/>
                <w:sz w:val="20"/>
                <w:szCs w:val="20"/>
              </w:rPr>
              <w:t>Podravske Sesvete</w:t>
            </w:r>
          </w:p>
        </w:tc>
        <w:tc>
          <w:tcPr>
            <w:tcW w:w="125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3,31</w:t>
            </w:r>
          </w:p>
        </w:tc>
      </w:tr>
      <w:tr w:rsidR="008F0D85">
        <w:tc>
          <w:tcPr>
            <w:tcW w:w="9059" w:type="dxa"/>
            <w:gridSpan w:val="4"/>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b/>
                <w:sz w:val="20"/>
                <w:szCs w:val="20"/>
              </w:rPr>
            </w:pPr>
            <w:r>
              <w:rPr>
                <w:rFonts w:cs="Calibri"/>
                <w:b/>
                <w:sz w:val="20"/>
                <w:szCs w:val="20"/>
              </w:rPr>
              <w:t>LOKALNE CESTE</w:t>
            </w:r>
          </w:p>
        </w:tc>
      </w:tr>
      <w:tr w:rsidR="008F0D85">
        <w:tc>
          <w:tcPr>
            <w:tcW w:w="61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b/>
                <w:sz w:val="20"/>
                <w:szCs w:val="20"/>
              </w:rPr>
            </w:pPr>
            <w:r>
              <w:rPr>
                <w:rFonts w:cs="Calibri"/>
                <w:b/>
                <w:sz w:val="20"/>
                <w:szCs w:val="20"/>
              </w:rPr>
              <w:t>1.</w:t>
            </w:r>
          </w:p>
        </w:tc>
        <w:tc>
          <w:tcPr>
            <w:tcW w:w="11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LC 26129</w:t>
            </w:r>
          </w:p>
        </w:tc>
        <w:tc>
          <w:tcPr>
            <w:tcW w:w="60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Kloštar Podravski (D2) - Kozarevac</w:t>
            </w:r>
          </w:p>
        </w:tc>
        <w:tc>
          <w:tcPr>
            <w:tcW w:w="125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12,71</w:t>
            </w:r>
          </w:p>
        </w:tc>
      </w:tr>
      <w:tr w:rsidR="008F0D85">
        <w:tc>
          <w:tcPr>
            <w:tcW w:w="61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b/>
                <w:sz w:val="20"/>
                <w:szCs w:val="20"/>
              </w:rPr>
            </w:pPr>
            <w:r>
              <w:rPr>
                <w:rFonts w:cs="Calibri"/>
                <w:b/>
                <w:sz w:val="20"/>
                <w:szCs w:val="20"/>
              </w:rPr>
              <w:t>2.</w:t>
            </w:r>
          </w:p>
        </w:tc>
        <w:tc>
          <w:tcPr>
            <w:tcW w:w="11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LC 26130</w:t>
            </w:r>
          </w:p>
        </w:tc>
        <w:tc>
          <w:tcPr>
            <w:tcW w:w="60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r>
              <w:rPr>
                <w:rFonts w:cs="Calibri"/>
                <w:sz w:val="20"/>
                <w:szCs w:val="20"/>
              </w:rPr>
              <w:t>Kozarevac (L26129) – Mala Črešnjevica – Ž2234</w:t>
            </w:r>
          </w:p>
        </w:tc>
        <w:tc>
          <w:tcPr>
            <w:tcW w:w="125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keepNext/>
              <w:spacing w:after="0" w:line="240" w:lineRule="auto"/>
              <w:jc w:val="center"/>
              <w:rPr>
                <w:rFonts w:cs="Calibri"/>
                <w:sz w:val="20"/>
                <w:szCs w:val="20"/>
              </w:rPr>
            </w:pPr>
            <w:bookmarkStart w:id="68" w:name="_Hlk497122209"/>
            <w:bookmarkEnd w:id="68"/>
            <w:r>
              <w:rPr>
                <w:rFonts w:cs="Calibri"/>
                <w:sz w:val="20"/>
                <w:szCs w:val="20"/>
              </w:rPr>
              <w:t>5,08</w:t>
            </w:r>
          </w:p>
        </w:tc>
      </w:tr>
    </w:tbl>
    <w:p w:rsidR="008F0D85" w:rsidRDefault="00AE42A1">
      <w:pPr>
        <w:jc w:val="center"/>
        <w:rPr>
          <w:rFonts w:cs="Arial"/>
          <w:sz w:val="20"/>
          <w:szCs w:val="20"/>
        </w:rPr>
      </w:pPr>
      <w:r>
        <w:rPr>
          <w:sz w:val="20"/>
          <w:szCs w:val="20"/>
        </w:rPr>
        <w:t>Izvor:</w:t>
      </w:r>
      <w:r>
        <w:rPr>
          <w:rFonts w:cs="Arial"/>
          <w:sz w:val="20"/>
          <w:szCs w:val="20"/>
        </w:rPr>
        <w:t xml:space="preserve"> Odluka o razvrstavanju javnih cesta („Narodne novine“ broj 103/17, 17/18), Županijska uprava za  ceste Koprivničko - križevačke županije, 2018.god.</w:t>
      </w:r>
    </w:p>
    <w:p w:rsidR="008F0D85" w:rsidRDefault="008F0D85">
      <w:pPr>
        <w:jc w:val="center"/>
        <w:rPr>
          <w:rFonts w:cs="Calibri"/>
          <w:szCs w:val="24"/>
        </w:rPr>
      </w:pPr>
    </w:p>
    <w:p w:rsidR="008F0D85" w:rsidRDefault="00AE42A1">
      <w:pPr>
        <w:jc w:val="center"/>
        <w:rPr>
          <w:rFonts w:cs="Calibri"/>
          <w:szCs w:val="24"/>
        </w:rPr>
      </w:pPr>
      <w:r>
        <w:rPr>
          <w:noProof/>
        </w:rPr>
        <w:drawing>
          <wp:inline distT="0" distB="0" distL="0" distR="0">
            <wp:extent cx="5763260" cy="4039235"/>
            <wp:effectExtent l="0" t="0" r="0" b="0"/>
            <wp:docPr id="1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2"/>
                    <pic:cNvPicPr>
                      <a:picLocks noChangeAspect="1" noChangeArrowheads="1"/>
                    </pic:cNvPicPr>
                  </pic:nvPicPr>
                  <pic:blipFill>
                    <a:blip r:embed="rId18"/>
                    <a:stretch>
                      <a:fillRect/>
                    </a:stretch>
                  </pic:blipFill>
                  <pic:spPr bwMode="auto">
                    <a:xfrm>
                      <a:off x="0" y="0"/>
                      <a:ext cx="5763260" cy="4039235"/>
                    </a:xfrm>
                    <a:prstGeom prst="rect">
                      <a:avLst/>
                    </a:prstGeom>
                  </pic:spPr>
                </pic:pic>
              </a:graphicData>
            </a:graphic>
          </wp:inline>
        </w:drawing>
      </w:r>
    </w:p>
    <w:p w:rsidR="008F0D85" w:rsidRDefault="00AE42A1">
      <w:pPr>
        <w:pStyle w:val="Opisslike"/>
      </w:pPr>
      <w:bookmarkStart w:id="69" w:name="_Toc516128474"/>
      <w:bookmarkStart w:id="70" w:name="_Toc527969577"/>
      <w:r>
        <w:t xml:space="preserve">Slika </w:t>
      </w:r>
      <w:r>
        <w:fldChar w:fldCharType="begin"/>
      </w:r>
      <w:r>
        <w:instrText>SEQ Slika \* ARABIC</w:instrText>
      </w:r>
      <w:r>
        <w:fldChar w:fldCharType="separate"/>
      </w:r>
      <w:r>
        <w:t>5</w:t>
      </w:r>
      <w:r>
        <w:fldChar w:fldCharType="end"/>
      </w:r>
      <w:bookmarkEnd w:id="69"/>
      <w:bookmarkEnd w:id="70"/>
      <w:r>
        <w:t>: Prikaz kartograma prometnica na području Općine</w:t>
      </w:r>
    </w:p>
    <w:p w:rsidR="008F0D85" w:rsidRDefault="00AE42A1">
      <w:pPr>
        <w:jc w:val="left"/>
        <w:rPr>
          <w:sz w:val="20"/>
          <w:szCs w:val="20"/>
        </w:rPr>
      </w:pPr>
      <w:r>
        <w:rPr>
          <w:sz w:val="20"/>
          <w:szCs w:val="20"/>
        </w:rPr>
        <w:t xml:space="preserve">Izvor: Prostorni plan </w:t>
      </w:r>
      <w:r>
        <w:rPr>
          <w:sz w:val="20"/>
          <w:szCs w:val="20"/>
        </w:rPr>
        <w:t>uređenja Općine Kloštar Podravski, III. izmjene i dopune Odluke o donošenju Prostornog plana uređenja Općine Kloštar Podravski, 2016.god.</w:t>
      </w:r>
    </w:p>
    <w:p w:rsidR="008F0D85" w:rsidRDefault="00AE42A1">
      <w:pPr>
        <w:pStyle w:val="Odlomakpopisa"/>
        <w:numPr>
          <w:ilvl w:val="0"/>
          <w:numId w:val="9"/>
        </w:numPr>
        <w:rPr>
          <w:rFonts w:cs="Calibri"/>
          <w:b/>
          <w:sz w:val="24"/>
          <w:szCs w:val="24"/>
        </w:rPr>
      </w:pPr>
      <w:r>
        <w:rPr>
          <w:rFonts w:cs="Calibri"/>
          <w:b/>
          <w:sz w:val="24"/>
          <w:szCs w:val="24"/>
        </w:rPr>
        <w:t>Željeznički promet</w:t>
      </w:r>
    </w:p>
    <w:p w:rsidR="008F0D85" w:rsidRDefault="00AE42A1">
      <w:pPr>
        <w:rPr>
          <w:rFonts w:cs="Calibri"/>
          <w:szCs w:val="24"/>
        </w:rPr>
      </w:pPr>
      <w:r>
        <w:rPr>
          <w:rFonts w:cs="Calibri"/>
          <w:szCs w:val="24"/>
        </w:rPr>
        <w:t xml:space="preserve">Prema kategorizaciji željezničkih pruga Općinom Kloštar Podravski prolaze pruge prvog i </w:t>
      </w:r>
      <w:r>
        <w:rPr>
          <w:rFonts w:cs="Calibri"/>
          <w:szCs w:val="24"/>
        </w:rPr>
        <w:t>drugog reda.</w:t>
      </w:r>
    </w:p>
    <w:p w:rsidR="008F0D85" w:rsidRDefault="00AE42A1">
      <w:pPr>
        <w:rPr>
          <w:rFonts w:cs="Calibri"/>
          <w:szCs w:val="24"/>
        </w:rPr>
      </w:pPr>
      <w:r>
        <w:rPr>
          <w:rFonts w:cs="Calibri"/>
          <w:szCs w:val="24"/>
        </w:rPr>
        <w:lastRenderedPageBreak/>
        <w:t>a) pruga prvog reda (I 100): Varaždin-Koprivnica-Osijek-Dalj (MP 14)</w:t>
      </w:r>
    </w:p>
    <w:p w:rsidR="008F0D85" w:rsidRDefault="00AE42A1">
      <w:pPr>
        <w:rPr>
          <w:rFonts w:cs="Calibri"/>
          <w:szCs w:val="24"/>
        </w:rPr>
      </w:pPr>
      <w:r>
        <w:rPr>
          <w:rFonts w:cs="Calibri"/>
          <w:szCs w:val="24"/>
        </w:rPr>
        <w:t>b) pruga drugog reda (II 205): Križevci (MG 1)-Bjelovar-Kloštar Podravski (I 100).</w:t>
      </w:r>
    </w:p>
    <w:p w:rsidR="008F0D85" w:rsidRDefault="008F0D85">
      <w:pPr>
        <w:rPr>
          <w:rFonts w:cs="Calibri"/>
          <w:szCs w:val="24"/>
        </w:rPr>
      </w:pPr>
    </w:p>
    <w:p w:rsidR="008F0D85" w:rsidRDefault="00AE42A1">
      <w:pPr>
        <w:pStyle w:val="Naslov2"/>
      </w:pPr>
      <w:bookmarkStart w:id="71" w:name="_Toc512434566"/>
      <w:bookmarkStart w:id="72" w:name="_Toc514240121"/>
      <w:bookmarkStart w:id="73" w:name="_Toc516128224"/>
      <w:bookmarkStart w:id="74" w:name="_Toc527969334"/>
      <w:bookmarkEnd w:id="71"/>
      <w:bookmarkEnd w:id="72"/>
      <w:bookmarkEnd w:id="73"/>
      <w:bookmarkEnd w:id="74"/>
      <w:r>
        <w:t>2.8. Društveno – politički pokazatelji na području Općine</w:t>
      </w:r>
    </w:p>
    <w:p w:rsidR="008F0D85" w:rsidRDefault="008F0D85"/>
    <w:p w:rsidR="008F0D85" w:rsidRDefault="00AE42A1">
      <w:pPr>
        <w:pStyle w:val="Naslov3"/>
      </w:pPr>
      <w:bookmarkStart w:id="75" w:name="_Toc512434567"/>
      <w:bookmarkStart w:id="76" w:name="_Toc514240122"/>
      <w:bookmarkStart w:id="77" w:name="_Toc516128225"/>
      <w:bookmarkStart w:id="78" w:name="_Toc527969335"/>
      <w:bookmarkEnd w:id="75"/>
      <w:bookmarkEnd w:id="76"/>
      <w:bookmarkEnd w:id="77"/>
      <w:bookmarkEnd w:id="78"/>
      <w:r>
        <w:t>2.8.1. Sjedišta upravnih tijela</w:t>
      </w:r>
    </w:p>
    <w:p w:rsidR="008F0D85" w:rsidRDefault="008F0D85"/>
    <w:p w:rsidR="008F0D85" w:rsidRDefault="00AE42A1">
      <w:pPr>
        <w:pStyle w:val="Odlomakpopisa"/>
        <w:numPr>
          <w:ilvl w:val="0"/>
          <w:numId w:val="9"/>
        </w:numPr>
        <w:rPr>
          <w:sz w:val="24"/>
          <w:szCs w:val="24"/>
        </w:rPr>
      </w:pPr>
      <w:r>
        <w:rPr>
          <w:sz w:val="24"/>
          <w:szCs w:val="24"/>
        </w:rPr>
        <w:t>Općina Kloštar Podravski, Kralja Tomislava 2, 48 362 Kloštar Podravski</w:t>
      </w:r>
    </w:p>
    <w:p w:rsidR="008F0D85" w:rsidRDefault="00AE42A1">
      <w:pPr>
        <w:rPr>
          <w:rFonts w:cs="Calibri"/>
          <w:szCs w:val="24"/>
        </w:rPr>
      </w:pPr>
      <w:r>
        <w:rPr>
          <w:rFonts w:cs="Calibri"/>
          <w:szCs w:val="24"/>
        </w:rPr>
        <w:t>Sve ostale javne institucije smještene su u Koprivnici (Državna i županijska uprava i administracija, Ispostava poljoprivredno savjetodavne službe, pravosudna tijela, Hrvatska gospoda</w:t>
      </w:r>
      <w:r>
        <w:rPr>
          <w:rFonts w:cs="Calibri"/>
          <w:szCs w:val="24"/>
        </w:rPr>
        <w:t>rska komora, Obrtnička komora Koprivničko - križevačke županije, Centar za poduzetništvo Koprivničko - križevačke županije te područna služba Hrvatskog stočarskog selekcijskog centra.</w:t>
      </w:r>
    </w:p>
    <w:p w:rsidR="008F0D85" w:rsidRDefault="00AE42A1">
      <w:pPr>
        <w:pStyle w:val="Naslov3"/>
      </w:pPr>
      <w:bookmarkStart w:id="79" w:name="_Toc512434568"/>
      <w:bookmarkStart w:id="80" w:name="_Toc514240123"/>
      <w:bookmarkStart w:id="81" w:name="_Toc516128226"/>
      <w:bookmarkStart w:id="82" w:name="_Toc527969336"/>
      <w:bookmarkEnd w:id="79"/>
      <w:bookmarkEnd w:id="80"/>
      <w:bookmarkEnd w:id="81"/>
      <w:bookmarkEnd w:id="82"/>
      <w:r>
        <w:t>2.8.2. Zdravstvene ustanove na području Općine</w:t>
      </w:r>
    </w:p>
    <w:p w:rsidR="008F0D85" w:rsidRDefault="008F0D85"/>
    <w:p w:rsidR="008F0D85" w:rsidRDefault="00AE42A1">
      <w:pPr>
        <w:rPr>
          <w:rFonts w:cs="Calibri"/>
          <w:szCs w:val="24"/>
        </w:rPr>
      </w:pPr>
      <w:r>
        <w:rPr>
          <w:rFonts w:cs="Calibri"/>
          <w:szCs w:val="24"/>
        </w:rPr>
        <w:t>Osnovne zdravstvene usta</w:t>
      </w:r>
      <w:r>
        <w:rPr>
          <w:rFonts w:cs="Calibri"/>
          <w:szCs w:val="24"/>
        </w:rPr>
        <w:t>nove na području Županije organizirane su na teritorijalnom principu, tako da je već prema kategoriji ustanove, osigurana gravitacija stanovništva pojedinog dijela Županije najbližoj jedinici.</w:t>
      </w:r>
    </w:p>
    <w:p w:rsidR="008F0D85" w:rsidRDefault="00AE42A1">
      <w:pPr>
        <w:pStyle w:val="Odlomakpopisa"/>
        <w:numPr>
          <w:ilvl w:val="0"/>
          <w:numId w:val="9"/>
        </w:numPr>
        <w:jc w:val="both"/>
        <w:rPr>
          <w:rFonts w:cs="Calibri"/>
          <w:sz w:val="24"/>
          <w:szCs w:val="24"/>
        </w:rPr>
      </w:pPr>
      <w:r>
        <w:rPr>
          <w:rFonts w:cs="Calibri"/>
          <w:sz w:val="24"/>
          <w:szCs w:val="24"/>
        </w:rPr>
        <w:t>Dom zdravlja Koprivničko – križevačke županije – Ispostava Đurđ</w:t>
      </w:r>
      <w:r>
        <w:rPr>
          <w:rFonts w:cs="Calibri"/>
          <w:sz w:val="24"/>
          <w:szCs w:val="24"/>
        </w:rPr>
        <w:t>evac, Ambulanta Kloštar Podravski, 1. Svibnja 9, 48 362 Kloštar Podravski</w:t>
      </w:r>
    </w:p>
    <w:p w:rsidR="008F0D85" w:rsidRDefault="00AE42A1">
      <w:pPr>
        <w:rPr>
          <w:rFonts w:cs="Calibri"/>
          <w:szCs w:val="24"/>
        </w:rPr>
      </w:pPr>
      <w:r>
        <w:rPr>
          <w:rFonts w:cs="Calibri"/>
          <w:szCs w:val="24"/>
        </w:rPr>
        <w:t>U naselju Kloštar Podravski djeluju Ordinacija opće medicine, Stomatološka ordinacija i Ljekarna. Zdravstvena ambulanta pruža stanovništvu Općine primarnu zdravstvenu zaštitu (zdravs</w:t>
      </w:r>
      <w:r>
        <w:rPr>
          <w:rFonts w:cs="Calibri"/>
          <w:szCs w:val="24"/>
        </w:rPr>
        <w:t>tveno preventivnu i sanitarnu zaštitu), a za ostale usluge stanovništvo mora odlaziti u Koprivnicu i Đurđevac gdje su zdravstvene usluge organizirane kroz: Dom zdravlja Đurđevac i Opću bolnicu Koprivnica.</w:t>
      </w:r>
    </w:p>
    <w:p w:rsidR="008F0D85" w:rsidRDefault="00AE42A1">
      <w:pPr>
        <w:pStyle w:val="Opisslike"/>
        <w:jc w:val="center"/>
        <w:rPr>
          <w:rFonts w:cs="Calibri"/>
          <w:szCs w:val="24"/>
        </w:rPr>
      </w:pPr>
      <w:bookmarkStart w:id="83" w:name="_Toc527969488"/>
      <w:r>
        <w:t xml:space="preserve">Tablica </w:t>
      </w:r>
      <w:r>
        <w:fldChar w:fldCharType="begin"/>
      </w:r>
      <w:r>
        <w:instrText>SEQ Tablica \* ARABIC</w:instrText>
      </w:r>
      <w:r>
        <w:fldChar w:fldCharType="separate"/>
      </w:r>
      <w:r>
        <w:t>6</w:t>
      </w:r>
      <w:r>
        <w:fldChar w:fldCharType="end"/>
      </w:r>
      <w:bookmarkEnd w:id="83"/>
      <w:r>
        <w:t>: Prikaz zdravstve</w:t>
      </w:r>
      <w:r>
        <w:t>nih ustanova na području Općine</w:t>
      </w:r>
    </w:p>
    <w:tbl>
      <w:tblPr>
        <w:tblW w:w="906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2266"/>
        <w:gridCol w:w="2266"/>
        <w:gridCol w:w="2268"/>
        <w:gridCol w:w="2262"/>
      </w:tblGrid>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Zdravstvena ustanova</w:t>
            </w:r>
          </w:p>
        </w:tc>
        <w:tc>
          <w:tcPr>
            <w:tcW w:w="226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Voditelj</w:t>
            </w:r>
          </w:p>
        </w:tc>
        <w:tc>
          <w:tcPr>
            <w:tcW w:w="2268"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Adresa</w:t>
            </w:r>
          </w:p>
        </w:tc>
        <w:tc>
          <w:tcPr>
            <w:tcW w:w="226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Kontakt</w:t>
            </w: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Ordinacija opće medicine</w:t>
            </w:r>
          </w:p>
        </w:tc>
        <w:tc>
          <w:tcPr>
            <w:tcW w:w="226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Zlata Domović, dr.med.</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1. svibnja 9, 48 362 Kloštar Podravski</w:t>
            </w:r>
          </w:p>
        </w:tc>
        <w:tc>
          <w:tcPr>
            <w:tcW w:w="226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040 816 048</w:t>
            </w: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Ordinacija dentalne medicine</w:t>
            </w:r>
          </w:p>
        </w:tc>
        <w:tc>
          <w:tcPr>
            <w:tcW w:w="226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Višnja Cestar, dr.med.dent.</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 xml:space="preserve">1. svibnja 9, 48 </w:t>
            </w:r>
            <w:r>
              <w:rPr>
                <w:rFonts w:cs="Calibri"/>
                <w:sz w:val="20"/>
                <w:szCs w:val="20"/>
              </w:rPr>
              <w:t>362 Kloštar Podravski</w:t>
            </w:r>
          </w:p>
        </w:tc>
        <w:tc>
          <w:tcPr>
            <w:tcW w:w="226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040 816 202</w:t>
            </w: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Ljekarna Kloštar Podravski - Štefanić</w:t>
            </w:r>
          </w:p>
        </w:tc>
        <w:tc>
          <w:tcPr>
            <w:tcW w:w="226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mr.sc. Ružica Petrić, mag.pharm.</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Trg Sv. Obitelji 2, 48 362 Kloštar Podravski</w:t>
            </w:r>
          </w:p>
        </w:tc>
        <w:tc>
          <w:tcPr>
            <w:tcW w:w="226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040 816 545</w:t>
            </w:r>
          </w:p>
        </w:tc>
      </w:tr>
    </w:tbl>
    <w:p w:rsidR="008F0D85" w:rsidRDefault="008F0D85">
      <w:pPr>
        <w:jc w:val="center"/>
        <w:rPr>
          <w:rFonts w:cs="Calibri"/>
          <w:szCs w:val="24"/>
        </w:rPr>
      </w:pPr>
    </w:p>
    <w:p w:rsidR="008F0D85" w:rsidRDefault="00AE42A1">
      <w:pPr>
        <w:pStyle w:val="Naslov3"/>
      </w:pPr>
      <w:bookmarkStart w:id="84" w:name="_Toc512434569"/>
      <w:bookmarkStart w:id="85" w:name="_Toc514240124"/>
      <w:bookmarkStart w:id="86" w:name="_Toc516128227"/>
      <w:bookmarkStart w:id="87" w:name="_Toc527969337"/>
      <w:bookmarkEnd w:id="84"/>
      <w:bookmarkEnd w:id="85"/>
      <w:bookmarkEnd w:id="86"/>
      <w:bookmarkEnd w:id="87"/>
      <w:r>
        <w:t>2.8.3. Odgojno – obrazovne ustanove na području Općine</w:t>
      </w:r>
    </w:p>
    <w:p w:rsidR="008F0D85" w:rsidRDefault="008F0D85"/>
    <w:p w:rsidR="008F0D85" w:rsidRDefault="00AE42A1">
      <w:pPr>
        <w:pStyle w:val="Opisslike"/>
        <w:jc w:val="center"/>
      </w:pPr>
      <w:bookmarkStart w:id="88" w:name="_Toc527969489"/>
      <w:r>
        <w:lastRenderedPageBreak/>
        <w:t xml:space="preserve">Tablica </w:t>
      </w:r>
      <w:r>
        <w:fldChar w:fldCharType="begin"/>
      </w:r>
      <w:r>
        <w:instrText>SEQ Tablica \* ARABIC</w:instrText>
      </w:r>
      <w:r>
        <w:fldChar w:fldCharType="separate"/>
      </w:r>
      <w:r>
        <w:t>7</w:t>
      </w:r>
      <w:r>
        <w:fldChar w:fldCharType="end"/>
      </w:r>
      <w:bookmarkEnd w:id="88"/>
      <w:r>
        <w:t>:</w:t>
      </w:r>
      <w:r>
        <w:t xml:space="preserve"> Prikaz odgojno - obrazovnih ustanova na području Općine</w:t>
      </w:r>
    </w:p>
    <w:tbl>
      <w:tblPr>
        <w:tblW w:w="906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2266"/>
        <w:gridCol w:w="2266"/>
        <w:gridCol w:w="2268"/>
        <w:gridCol w:w="2262"/>
      </w:tblGrid>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Ustanova</w:t>
            </w:r>
          </w:p>
        </w:tc>
        <w:tc>
          <w:tcPr>
            <w:tcW w:w="226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Odgovorna osoba</w:t>
            </w:r>
          </w:p>
        </w:tc>
        <w:tc>
          <w:tcPr>
            <w:tcW w:w="2268"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Adresa</w:t>
            </w:r>
          </w:p>
        </w:tc>
        <w:tc>
          <w:tcPr>
            <w:tcW w:w="226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Kontakt</w:t>
            </w: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Osnovna škola Kloštar Podravski</w:t>
            </w:r>
          </w:p>
        </w:tc>
        <w:tc>
          <w:tcPr>
            <w:tcW w:w="226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Mirko Šandrovčan, ravnatelj</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1. svibnja 50, 48 362 Kloštar Podravski</w:t>
            </w:r>
          </w:p>
        </w:tc>
        <w:tc>
          <w:tcPr>
            <w:tcW w:w="226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048 816 331</w:t>
            </w:r>
          </w:p>
          <w:p w:rsidR="008F0D85" w:rsidRDefault="00AE42A1">
            <w:pPr>
              <w:spacing w:after="0" w:line="240" w:lineRule="auto"/>
              <w:jc w:val="center"/>
              <w:rPr>
                <w:rFonts w:cs="Calibri"/>
                <w:sz w:val="20"/>
                <w:szCs w:val="20"/>
              </w:rPr>
            </w:pPr>
            <w:r>
              <w:rPr>
                <w:rFonts w:cs="Calibri"/>
                <w:sz w:val="20"/>
                <w:szCs w:val="20"/>
              </w:rPr>
              <w:t>048 816 344</w:t>
            </w:r>
          </w:p>
          <w:p w:rsidR="008F0D85" w:rsidRDefault="00AE42A1">
            <w:pPr>
              <w:spacing w:after="0" w:line="240" w:lineRule="auto"/>
              <w:jc w:val="center"/>
              <w:rPr>
                <w:rFonts w:cs="Calibri"/>
                <w:sz w:val="20"/>
                <w:szCs w:val="20"/>
              </w:rPr>
            </w:pPr>
            <w:r>
              <w:rPr>
                <w:rFonts w:cs="Calibri"/>
                <w:sz w:val="20"/>
                <w:szCs w:val="20"/>
              </w:rPr>
              <w:t xml:space="preserve">e-mail: </w:t>
            </w:r>
            <w:hyperlink r:id="rId19">
              <w:r>
                <w:rPr>
                  <w:rStyle w:val="Internetskapoveznica"/>
                  <w:rFonts w:cs="Calibri"/>
                  <w:color w:val="00000A"/>
                  <w:sz w:val="20"/>
                  <w:szCs w:val="20"/>
                  <w:u w:val="none"/>
                </w:rPr>
                <w:t>ured@os-klostar-podravski.skole.hr</w:t>
              </w:r>
            </w:hyperlink>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Područna škola Kozarevac</w:t>
            </w:r>
          </w:p>
        </w:tc>
        <w:tc>
          <w:tcPr>
            <w:tcW w:w="226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Jasna Vukres, voditeljica</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Gajeva 13, Kozarevac, 48 362 Kloštar Podravski</w:t>
            </w:r>
          </w:p>
        </w:tc>
        <w:tc>
          <w:tcPr>
            <w:tcW w:w="226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048 895 074</w:t>
            </w: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Područna škola Prugovac</w:t>
            </w:r>
          </w:p>
        </w:tc>
        <w:tc>
          <w:tcPr>
            <w:tcW w:w="226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 xml:space="preserve">Vesna Ban, </w:t>
            </w:r>
            <w:r>
              <w:rPr>
                <w:rFonts w:cs="Calibri"/>
                <w:sz w:val="20"/>
                <w:szCs w:val="20"/>
              </w:rPr>
              <w:t>voditeljica</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Duga ulica 5, Prugovac, 48 362 Kloštar Podravski</w:t>
            </w:r>
          </w:p>
        </w:tc>
        <w:tc>
          <w:tcPr>
            <w:tcW w:w="226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048 896 158</w:t>
            </w:r>
          </w:p>
        </w:tc>
      </w:tr>
    </w:tbl>
    <w:p w:rsidR="008F0D85" w:rsidRDefault="008F0D85">
      <w:pPr>
        <w:spacing w:after="0" w:line="240" w:lineRule="auto"/>
        <w:rPr>
          <w:sz w:val="20"/>
          <w:szCs w:val="20"/>
        </w:rPr>
      </w:pPr>
    </w:p>
    <w:p w:rsidR="008F0D85" w:rsidRDefault="008F0D85">
      <w:pPr>
        <w:spacing w:after="0" w:line="240" w:lineRule="auto"/>
        <w:rPr>
          <w:sz w:val="20"/>
          <w:szCs w:val="20"/>
        </w:rPr>
      </w:pPr>
    </w:p>
    <w:p w:rsidR="008F0D85" w:rsidRDefault="00AE42A1">
      <w:pPr>
        <w:pStyle w:val="Naslov3"/>
      </w:pPr>
      <w:bookmarkStart w:id="89" w:name="_Toc512434570"/>
      <w:bookmarkStart w:id="90" w:name="_Toc514240125"/>
      <w:bookmarkStart w:id="91" w:name="_Toc516128228"/>
      <w:bookmarkStart w:id="92" w:name="_Toc527969338"/>
      <w:bookmarkEnd w:id="89"/>
      <w:bookmarkEnd w:id="90"/>
      <w:bookmarkEnd w:id="91"/>
      <w:bookmarkEnd w:id="92"/>
      <w:r>
        <w:t>2.8.4. Broj domaćinstva na području Općine</w:t>
      </w:r>
    </w:p>
    <w:p w:rsidR="008F0D85" w:rsidRDefault="008F0D85">
      <w:pPr>
        <w:rPr>
          <w:rFonts w:cs="Calibri"/>
          <w:szCs w:val="24"/>
        </w:rPr>
      </w:pPr>
    </w:p>
    <w:p w:rsidR="008F0D85" w:rsidRDefault="00AE42A1">
      <w:r>
        <w:t xml:space="preserve">Na području Općine, prema Državnome zavodu za statistiku, odnosno popisu stanovništva iz 2011. godine, postoji ukupno 1.051 </w:t>
      </w:r>
      <w:r>
        <w:t xml:space="preserve">domaćinstava, tj. kućanstava. Najzastupljenija su jednočlana kućanstva kojih je ukupno 236 ili 22,46%. Najveći broj članova zabilježen je u četveročlanim (764 članova) te peteročlanim domaćinstvima (585 članova). Najveća opasnost od epidemija i pandemija, </w:t>
      </w:r>
      <w:r>
        <w:t>ekstremnih temperatura te potresa prijeti područjima na kojima se nalazi najveći broj kućanstava te su osobito osjetljiva kućanstva s većim brojem članova.</w:t>
      </w:r>
    </w:p>
    <w:p w:rsidR="008F0D85" w:rsidRDefault="00AE42A1">
      <w:pPr>
        <w:spacing w:after="0" w:line="360" w:lineRule="auto"/>
        <w:jc w:val="center"/>
        <w:rPr>
          <w:rFonts w:cs="Arial"/>
          <w:b/>
          <w:bCs/>
          <w:sz w:val="20"/>
          <w:szCs w:val="20"/>
        </w:rPr>
      </w:pPr>
      <w:bookmarkStart w:id="93" w:name="_Toc512434702"/>
      <w:bookmarkStart w:id="94" w:name="_Toc514240296"/>
      <w:bookmarkStart w:id="95" w:name="_Toc516128377"/>
      <w:bookmarkStart w:id="96" w:name="_Toc527969490"/>
      <w:r>
        <w:rPr>
          <w:rFonts w:cs="Arial"/>
          <w:b/>
          <w:bCs/>
          <w:sz w:val="20"/>
          <w:szCs w:val="20"/>
        </w:rPr>
        <w:t xml:space="preserve">Tablica </w:t>
      </w:r>
      <w:r>
        <w:rPr>
          <w:rFonts w:cs="Arial"/>
          <w:b/>
          <w:bCs/>
          <w:sz w:val="20"/>
          <w:szCs w:val="20"/>
        </w:rPr>
        <w:fldChar w:fldCharType="begin"/>
      </w:r>
      <w:r>
        <w:instrText>SEQ Tablica \* ARABIC</w:instrText>
      </w:r>
      <w:r>
        <w:fldChar w:fldCharType="separate"/>
      </w:r>
      <w:r>
        <w:t>8</w:t>
      </w:r>
      <w:r>
        <w:fldChar w:fldCharType="end"/>
      </w:r>
      <w:bookmarkEnd w:id="93"/>
      <w:bookmarkEnd w:id="94"/>
      <w:bookmarkEnd w:id="95"/>
      <w:bookmarkEnd w:id="96"/>
      <w:r>
        <w:rPr>
          <w:rFonts w:cs="Arial"/>
          <w:b/>
          <w:bCs/>
          <w:sz w:val="20"/>
          <w:szCs w:val="20"/>
        </w:rPr>
        <w:t>: Prikaz privatnih kućanstva prema broju članova</w:t>
      </w:r>
    </w:p>
    <w:tbl>
      <w:tblPr>
        <w:tblW w:w="9062" w:type="dxa"/>
        <w:tblBorders>
          <w:top w:val="single" w:sz="4" w:space="0" w:color="000001"/>
          <w:left w:val="single" w:sz="4" w:space="0" w:color="000001"/>
          <w:right w:val="single" w:sz="4" w:space="0" w:color="000001"/>
          <w:insideV w:val="single" w:sz="4" w:space="0" w:color="000001"/>
        </w:tblBorders>
        <w:tblCellMar>
          <w:left w:w="-5" w:type="dxa"/>
          <w:right w:w="10" w:type="dxa"/>
        </w:tblCellMar>
        <w:tblLook w:val="00A0" w:firstRow="1" w:lastRow="0" w:firstColumn="1" w:lastColumn="0" w:noHBand="0" w:noVBand="0"/>
      </w:tblPr>
      <w:tblGrid>
        <w:gridCol w:w="856"/>
        <w:gridCol w:w="873"/>
        <w:gridCol w:w="645"/>
        <w:gridCol w:w="540"/>
        <w:gridCol w:w="542"/>
        <w:gridCol w:w="533"/>
        <w:gridCol w:w="532"/>
        <w:gridCol w:w="531"/>
        <w:gridCol w:w="522"/>
        <w:gridCol w:w="522"/>
        <w:gridCol w:w="473"/>
        <w:gridCol w:w="505"/>
        <w:gridCol w:w="723"/>
        <w:gridCol w:w="1265"/>
      </w:tblGrid>
      <w:tr w:rsidR="008F0D85">
        <w:trPr>
          <w:trHeight w:val="270"/>
        </w:trPr>
        <w:tc>
          <w:tcPr>
            <w:tcW w:w="856" w:type="dxa"/>
            <w:vMerge w:val="restart"/>
            <w:tcBorders>
              <w:top w:val="single" w:sz="4" w:space="0" w:color="000001"/>
              <w:left w:val="single" w:sz="4" w:space="0" w:color="000001"/>
              <w:right w:val="single" w:sz="4" w:space="0" w:color="000001"/>
            </w:tcBorders>
            <w:shd w:val="clear" w:color="auto" w:fill="F2F2F2"/>
            <w:tcMar>
              <w:left w:w="-5" w:type="dxa"/>
            </w:tcMar>
          </w:tcPr>
          <w:p w:rsidR="008F0D85" w:rsidRDefault="008F0D85">
            <w:pPr>
              <w:spacing w:after="0" w:line="240" w:lineRule="auto"/>
              <w:jc w:val="center"/>
              <w:rPr>
                <w:rFonts w:cs="Calibri"/>
                <w:b/>
                <w:bCs/>
                <w:sz w:val="20"/>
                <w:szCs w:val="20"/>
                <w:lang w:eastAsia="hr-HR"/>
              </w:rPr>
            </w:pPr>
            <w:bookmarkStart w:id="97" w:name="_Hlk497124960"/>
            <w:bookmarkEnd w:id="97"/>
          </w:p>
        </w:tc>
        <w:tc>
          <w:tcPr>
            <w:tcW w:w="873" w:type="dxa"/>
            <w:vMerge w:val="restart"/>
            <w:tcBorders>
              <w:top w:val="single" w:sz="4" w:space="0" w:color="000001"/>
              <w:left w:val="single" w:sz="4" w:space="0" w:color="000001"/>
              <w:right w:val="single" w:sz="4" w:space="0" w:color="000001"/>
            </w:tcBorders>
            <w:shd w:val="clear" w:color="auto" w:fill="F2F2F2"/>
            <w:tcMar>
              <w:top w:w="15" w:type="dxa"/>
              <w:left w:w="88" w:type="dxa"/>
              <w:bottom w:w="15" w:type="dxa"/>
              <w:right w:w="108" w:type="dxa"/>
            </w:tcMar>
            <w:vAlign w:val="center"/>
          </w:tcPr>
          <w:p w:rsidR="008F0D85" w:rsidRDefault="00AE42A1">
            <w:pPr>
              <w:spacing w:after="0" w:line="240" w:lineRule="auto"/>
              <w:jc w:val="center"/>
              <w:rPr>
                <w:sz w:val="20"/>
                <w:szCs w:val="20"/>
              </w:rPr>
            </w:pPr>
            <w:r>
              <w:rPr>
                <w:rFonts w:cs="Calibri"/>
                <w:b/>
                <w:bCs/>
                <w:sz w:val="20"/>
                <w:szCs w:val="20"/>
                <w:lang w:eastAsia="hr-HR"/>
              </w:rPr>
              <w:t>Ukupno</w:t>
            </w:r>
          </w:p>
        </w:tc>
        <w:tc>
          <w:tcPr>
            <w:tcW w:w="6068" w:type="dxa"/>
            <w:gridSpan w:val="11"/>
            <w:tcBorders>
              <w:top w:val="single" w:sz="4" w:space="0" w:color="000001"/>
              <w:left w:val="single" w:sz="4" w:space="0" w:color="000001"/>
              <w:bottom w:val="single" w:sz="4" w:space="0" w:color="000001"/>
              <w:right w:val="single" w:sz="4" w:space="0" w:color="000001"/>
            </w:tcBorders>
            <w:shd w:val="clear" w:color="auto" w:fill="F2F2F2"/>
            <w:tcMar>
              <w:top w:w="15" w:type="dxa"/>
              <w:left w:w="88" w:type="dxa"/>
              <w:bottom w:w="15" w:type="dxa"/>
              <w:right w:w="10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 xml:space="preserve">Broj </w:t>
            </w:r>
            <w:r>
              <w:rPr>
                <w:rFonts w:cs="Calibri"/>
                <w:b/>
                <w:bCs/>
                <w:sz w:val="20"/>
                <w:szCs w:val="20"/>
                <w:lang w:eastAsia="hr-HR"/>
              </w:rPr>
              <w:t>članova kućanstva</w:t>
            </w:r>
          </w:p>
        </w:tc>
        <w:tc>
          <w:tcPr>
            <w:tcW w:w="1264" w:type="dxa"/>
            <w:tcBorders>
              <w:top w:val="single" w:sz="4" w:space="0" w:color="000001"/>
              <w:left w:val="single" w:sz="4" w:space="0" w:color="000001"/>
              <w:bottom w:val="single" w:sz="4" w:space="0" w:color="000001"/>
              <w:right w:val="single" w:sz="4" w:space="0" w:color="000001"/>
            </w:tcBorders>
            <w:shd w:val="clear" w:color="auto" w:fill="F2F2F2"/>
            <w:tcMar>
              <w:top w:w="15" w:type="dxa"/>
              <w:left w:w="88" w:type="dxa"/>
              <w:bottom w:w="15" w:type="dxa"/>
              <w:right w:w="108" w:type="dxa"/>
            </w:tcMar>
            <w:vAlign w:val="center"/>
          </w:tcPr>
          <w:p w:rsidR="008F0D85" w:rsidRDefault="008F0D85">
            <w:pPr>
              <w:spacing w:after="0" w:line="240" w:lineRule="auto"/>
              <w:jc w:val="center"/>
              <w:rPr>
                <w:rFonts w:cs="Calibri"/>
                <w:b/>
                <w:bCs/>
                <w:sz w:val="20"/>
                <w:szCs w:val="20"/>
                <w:lang w:eastAsia="hr-HR"/>
              </w:rPr>
            </w:pPr>
          </w:p>
        </w:tc>
      </w:tr>
      <w:tr w:rsidR="008F0D85">
        <w:trPr>
          <w:trHeight w:val="615"/>
        </w:trPr>
        <w:tc>
          <w:tcPr>
            <w:tcW w:w="856" w:type="dxa"/>
            <w:vMerge/>
            <w:tcBorders>
              <w:left w:val="single" w:sz="4" w:space="0" w:color="000001"/>
              <w:right w:val="single" w:sz="4" w:space="0" w:color="000001"/>
            </w:tcBorders>
            <w:shd w:val="clear" w:color="auto" w:fill="F2F2F2"/>
            <w:tcMar>
              <w:left w:w="-5" w:type="dxa"/>
            </w:tcMar>
          </w:tcPr>
          <w:p w:rsidR="008F0D85" w:rsidRDefault="008F0D85">
            <w:pPr>
              <w:spacing w:after="0" w:line="240" w:lineRule="auto"/>
              <w:jc w:val="center"/>
              <w:rPr>
                <w:rFonts w:cs="Calibri"/>
                <w:b/>
                <w:bCs/>
                <w:color w:val="FFFFFF"/>
                <w:sz w:val="20"/>
                <w:szCs w:val="20"/>
                <w:lang w:eastAsia="hr-HR"/>
              </w:rPr>
            </w:pPr>
          </w:p>
        </w:tc>
        <w:tc>
          <w:tcPr>
            <w:tcW w:w="873" w:type="dxa"/>
            <w:vMerge/>
            <w:tcBorders>
              <w:top w:val="single" w:sz="4" w:space="0" w:color="000001"/>
              <w:left w:val="single" w:sz="4" w:space="0" w:color="000001"/>
              <w:right w:val="single" w:sz="4" w:space="0" w:color="000001"/>
            </w:tcBorders>
            <w:shd w:val="clear" w:color="auto" w:fill="F2F2F2"/>
            <w:tcMar>
              <w:top w:w="15" w:type="dxa"/>
              <w:left w:w="88" w:type="dxa"/>
              <w:bottom w:w="15" w:type="dxa"/>
              <w:right w:w="108" w:type="dxa"/>
            </w:tcMar>
            <w:vAlign w:val="center"/>
          </w:tcPr>
          <w:p w:rsidR="008F0D85" w:rsidRDefault="008F0D85">
            <w:pPr>
              <w:spacing w:after="0" w:line="240" w:lineRule="auto"/>
              <w:jc w:val="center"/>
              <w:rPr>
                <w:rFonts w:cs="Calibri"/>
                <w:b/>
                <w:bCs/>
                <w:color w:val="FFFFFF"/>
                <w:sz w:val="20"/>
                <w:szCs w:val="20"/>
                <w:lang w:eastAsia="hr-HR"/>
              </w:rPr>
            </w:pPr>
          </w:p>
        </w:tc>
        <w:tc>
          <w:tcPr>
            <w:tcW w:w="645" w:type="dxa"/>
            <w:tcBorders>
              <w:top w:val="single" w:sz="4" w:space="0" w:color="000001"/>
              <w:left w:val="single" w:sz="4" w:space="0" w:color="000001"/>
              <w:bottom w:val="single" w:sz="4" w:space="0" w:color="000001"/>
              <w:right w:val="single" w:sz="4" w:space="0" w:color="000001"/>
            </w:tcBorders>
            <w:shd w:val="clear" w:color="auto" w:fill="F2F2F2"/>
            <w:tcMar>
              <w:top w:w="15" w:type="dxa"/>
              <w:left w:w="88" w:type="dxa"/>
              <w:bottom w:w="15" w:type="dxa"/>
              <w:right w:w="10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1</w:t>
            </w:r>
          </w:p>
        </w:tc>
        <w:tc>
          <w:tcPr>
            <w:tcW w:w="540" w:type="dxa"/>
            <w:tcBorders>
              <w:top w:val="single" w:sz="4" w:space="0" w:color="000001"/>
              <w:left w:val="single" w:sz="4" w:space="0" w:color="000001"/>
              <w:bottom w:val="single" w:sz="4" w:space="0" w:color="000001"/>
              <w:right w:val="single" w:sz="4" w:space="0" w:color="000001"/>
            </w:tcBorders>
            <w:shd w:val="clear" w:color="auto" w:fill="F2F2F2"/>
            <w:tcMar>
              <w:top w:w="15" w:type="dxa"/>
              <w:left w:w="88" w:type="dxa"/>
              <w:bottom w:w="15" w:type="dxa"/>
              <w:right w:w="10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2</w:t>
            </w:r>
          </w:p>
        </w:tc>
        <w:tc>
          <w:tcPr>
            <w:tcW w:w="542" w:type="dxa"/>
            <w:tcBorders>
              <w:top w:val="single" w:sz="4" w:space="0" w:color="000001"/>
              <w:left w:val="single" w:sz="4" w:space="0" w:color="000001"/>
              <w:bottom w:val="single" w:sz="4" w:space="0" w:color="000001"/>
              <w:right w:val="single" w:sz="4" w:space="0" w:color="000001"/>
            </w:tcBorders>
            <w:shd w:val="clear" w:color="auto" w:fill="F2F2F2"/>
            <w:tcMar>
              <w:top w:w="15" w:type="dxa"/>
              <w:left w:w="88" w:type="dxa"/>
              <w:bottom w:w="15" w:type="dxa"/>
              <w:right w:w="10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3</w:t>
            </w:r>
          </w:p>
        </w:tc>
        <w:tc>
          <w:tcPr>
            <w:tcW w:w="533" w:type="dxa"/>
            <w:tcBorders>
              <w:top w:val="single" w:sz="4" w:space="0" w:color="000001"/>
              <w:left w:val="single" w:sz="4" w:space="0" w:color="000001"/>
              <w:bottom w:val="single" w:sz="4" w:space="0" w:color="000001"/>
              <w:right w:val="single" w:sz="4" w:space="0" w:color="000001"/>
            </w:tcBorders>
            <w:shd w:val="clear" w:color="auto" w:fill="F2F2F2"/>
            <w:tcMar>
              <w:top w:w="15" w:type="dxa"/>
              <w:left w:w="88" w:type="dxa"/>
              <w:bottom w:w="15" w:type="dxa"/>
              <w:right w:w="10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4</w:t>
            </w:r>
          </w:p>
        </w:tc>
        <w:tc>
          <w:tcPr>
            <w:tcW w:w="532" w:type="dxa"/>
            <w:tcBorders>
              <w:top w:val="single" w:sz="4" w:space="0" w:color="000001"/>
              <w:left w:val="single" w:sz="4" w:space="0" w:color="000001"/>
              <w:bottom w:val="single" w:sz="4" w:space="0" w:color="000001"/>
              <w:right w:val="single" w:sz="4" w:space="0" w:color="000001"/>
            </w:tcBorders>
            <w:shd w:val="clear" w:color="auto" w:fill="F2F2F2"/>
            <w:tcMar>
              <w:top w:w="15" w:type="dxa"/>
              <w:left w:w="88" w:type="dxa"/>
              <w:bottom w:w="15" w:type="dxa"/>
              <w:right w:w="10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5</w:t>
            </w:r>
          </w:p>
        </w:tc>
        <w:tc>
          <w:tcPr>
            <w:tcW w:w="531" w:type="dxa"/>
            <w:tcBorders>
              <w:top w:val="single" w:sz="4" w:space="0" w:color="000001"/>
              <w:left w:val="single" w:sz="4" w:space="0" w:color="000001"/>
              <w:bottom w:val="single" w:sz="4" w:space="0" w:color="000001"/>
              <w:right w:val="single" w:sz="4" w:space="0" w:color="000001"/>
            </w:tcBorders>
            <w:shd w:val="clear" w:color="auto" w:fill="F2F2F2"/>
            <w:tcMar>
              <w:top w:w="15" w:type="dxa"/>
              <w:left w:w="88" w:type="dxa"/>
              <w:bottom w:w="15" w:type="dxa"/>
              <w:right w:w="10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6</w:t>
            </w:r>
          </w:p>
        </w:tc>
        <w:tc>
          <w:tcPr>
            <w:tcW w:w="522" w:type="dxa"/>
            <w:tcBorders>
              <w:top w:val="single" w:sz="4" w:space="0" w:color="000001"/>
              <w:left w:val="single" w:sz="4" w:space="0" w:color="000001"/>
              <w:bottom w:val="single" w:sz="4" w:space="0" w:color="000001"/>
              <w:right w:val="single" w:sz="4" w:space="0" w:color="000001"/>
            </w:tcBorders>
            <w:shd w:val="clear" w:color="auto" w:fill="F2F2F2"/>
            <w:tcMar>
              <w:top w:w="15" w:type="dxa"/>
              <w:left w:w="88" w:type="dxa"/>
              <w:bottom w:w="15" w:type="dxa"/>
              <w:right w:w="10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7</w:t>
            </w:r>
          </w:p>
        </w:tc>
        <w:tc>
          <w:tcPr>
            <w:tcW w:w="522" w:type="dxa"/>
            <w:tcBorders>
              <w:top w:val="single" w:sz="4" w:space="0" w:color="000001"/>
              <w:left w:val="single" w:sz="4" w:space="0" w:color="000001"/>
              <w:bottom w:val="single" w:sz="4" w:space="0" w:color="000001"/>
              <w:right w:val="single" w:sz="4" w:space="0" w:color="000001"/>
            </w:tcBorders>
            <w:shd w:val="clear" w:color="auto" w:fill="F2F2F2"/>
            <w:tcMar>
              <w:top w:w="15" w:type="dxa"/>
              <w:left w:w="88" w:type="dxa"/>
              <w:bottom w:w="15" w:type="dxa"/>
              <w:right w:w="10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8</w:t>
            </w:r>
          </w:p>
        </w:tc>
        <w:tc>
          <w:tcPr>
            <w:tcW w:w="473" w:type="dxa"/>
            <w:tcBorders>
              <w:top w:val="single" w:sz="4" w:space="0" w:color="000001"/>
              <w:left w:val="single" w:sz="4" w:space="0" w:color="000001"/>
              <w:bottom w:val="single" w:sz="4" w:space="0" w:color="000001"/>
              <w:right w:val="single" w:sz="4" w:space="0" w:color="000001"/>
            </w:tcBorders>
            <w:shd w:val="clear" w:color="auto" w:fill="F2F2F2"/>
            <w:tcMar>
              <w:top w:w="15" w:type="dxa"/>
              <w:left w:w="88" w:type="dxa"/>
              <w:bottom w:w="15" w:type="dxa"/>
              <w:right w:w="10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9</w:t>
            </w:r>
          </w:p>
        </w:tc>
        <w:tc>
          <w:tcPr>
            <w:tcW w:w="505" w:type="dxa"/>
            <w:tcBorders>
              <w:top w:val="single" w:sz="4" w:space="0" w:color="000001"/>
              <w:left w:val="single" w:sz="4" w:space="0" w:color="000001"/>
              <w:bottom w:val="single" w:sz="4" w:space="0" w:color="000001"/>
              <w:right w:val="single" w:sz="4" w:space="0" w:color="000001"/>
            </w:tcBorders>
            <w:shd w:val="clear" w:color="auto" w:fill="F2F2F2"/>
            <w:tcMar>
              <w:top w:w="15" w:type="dxa"/>
              <w:left w:w="88" w:type="dxa"/>
              <w:bottom w:w="15" w:type="dxa"/>
              <w:right w:w="10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10</w:t>
            </w:r>
          </w:p>
        </w:tc>
        <w:tc>
          <w:tcPr>
            <w:tcW w:w="722" w:type="dxa"/>
            <w:tcBorders>
              <w:top w:val="single" w:sz="4" w:space="0" w:color="000001"/>
              <w:left w:val="single" w:sz="4" w:space="0" w:color="000001"/>
              <w:bottom w:val="single" w:sz="4" w:space="0" w:color="000001"/>
              <w:right w:val="single" w:sz="4" w:space="0" w:color="000001"/>
            </w:tcBorders>
            <w:shd w:val="clear" w:color="auto" w:fill="F2F2F2"/>
            <w:tcMar>
              <w:top w:w="15" w:type="dxa"/>
              <w:left w:w="88" w:type="dxa"/>
              <w:bottom w:w="15" w:type="dxa"/>
              <w:right w:w="10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11 i više</w:t>
            </w:r>
          </w:p>
        </w:tc>
        <w:tc>
          <w:tcPr>
            <w:tcW w:w="1265" w:type="dxa"/>
            <w:tcBorders>
              <w:top w:val="single" w:sz="4" w:space="0" w:color="000001"/>
              <w:left w:val="single" w:sz="4" w:space="0" w:color="000001"/>
              <w:bottom w:val="single" w:sz="4" w:space="0" w:color="000001"/>
              <w:right w:val="single" w:sz="8" w:space="0" w:color="000001"/>
            </w:tcBorders>
            <w:shd w:val="clear" w:color="auto" w:fill="F2F2F2"/>
            <w:tcMar>
              <w:top w:w="15" w:type="dxa"/>
              <w:left w:w="88" w:type="dxa"/>
              <w:bottom w:w="15" w:type="dxa"/>
              <w:right w:w="10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Prosječan broj osoba u kućanstvu</w:t>
            </w:r>
          </w:p>
        </w:tc>
      </w:tr>
      <w:tr w:rsidR="008F0D85">
        <w:trPr>
          <w:trHeight w:val="315"/>
        </w:trPr>
        <w:tc>
          <w:tcPr>
            <w:tcW w:w="856" w:type="dxa"/>
            <w:tcBorders>
              <w:top w:val="single" w:sz="4" w:space="0" w:color="000001"/>
              <w:left w:val="single" w:sz="4" w:space="0" w:color="000001"/>
              <w:bottom w:val="single" w:sz="4" w:space="0" w:color="000001"/>
              <w:right w:val="single" w:sz="4" w:space="0" w:color="000001"/>
            </w:tcBorders>
            <w:shd w:val="clear" w:color="auto" w:fill="FFFFFF"/>
            <w:tcMar>
              <w:left w:w="-5" w:type="dxa"/>
            </w:tcMar>
          </w:tcPr>
          <w:p w:rsidR="008F0D85" w:rsidRDefault="00AE42A1">
            <w:pPr>
              <w:spacing w:after="0" w:line="240" w:lineRule="auto"/>
              <w:jc w:val="center"/>
              <w:rPr>
                <w:rFonts w:cs="Calibri"/>
                <w:b/>
                <w:color w:val="000000"/>
                <w:sz w:val="20"/>
                <w:szCs w:val="20"/>
                <w:lang w:eastAsia="hr-HR"/>
              </w:rPr>
            </w:pPr>
            <w:r>
              <w:rPr>
                <w:rFonts w:cs="Calibri"/>
                <w:b/>
                <w:color w:val="000000"/>
                <w:sz w:val="20"/>
                <w:szCs w:val="20"/>
                <w:lang w:eastAsia="hr-HR"/>
              </w:rPr>
              <w:t>Br. kućanstva</w:t>
            </w:r>
          </w:p>
        </w:tc>
        <w:tc>
          <w:tcPr>
            <w:tcW w:w="873"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color w:val="000000"/>
                <w:sz w:val="20"/>
                <w:szCs w:val="20"/>
                <w:lang w:eastAsia="hr-HR"/>
              </w:rPr>
            </w:pPr>
            <w:r>
              <w:rPr>
                <w:rFonts w:cs="Calibri"/>
                <w:color w:val="000000"/>
                <w:sz w:val="20"/>
                <w:szCs w:val="20"/>
                <w:lang w:eastAsia="hr-HR"/>
              </w:rPr>
              <w:t>1.051</w:t>
            </w:r>
          </w:p>
        </w:tc>
        <w:tc>
          <w:tcPr>
            <w:tcW w:w="645"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236</w:t>
            </w:r>
          </w:p>
        </w:tc>
        <w:tc>
          <w:tcPr>
            <w:tcW w:w="540"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231</w:t>
            </w:r>
          </w:p>
        </w:tc>
        <w:tc>
          <w:tcPr>
            <w:tcW w:w="542"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173</w:t>
            </w:r>
          </w:p>
        </w:tc>
        <w:tc>
          <w:tcPr>
            <w:tcW w:w="533"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191</w:t>
            </w:r>
          </w:p>
        </w:tc>
        <w:tc>
          <w:tcPr>
            <w:tcW w:w="532"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117</w:t>
            </w:r>
          </w:p>
        </w:tc>
        <w:tc>
          <w:tcPr>
            <w:tcW w:w="531"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57</w:t>
            </w:r>
          </w:p>
        </w:tc>
        <w:tc>
          <w:tcPr>
            <w:tcW w:w="522"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22</w:t>
            </w:r>
          </w:p>
        </w:tc>
        <w:tc>
          <w:tcPr>
            <w:tcW w:w="522"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18</w:t>
            </w:r>
          </w:p>
        </w:tc>
        <w:tc>
          <w:tcPr>
            <w:tcW w:w="473"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4</w:t>
            </w:r>
          </w:p>
        </w:tc>
        <w:tc>
          <w:tcPr>
            <w:tcW w:w="505"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2</w:t>
            </w:r>
          </w:p>
        </w:tc>
        <w:tc>
          <w:tcPr>
            <w:tcW w:w="722"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w:t>
            </w:r>
          </w:p>
        </w:tc>
        <w:tc>
          <w:tcPr>
            <w:tcW w:w="1265" w:type="dxa"/>
            <w:tcBorders>
              <w:top w:val="single" w:sz="4" w:space="0" w:color="000001"/>
              <w:left w:val="single" w:sz="4" w:space="0" w:color="000001"/>
              <w:bottom w:val="single" w:sz="4" w:space="0" w:color="000001"/>
              <w:right w:val="single" w:sz="8"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3,10</w:t>
            </w:r>
          </w:p>
        </w:tc>
      </w:tr>
      <w:tr w:rsidR="008F0D85">
        <w:trPr>
          <w:trHeight w:val="315"/>
        </w:trPr>
        <w:tc>
          <w:tcPr>
            <w:tcW w:w="856" w:type="dxa"/>
            <w:tcBorders>
              <w:top w:val="single" w:sz="4" w:space="0" w:color="000001"/>
              <w:left w:val="single" w:sz="4" w:space="0" w:color="000001"/>
              <w:bottom w:val="single" w:sz="4" w:space="0" w:color="000001"/>
              <w:right w:val="single" w:sz="4" w:space="0" w:color="000001"/>
            </w:tcBorders>
            <w:shd w:val="clear" w:color="auto" w:fill="FFFFFF"/>
            <w:tcMar>
              <w:left w:w="-5" w:type="dxa"/>
            </w:tcMar>
          </w:tcPr>
          <w:p w:rsidR="008F0D85" w:rsidRDefault="00AE42A1">
            <w:pPr>
              <w:spacing w:after="0" w:line="240" w:lineRule="auto"/>
              <w:jc w:val="center"/>
              <w:rPr>
                <w:rFonts w:cs="Calibri"/>
                <w:b/>
                <w:color w:val="000000"/>
                <w:sz w:val="20"/>
                <w:szCs w:val="20"/>
                <w:lang w:eastAsia="hr-HR"/>
              </w:rPr>
            </w:pPr>
            <w:r>
              <w:rPr>
                <w:rFonts w:cs="Calibri"/>
                <w:b/>
                <w:color w:val="000000"/>
                <w:sz w:val="20"/>
                <w:szCs w:val="20"/>
                <w:lang w:eastAsia="hr-HR"/>
              </w:rPr>
              <w:t>Br. osoba</w:t>
            </w:r>
          </w:p>
        </w:tc>
        <w:tc>
          <w:tcPr>
            <w:tcW w:w="873"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color w:val="000000"/>
                <w:sz w:val="20"/>
                <w:szCs w:val="20"/>
                <w:lang w:eastAsia="hr-HR"/>
              </w:rPr>
            </w:pPr>
            <w:r>
              <w:rPr>
                <w:rFonts w:cs="Calibri"/>
                <w:color w:val="000000"/>
                <w:sz w:val="20"/>
                <w:szCs w:val="20"/>
                <w:lang w:eastAsia="hr-HR"/>
              </w:rPr>
              <w:t>3.262</w:t>
            </w:r>
          </w:p>
        </w:tc>
        <w:tc>
          <w:tcPr>
            <w:tcW w:w="645"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236</w:t>
            </w:r>
          </w:p>
        </w:tc>
        <w:tc>
          <w:tcPr>
            <w:tcW w:w="540"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462</w:t>
            </w:r>
          </w:p>
        </w:tc>
        <w:tc>
          <w:tcPr>
            <w:tcW w:w="542"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519</w:t>
            </w:r>
          </w:p>
        </w:tc>
        <w:tc>
          <w:tcPr>
            <w:tcW w:w="533"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764</w:t>
            </w:r>
          </w:p>
        </w:tc>
        <w:tc>
          <w:tcPr>
            <w:tcW w:w="532"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585</w:t>
            </w:r>
          </w:p>
        </w:tc>
        <w:tc>
          <w:tcPr>
            <w:tcW w:w="531"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342</w:t>
            </w:r>
          </w:p>
        </w:tc>
        <w:tc>
          <w:tcPr>
            <w:tcW w:w="522"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154</w:t>
            </w:r>
          </w:p>
        </w:tc>
        <w:tc>
          <w:tcPr>
            <w:tcW w:w="522"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144</w:t>
            </w:r>
          </w:p>
        </w:tc>
        <w:tc>
          <w:tcPr>
            <w:tcW w:w="473"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36</w:t>
            </w:r>
          </w:p>
        </w:tc>
        <w:tc>
          <w:tcPr>
            <w:tcW w:w="505"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20</w:t>
            </w:r>
          </w:p>
        </w:tc>
        <w:tc>
          <w:tcPr>
            <w:tcW w:w="722" w:type="dxa"/>
            <w:tcBorders>
              <w:top w:val="single" w:sz="4" w:space="0" w:color="000001"/>
              <w:left w:val="single" w:sz="4" w:space="0" w:color="000001"/>
              <w:bottom w:val="single" w:sz="4" w:space="0" w:color="000001"/>
              <w:right w:val="single" w:sz="4"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w:t>
            </w:r>
          </w:p>
        </w:tc>
        <w:tc>
          <w:tcPr>
            <w:tcW w:w="1265" w:type="dxa"/>
            <w:tcBorders>
              <w:top w:val="single" w:sz="4" w:space="0" w:color="000001"/>
              <w:left w:val="single" w:sz="4" w:space="0" w:color="000001"/>
              <w:bottom w:val="single" w:sz="4" w:space="0" w:color="000001"/>
              <w:right w:val="single" w:sz="8" w:space="0" w:color="000001"/>
            </w:tcBorders>
            <w:shd w:val="clear" w:color="auto" w:fill="FFFFFF"/>
            <w:tcMar>
              <w:top w:w="15" w:type="dxa"/>
              <w:left w:w="88" w:type="dxa"/>
              <w:bottom w:w="15" w:type="dxa"/>
              <w:right w:w="10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w:t>
            </w:r>
          </w:p>
        </w:tc>
      </w:tr>
    </w:tbl>
    <w:p w:rsidR="008F0D85" w:rsidRDefault="00AE42A1">
      <w:pPr>
        <w:jc w:val="center"/>
        <w:rPr>
          <w:sz w:val="20"/>
          <w:szCs w:val="20"/>
        </w:rPr>
      </w:pPr>
      <w:bookmarkStart w:id="98" w:name="_Hlk507494809"/>
      <w:bookmarkStart w:id="99" w:name="_Hlk497125004"/>
      <w:bookmarkStart w:id="100" w:name="_Hlk4971249601"/>
      <w:bookmarkEnd w:id="98"/>
      <w:bookmarkEnd w:id="99"/>
      <w:bookmarkEnd w:id="100"/>
      <w:r>
        <w:rPr>
          <w:sz w:val="20"/>
          <w:szCs w:val="20"/>
        </w:rPr>
        <w:t>Izvor: Državni zavod za statistiku, Popis stanovništva 2011. godine</w:t>
      </w:r>
    </w:p>
    <w:p w:rsidR="008F0D85" w:rsidRDefault="008F0D85">
      <w:pPr>
        <w:rPr>
          <w:rFonts w:cs="Calibri"/>
          <w:szCs w:val="24"/>
        </w:rPr>
      </w:pPr>
    </w:p>
    <w:p w:rsidR="008F0D85" w:rsidRDefault="00AE42A1">
      <w:pPr>
        <w:pStyle w:val="Naslov3"/>
      </w:pPr>
      <w:bookmarkStart w:id="101" w:name="_Toc512434571"/>
      <w:bookmarkStart w:id="102" w:name="_Toc514240126"/>
      <w:bookmarkStart w:id="103" w:name="_Toc516128229"/>
      <w:bookmarkStart w:id="104" w:name="_Toc527969339"/>
      <w:bookmarkEnd w:id="101"/>
      <w:bookmarkEnd w:id="102"/>
      <w:bookmarkEnd w:id="103"/>
      <w:bookmarkEnd w:id="104"/>
      <w:r>
        <w:t>2.8.5. Privatna kućanstva prema tipu i broju članova</w:t>
      </w:r>
    </w:p>
    <w:p w:rsidR="008F0D85" w:rsidRDefault="008F0D85">
      <w:pPr>
        <w:rPr>
          <w:rFonts w:cs="Calibri"/>
          <w:szCs w:val="24"/>
        </w:rPr>
      </w:pPr>
    </w:p>
    <w:p w:rsidR="008F0D85" w:rsidRDefault="00AE42A1">
      <w:bookmarkStart w:id="105" w:name="_Hlk507495882"/>
      <w:bookmarkEnd w:id="105"/>
      <w:r>
        <w:t>Najviše privatnih kućanstava nalazi se u naselju Kloštar Podravski koje naseljava 46,34% ukupnog stanovništva Općine. Na području Općine od neobiteljskih kućanstva najzastupljenija su samačka neobiteljska kućanstva, dok su od obiteljskih kućanstava najzast</w:t>
      </w:r>
      <w:r>
        <w:t xml:space="preserve">upljenija dvočlana obiteljska kućanstva. </w:t>
      </w:r>
    </w:p>
    <w:p w:rsidR="008F0D85" w:rsidRDefault="00AE42A1">
      <w:pPr>
        <w:spacing w:after="0" w:line="360" w:lineRule="auto"/>
        <w:jc w:val="center"/>
        <w:rPr>
          <w:rFonts w:cs="Arial"/>
          <w:b/>
          <w:bCs/>
          <w:sz w:val="20"/>
          <w:szCs w:val="20"/>
        </w:rPr>
      </w:pPr>
      <w:bookmarkStart w:id="106" w:name="_Toc512434703"/>
      <w:bookmarkStart w:id="107" w:name="_Toc514240297"/>
      <w:bookmarkStart w:id="108" w:name="_Toc516128378"/>
      <w:bookmarkStart w:id="109" w:name="_Toc527969491"/>
      <w:r>
        <w:rPr>
          <w:rFonts w:cs="Arial"/>
          <w:b/>
          <w:bCs/>
          <w:sz w:val="20"/>
          <w:szCs w:val="20"/>
        </w:rPr>
        <w:t xml:space="preserve">Tablica </w:t>
      </w:r>
      <w:r>
        <w:rPr>
          <w:rFonts w:cs="Arial"/>
          <w:b/>
          <w:bCs/>
          <w:sz w:val="20"/>
          <w:szCs w:val="20"/>
        </w:rPr>
        <w:fldChar w:fldCharType="begin"/>
      </w:r>
      <w:r>
        <w:instrText>SEQ Tablica \* ARABIC</w:instrText>
      </w:r>
      <w:r>
        <w:fldChar w:fldCharType="separate"/>
      </w:r>
      <w:r>
        <w:t>9</w:t>
      </w:r>
      <w:r>
        <w:fldChar w:fldCharType="end"/>
      </w:r>
      <w:bookmarkEnd w:id="106"/>
      <w:bookmarkEnd w:id="107"/>
      <w:bookmarkEnd w:id="108"/>
      <w:bookmarkEnd w:id="109"/>
      <w:r>
        <w:rPr>
          <w:rFonts w:cs="Arial"/>
          <w:b/>
          <w:bCs/>
          <w:sz w:val="20"/>
          <w:szCs w:val="20"/>
        </w:rPr>
        <w:t>: Prikaz privatnih kućanstva prema tipu i broju članova</w:t>
      </w:r>
    </w:p>
    <w:tbl>
      <w:tblPr>
        <w:tblW w:w="9244" w:type="dxa"/>
        <w:tblBorders>
          <w:top w:val="single" w:sz="8" w:space="0" w:color="000001"/>
          <w:left w:val="single" w:sz="4" w:space="0" w:color="000001"/>
          <w:bottom w:val="single" w:sz="4" w:space="0" w:color="000001"/>
          <w:right w:val="single" w:sz="4" w:space="0" w:color="000001"/>
          <w:insideH w:val="single" w:sz="4" w:space="0" w:color="000001"/>
          <w:insideV w:val="single" w:sz="4" w:space="0" w:color="000001"/>
        </w:tblBorders>
        <w:tblCellMar>
          <w:top w:w="15" w:type="dxa"/>
          <w:left w:w="88" w:type="dxa"/>
          <w:bottom w:w="15" w:type="dxa"/>
        </w:tblCellMar>
        <w:tblLook w:val="0000" w:firstRow="0" w:lastRow="0" w:firstColumn="0" w:lastColumn="0" w:noHBand="0" w:noVBand="0"/>
      </w:tblPr>
      <w:tblGrid>
        <w:gridCol w:w="874"/>
        <w:gridCol w:w="685"/>
        <w:gridCol w:w="521"/>
        <w:gridCol w:w="524"/>
        <w:gridCol w:w="522"/>
        <w:gridCol w:w="521"/>
        <w:gridCol w:w="438"/>
        <w:gridCol w:w="439"/>
        <w:gridCol w:w="417"/>
        <w:gridCol w:w="402"/>
        <w:gridCol w:w="469"/>
        <w:gridCol w:w="632"/>
        <w:gridCol w:w="11"/>
        <w:gridCol w:w="692"/>
        <w:gridCol w:w="1052"/>
        <w:gridCol w:w="1045"/>
      </w:tblGrid>
      <w:tr w:rsidR="008F0D85">
        <w:trPr>
          <w:trHeight w:val="270"/>
        </w:trPr>
        <w:tc>
          <w:tcPr>
            <w:tcW w:w="9244" w:type="dxa"/>
            <w:gridSpan w:val="16"/>
            <w:tcBorders>
              <w:top w:val="single" w:sz="8"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Privatna kućanstva</w:t>
            </w:r>
          </w:p>
        </w:tc>
      </w:tr>
      <w:tr w:rsidR="008F0D85">
        <w:trPr>
          <w:trHeight w:val="270"/>
        </w:trPr>
        <w:tc>
          <w:tcPr>
            <w:tcW w:w="874"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pPr>
            <w:r>
              <w:rPr>
                <w:rFonts w:cs="Calibri"/>
                <w:b/>
                <w:bCs/>
                <w:sz w:val="20"/>
                <w:szCs w:val="20"/>
                <w:lang w:eastAsia="hr-HR"/>
              </w:rPr>
              <w:t>Ukupno</w:t>
            </w:r>
          </w:p>
        </w:tc>
        <w:tc>
          <w:tcPr>
            <w:tcW w:w="5570" w:type="dxa"/>
            <w:gridSpan w:val="11"/>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Obiteljska kućanstva prema broju članova</w:t>
            </w:r>
          </w:p>
        </w:tc>
        <w:tc>
          <w:tcPr>
            <w:tcW w:w="2800"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Neobiteljska kućanstva</w:t>
            </w:r>
          </w:p>
        </w:tc>
      </w:tr>
      <w:tr w:rsidR="008F0D85">
        <w:trPr>
          <w:trHeight w:val="615"/>
        </w:trPr>
        <w:tc>
          <w:tcPr>
            <w:tcW w:w="874"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jc w:val="center"/>
              <w:rPr>
                <w:rFonts w:cs="Calibri"/>
                <w:b/>
                <w:bCs/>
                <w:color w:val="FFFFFF"/>
                <w:sz w:val="20"/>
                <w:szCs w:val="20"/>
                <w:lang w:eastAsia="hr-HR"/>
              </w:rPr>
            </w:pPr>
          </w:p>
        </w:tc>
        <w:tc>
          <w:tcPr>
            <w:tcW w:w="68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svega</w:t>
            </w:r>
          </w:p>
        </w:tc>
        <w:tc>
          <w:tcPr>
            <w:tcW w:w="52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2</w:t>
            </w:r>
          </w:p>
        </w:tc>
        <w:tc>
          <w:tcPr>
            <w:tcW w:w="52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3</w:t>
            </w:r>
          </w:p>
        </w:tc>
        <w:tc>
          <w:tcPr>
            <w:tcW w:w="52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4</w:t>
            </w:r>
          </w:p>
        </w:tc>
        <w:tc>
          <w:tcPr>
            <w:tcW w:w="52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5</w:t>
            </w:r>
          </w:p>
        </w:tc>
        <w:tc>
          <w:tcPr>
            <w:tcW w:w="43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6</w:t>
            </w:r>
          </w:p>
        </w:tc>
        <w:tc>
          <w:tcPr>
            <w:tcW w:w="43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7</w:t>
            </w:r>
          </w:p>
        </w:tc>
        <w:tc>
          <w:tcPr>
            <w:tcW w:w="41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8</w:t>
            </w:r>
          </w:p>
        </w:tc>
        <w:tc>
          <w:tcPr>
            <w:tcW w:w="40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9</w:t>
            </w:r>
          </w:p>
        </w:tc>
        <w:tc>
          <w:tcPr>
            <w:tcW w:w="46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10</w:t>
            </w:r>
          </w:p>
        </w:tc>
        <w:tc>
          <w:tcPr>
            <w:tcW w:w="643" w:type="dxa"/>
            <w:gridSpan w:val="2"/>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 xml:space="preserve">11 i </w:t>
            </w:r>
            <w:r>
              <w:rPr>
                <w:rFonts w:cs="Calibri"/>
                <w:b/>
                <w:bCs/>
                <w:sz w:val="20"/>
                <w:szCs w:val="20"/>
                <w:lang w:eastAsia="hr-HR"/>
              </w:rPr>
              <w:t>više</w:t>
            </w:r>
          </w:p>
        </w:tc>
        <w:tc>
          <w:tcPr>
            <w:tcW w:w="69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svega</w:t>
            </w:r>
          </w:p>
        </w:tc>
        <w:tc>
          <w:tcPr>
            <w:tcW w:w="105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samačka kućanstva</w:t>
            </w:r>
          </w:p>
        </w:tc>
        <w:tc>
          <w:tcPr>
            <w:tcW w:w="1045" w:type="dxa"/>
            <w:tcBorders>
              <w:top w:val="single" w:sz="4" w:space="0" w:color="000001"/>
              <w:left w:val="single" w:sz="4" w:space="0" w:color="000001"/>
              <w:bottom w:val="single" w:sz="4" w:space="0" w:color="000001"/>
              <w:right w:val="single" w:sz="8" w:space="0" w:color="000001"/>
            </w:tcBorders>
            <w:shd w:val="clear" w:color="auto" w:fill="F2F2F2"/>
            <w:tcMar>
              <w:left w:w="88" w:type="dxa"/>
            </w:tcMar>
            <w:vAlign w:val="center"/>
          </w:tcPr>
          <w:p w:rsidR="008F0D85" w:rsidRDefault="00AE42A1">
            <w:pPr>
              <w:spacing w:after="0" w:line="240" w:lineRule="auto"/>
              <w:jc w:val="center"/>
              <w:rPr>
                <w:rFonts w:cs="Calibri"/>
                <w:b/>
                <w:bCs/>
                <w:sz w:val="20"/>
                <w:szCs w:val="20"/>
                <w:lang w:eastAsia="hr-HR"/>
              </w:rPr>
            </w:pPr>
            <w:r>
              <w:rPr>
                <w:rFonts w:cs="Calibri"/>
                <w:b/>
                <w:bCs/>
                <w:sz w:val="20"/>
                <w:szCs w:val="20"/>
                <w:lang w:eastAsia="hr-HR"/>
              </w:rPr>
              <w:t>višečlana kućanstva</w:t>
            </w:r>
          </w:p>
        </w:tc>
      </w:tr>
      <w:tr w:rsidR="008F0D85">
        <w:trPr>
          <w:trHeight w:val="315"/>
        </w:trPr>
        <w:tc>
          <w:tcPr>
            <w:tcW w:w="874"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bottom"/>
          </w:tcPr>
          <w:p w:rsidR="008F0D85" w:rsidRDefault="00AE42A1">
            <w:pPr>
              <w:spacing w:after="0" w:line="240" w:lineRule="auto"/>
              <w:jc w:val="center"/>
              <w:rPr>
                <w:rFonts w:cs="Calibri"/>
                <w:color w:val="000000"/>
                <w:sz w:val="20"/>
                <w:szCs w:val="20"/>
                <w:lang w:eastAsia="hr-HR"/>
              </w:rPr>
            </w:pPr>
            <w:r>
              <w:rPr>
                <w:rFonts w:cs="Calibri"/>
                <w:color w:val="000000"/>
                <w:sz w:val="20"/>
                <w:szCs w:val="20"/>
                <w:lang w:eastAsia="hr-HR"/>
              </w:rPr>
              <w:t>1.051</w:t>
            </w:r>
          </w:p>
        </w:tc>
        <w:tc>
          <w:tcPr>
            <w:tcW w:w="685"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795</w:t>
            </w:r>
          </w:p>
        </w:tc>
        <w:tc>
          <w:tcPr>
            <w:tcW w:w="521"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213</w:t>
            </w:r>
          </w:p>
        </w:tc>
        <w:tc>
          <w:tcPr>
            <w:tcW w:w="524"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171</w:t>
            </w:r>
          </w:p>
        </w:tc>
        <w:tc>
          <w:tcPr>
            <w:tcW w:w="522"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191</w:t>
            </w:r>
          </w:p>
        </w:tc>
        <w:tc>
          <w:tcPr>
            <w:tcW w:w="521"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117</w:t>
            </w:r>
          </w:p>
        </w:tc>
        <w:tc>
          <w:tcPr>
            <w:tcW w:w="438"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57</w:t>
            </w:r>
          </w:p>
        </w:tc>
        <w:tc>
          <w:tcPr>
            <w:tcW w:w="439"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22</w:t>
            </w:r>
          </w:p>
        </w:tc>
        <w:tc>
          <w:tcPr>
            <w:tcW w:w="417"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18</w:t>
            </w:r>
          </w:p>
        </w:tc>
        <w:tc>
          <w:tcPr>
            <w:tcW w:w="402"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4</w:t>
            </w:r>
          </w:p>
        </w:tc>
        <w:tc>
          <w:tcPr>
            <w:tcW w:w="469"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2</w:t>
            </w:r>
          </w:p>
        </w:tc>
        <w:tc>
          <w:tcPr>
            <w:tcW w:w="643" w:type="dxa"/>
            <w:gridSpan w:val="2"/>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w:t>
            </w:r>
          </w:p>
        </w:tc>
        <w:tc>
          <w:tcPr>
            <w:tcW w:w="692"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256</w:t>
            </w:r>
          </w:p>
        </w:tc>
        <w:tc>
          <w:tcPr>
            <w:tcW w:w="1052" w:type="dxa"/>
            <w:tcBorders>
              <w:top w:val="single" w:sz="4" w:space="0" w:color="000001"/>
              <w:left w:val="single" w:sz="4" w:space="0" w:color="000001"/>
              <w:bottom w:val="single" w:sz="4" w:space="0" w:color="000001"/>
              <w:right w:val="single" w:sz="4" w:space="0" w:color="000001"/>
            </w:tcBorders>
            <w:shd w:val="clear" w:color="auto" w:fill="FFFFFF"/>
            <w:tcMar>
              <w:left w:w="8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236</w:t>
            </w:r>
          </w:p>
        </w:tc>
        <w:tc>
          <w:tcPr>
            <w:tcW w:w="1045" w:type="dxa"/>
            <w:tcBorders>
              <w:top w:val="single" w:sz="4" w:space="0" w:color="000001"/>
              <w:left w:val="single" w:sz="4" w:space="0" w:color="000001"/>
              <w:bottom w:val="single" w:sz="4" w:space="0" w:color="000001"/>
              <w:right w:val="single" w:sz="8" w:space="0" w:color="000001"/>
            </w:tcBorders>
            <w:shd w:val="clear" w:color="auto" w:fill="FFFFFF"/>
            <w:tcMar>
              <w:left w:w="88" w:type="dxa"/>
            </w:tcMar>
            <w:vAlign w:val="bottom"/>
          </w:tcPr>
          <w:p w:rsidR="008F0D85" w:rsidRDefault="00AE42A1">
            <w:pPr>
              <w:spacing w:after="0" w:line="240" w:lineRule="auto"/>
              <w:jc w:val="center"/>
              <w:rPr>
                <w:rFonts w:cs="Calibri"/>
                <w:sz w:val="20"/>
                <w:szCs w:val="20"/>
                <w:lang w:eastAsia="hr-HR"/>
              </w:rPr>
            </w:pPr>
            <w:r>
              <w:rPr>
                <w:rFonts w:cs="Calibri"/>
                <w:sz w:val="20"/>
                <w:szCs w:val="20"/>
                <w:lang w:eastAsia="hr-HR"/>
              </w:rPr>
              <w:t>20</w:t>
            </w:r>
          </w:p>
        </w:tc>
      </w:tr>
    </w:tbl>
    <w:p w:rsidR="008F0D85" w:rsidRDefault="00AE42A1">
      <w:pPr>
        <w:jc w:val="center"/>
        <w:rPr>
          <w:sz w:val="20"/>
          <w:szCs w:val="20"/>
        </w:rPr>
      </w:pPr>
      <w:bookmarkStart w:id="110" w:name="_Hlk497125403"/>
      <w:bookmarkStart w:id="111" w:name="_Hlk507495898"/>
      <w:bookmarkEnd w:id="110"/>
      <w:bookmarkEnd w:id="111"/>
      <w:r>
        <w:rPr>
          <w:sz w:val="20"/>
          <w:szCs w:val="20"/>
        </w:rPr>
        <w:t>Izvor: Državni zavod za statistiku, Popis stanovništva 2011. godine</w:t>
      </w:r>
    </w:p>
    <w:p w:rsidR="008F0D85" w:rsidRDefault="008F0D85">
      <w:pPr>
        <w:jc w:val="center"/>
        <w:rPr>
          <w:sz w:val="20"/>
          <w:szCs w:val="20"/>
        </w:rPr>
      </w:pPr>
    </w:p>
    <w:p w:rsidR="008F0D85" w:rsidRDefault="00AE42A1">
      <w:pPr>
        <w:pStyle w:val="Naslov3"/>
      </w:pPr>
      <w:bookmarkStart w:id="112" w:name="_Toc512434572"/>
      <w:bookmarkStart w:id="113" w:name="_Toc514240127"/>
      <w:bookmarkStart w:id="114" w:name="_Toc516128230"/>
      <w:bookmarkStart w:id="115" w:name="_Toc527969340"/>
      <w:bookmarkStart w:id="116" w:name="_Hlk5074958981"/>
      <w:bookmarkEnd w:id="112"/>
      <w:bookmarkEnd w:id="113"/>
      <w:bookmarkEnd w:id="114"/>
      <w:bookmarkEnd w:id="115"/>
      <w:bookmarkEnd w:id="116"/>
      <w:r>
        <w:t>2.8.6. Broj, vrsta (namjena) i starost građevina na području Općine</w:t>
      </w:r>
    </w:p>
    <w:p w:rsidR="008F0D85" w:rsidRDefault="008F0D85">
      <w:pPr>
        <w:rPr>
          <w:rFonts w:cs="Calibri"/>
          <w:szCs w:val="24"/>
        </w:rPr>
      </w:pPr>
    </w:p>
    <w:p w:rsidR="008F0D85" w:rsidRDefault="00AE42A1">
      <w:pPr>
        <w:rPr>
          <w:rFonts w:cs="Calibri"/>
          <w:b/>
          <w:szCs w:val="24"/>
        </w:rPr>
      </w:pPr>
      <w:r>
        <w:rPr>
          <w:rFonts w:cs="Calibri"/>
          <w:szCs w:val="24"/>
        </w:rPr>
        <w:t>Sustavni podaci za broj zgrada u pojedinoj kategoriji za sada ne postoje pa je proračun proveden uz procij</w:t>
      </w:r>
      <w:r>
        <w:rPr>
          <w:rFonts w:cs="Calibri"/>
          <w:szCs w:val="24"/>
        </w:rPr>
        <w:t>enjene veličine na osnovu podataka iz Prostornog plana uređenja Općine Kloštar Podravski</w:t>
      </w:r>
      <w:r>
        <w:rPr>
          <w:rFonts w:cs="Calibri"/>
          <w:b/>
          <w:szCs w:val="24"/>
        </w:rPr>
        <w:t>.</w:t>
      </w:r>
    </w:p>
    <w:p w:rsidR="008F0D85" w:rsidRDefault="00AE42A1">
      <w:pPr>
        <w:spacing w:after="0"/>
      </w:pPr>
      <w:r>
        <w:rPr>
          <w:b/>
        </w:rPr>
        <w:t>I</w:t>
      </w:r>
      <w:r>
        <w:t xml:space="preserve"> – zidane zgrade (zgrade zidane do 1940. godine), što znači da su objekti građeni uglavnom od cigle vezane žbukom te sa stropovima od drvenih greda i nešto armiranobetonskih, ali bez horizontalnih i vertikalnih serklaža,</w:t>
      </w:r>
    </w:p>
    <w:p w:rsidR="008F0D85" w:rsidRDefault="00AE42A1">
      <w:pPr>
        <w:spacing w:after="0"/>
      </w:pPr>
      <w:r>
        <w:rPr>
          <w:b/>
        </w:rPr>
        <w:t>II</w:t>
      </w:r>
      <w:r>
        <w:t xml:space="preserve"> – zidane zgrade s armiranobetons</w:t>
      </w:r>
      <w:r>
        <w:t>kim serklažima (od 1945-tih godina do 1960-tih godina),</w:t>
      </w:r>
    </w:p>
    <w:p w:rsidR="008F0D85" w:rsidRDefault="00AE42A1">
      <w:pPr>
        <w:spacing w:after="0"/>
      </w:pPr>
      <w:r>
        <w:rPr>
          <w:b/>
        </w:rPr>
        <w:t>III</w:t>
      </w:r>
      <w:r>
        <w:t xml:space="preserve"> – armiranobetonske skeletne zgrade (od 1960-tih godina do danas),</w:t>
      </w:r>
    </w:p>
    <w:p w:rsidR="008F0D85" w:rsidRDefault="00AE42A1">
      <w:pPr>
        <w:spacing w:after="0"/>
      </w:pPr>
      <w:r>
        <w:rPr>
          <w:b/>
        </w:rPr>
        <w:t>IV</w:t>
      </w:r>
      <w:r>
        <w:t xml:space="preserve"> – zgrade sa sustavom armiranobetonskih nosivih zidova (od 1960-tih godina do danas),</w:t>
      </w:r>
    </w:p>
    <w:p w:rsidR="008F0D85" w:rsidRDefault="008F0D85">
      <w:pPr>
        <w:spacing w:after="0"/>
      </w:pPr>
    </w:p>
    <w:p w:rsidR="008F0D85" w:rsidRDefault="00AE42A1">
      <w:pPr>
        <w:rPr>
          <w:rFonts w:cs="Arial"/>
          <w:szCs w:val="24"/>
        </w:rPr>
      </w:pPr>
      <w:r>
        <w:rPr>
          <w:rFonts w:cs="Arial"/>
          <w:szCs w:val="24"/>
        </w:rPr>
        <w:t>Analizom iz Prostornog Plana kartografa s</w:t>
      </w:r>
      <w:r>
        <w:rPr>
          <w:rFonts w:cs="Arial"/>
          <w:szCs w:val="24"/>
        </w:rPr>
        <w:t xml:space="preserve"> tipovima gradnje odredilo se koliko približno objekata spada u određenu kategoriju (I do V) po vremenu gradnje i došlo se do sljedećih najbližih aproksimacija :</w:t>
      </w:r>
    </w:p>
    <w:p w:rsidR="008F0D85" w:rsidRDefault="00AE42A1">
      <w:pPr>
        <w:pStyle w:val="Odlomakpopisa"/>
        <w:numPr>
          <w:ilvl w:val="0"/>
          <w:numId w:val="10"/>
        </w:numPr>
        <w:spacing w:after="160"/>
        <w:jc w:val="both"/>
        <w:rPr>
          <w:rFonts w:cs="Arial"/>
          <w:sz w:val="24"/>
          <w:szCs w:val="24"/>
        </w:rPr>
      </w:pPr>
      <w:r>
        <w:rPr>
          <w:rFonts w:cs="Arial"/>
          <w:sz w:val="24"/>
          <w:szCs w:val="24"/>
        </w:rPr>
        <w:t>40 % zidane zgrade Tip I</w:t>
      </w:r>
    </w:p>
    <w:p w:rsidR="008F0D85" w:rsidRDefault="00AE42A1">
      <w:pPr>
        <w:pStyle w:val="Odlomakpopisa"/>
        <w:numPr>
          <w:ilvl w:val="0"/>
          <w:numId w:val="10"/>
        </w:numPr>
        <w:spacing w:after="160"/>
        <w:jc w:val="both"/>
        <w:rPr>
          <w:rFonts w:cs="Arial"/>
          <w:sz w:val="24"/>
          <w:szCs w:val="24"/>
        </w:rPr>
      </w:pPr>
      <w:r>
        <w:rPr>
          <w:rFonts w:cs="Arial"/>
          <w:sz w:val="24"/>
          <w:szCs w:val="24"/>
        </w:rPr>
        <w:t xml:space="preserve">40% zidane zgrade s armirano betonskim serklažima Tip II (od </w:t>
      </w:r>
      <w:r>
        <w:rPr>
          <w:rFonts w:cs="Arial"/>
          <w:sz w:val="24"/>
          <w:szCs w:val="24"/>
        </w:rPr>
        <w:t>1945-tih godina do 1960-tih godina)</w:t>
      </w:r>
    </w:p>
    <w:p w:rsidR="008F0D85" w:rsidRDefault="00AE42A1">
      <w:pPr>
        <w:pStyle w:val="Odlomakpopisa"/>
        <w:numPr>
          <w:ilvl w:val="0"/>
          <w:numId w:val="10"/>
        </w:numPr>
        <w:spacing w:after="160"/>
        <w:jc w:val="both"/>
        <w:rPr>
          <w:rFonts w:cs="Arial"/>
          <w:sz w:val="24"/>
          <w:szCs w:val="24"/>
        </w:rPr>
      </w:pPr>
      <w:r>
        <w:rPr>
          <w:rFonts w:cs="Arial"/>
          <w:sz w:val="24"/>
          <w:szCs w:val="24"/>
        </w:rPr>
        <w:t>10% armiranobetonske skeletne zgrade Tip III (od 1960-tih godina do danas)</w:t>
      </w:r>
    </w:p>
    <w:p w:rsidR="008F0D85" w:rsidRDefault="00AE42A1">
      <w:pPr>
        <w:pStyle w:val="Odlomakpopisa"/>
        <w:numPr>
          <w:ilvl w:val="0"/>
          <w:numId w:val="10"/>
        </w:numPr>
        <w:spacing w:after="160"/>
        <w:jc w:val="both"/>
        <w:rPr>
          <w:rFonts w:cs="Arial"/>
          <w:sz w:val="24"/>
          <w:szCs w:val="24"/>
        </w:rPr>
      </w:pPr>
      <w:r>
        <w:rPr>
          <w:rFonts w:cs="Arial"/>
          <w:sz w:val="24"/>
          <w:szCs w:val="24"/>
        </w:rPr>
        <w:t>5% zgrade sa sustavom armiranobetonskih nosivih zidova Tip IV (od 1960-tih godina do danas)</w:t>
      </w:r>
    </w:p>
    <w:p w:rsidR="008F0D85" w:rsidRDefault="00AE42A1">
      <w:pPr>
        <w:pStyle w:val="Odlomakpopisa"/>
        <w:numPr>
          <w:ilvl w:val="0"/>
          <w:numId w:val="10"/>
        </w:numPr>
        <w:spacing w:after="160"/>
        <w:jc w:val="both"/>
        <w:rPr>
          <w:rFonts w:cs="Arial"/>
          <w:sz w:val="24"/>
          <w:szCs w:val="24"/>
        </w:rPr>
      </w:pPr>
      <w:r>
        <w:rPr>
          <w:rFonts w:cs="Arial"/>
          <w:sz w:val="24"/>
          <w:szCs w:val="24"/>
        </w:rPr>
        <w:t>5% skeletne zgrade s armiranobetonskim nosivim zidovi</w:t>
      </w:r>
      <w:r>
        <w:rPr>
          <w:rFonts w:cs="Arial"/>
          <w:sz w:val="24"/>
          <w:szCs w:val="24"/>
        </w:rPr>
        <w:t>ma Tip V (od 1960-tih godina do danas)</w:t>
      </w:r>
    </w:p>
    <w:p w:rsidR="008F0D85" w:rsidRDefault="008F0D85">
      <w:pPr>
        <w:spacing w:after="160"/>
        <w:rPr>
          <w:rFonts w:cs="Arial"/>
          <w:szCs w:val="24"/>
        </w:rPr>
      </w:pPr>
    </w:p>
    <w:p w:rsidR="008F0D85" w:rsidRDefault="00AE42A1">
      <w:pPr>
        <w:spacing w:after="0"/>
      </w:pPr>
      <w:r>
        <w:t xml:space="preserve">PROBLEMATIČNE SU: </w:t>
      </w:r>
    </w:p>
    <w:p w:rsidR="008F0D85" w:rsidRDefault="00AE42A1">
      <w:pPr>
        <w:numPr>
          <w:ilvl w:val="0"/>
          <w:numId w:val="1"/>
        </w:numPr>
        <w:spacing w:after="0"/>
        <w:contextualSpacing/>
        <w:rPr>
          <w:szCs w:val="24"/>
          <w:lang w:val="en-US"/>
        </w:rPr>
      </w:pPr>
      <w:r>
        <w:rPr>
          <w:szCs w:val="24"/>
          <w:lang w:val="en-US"/>
        </w:rPr>
        <w:t>zgrade izgrađene prije razdoblja protupotresnog građenja</w:t>
      </w:r>
    </w:p>
    <w:p w:rsidR="008F0D85" w:rsidRDefault="00AE42A1">
      <w:pPr>
        <w:numPr>
          <w:ilvl w:val="0"/>
          <w:numId w:val="1"/>
        </w:numPr>
        <w:spacing w:after="0"/>
        <w:contextualSpacing/>
        <w:rPr>
          <w:szCs w:val="24"/>
          <w:lang w:val="en-US"/>
        </w:rPr>
      </w:pPr>
      <w:r>
        <w:rPr>
          <w:szCs w:val="24"/>
          <w:lang w:val="en-US"/>
        </w:rPr>
        <w:t>obiteljske kuće izgrađene bez kontrole</w:t>
      </w:r>
    </w:p>
    <w:p w:rsidR="008F0D85" w:rsidRDefault="00AE42A1">
      <w:pPr>
        <w:numPr>
          <w:ilvl w:val="0"/>
          <w:numId w:val="1"/>
        </w:numPr>
        <w:spacing w:after="0"/>
        <w:contextualSpacing/>
        <w:rPr>
          <w:szCs w:val="24"/>
          <w:lang w:val="en-US"/>
        </w:rPr>
      </w:pPr>
      <w:r>
        <w:rPr>
          <w:szCs w:val="24"/>
          <w:lang w:val="en-US"/>
        </w:rPr>
        <w:t xml:space="preserve">zgrade u kojima je izvršena adaptacija s izmjenama u konstrukciji, a bez detaljnih provjera </w:t>
      </w:r>
    </w:p>
    <w:p w:rsidR="008F0D85" w:rsidRDefault="008F0D85">
      <w:pPr>
        <w:spacing w:after="0"/>
      </w:pPr>
    </w:p>
    <w:p w:rsidR="008F0D85" w:rsidRDefault="00AE42A1">
      <w:pPr>
        <w:spacing w:after="0"/>
      </w:pPr>
      <w:r>
        <w:t>Najugro</w:t>
      </w:r>
      <w:r>
        <w:t xml:space="preserve">ženija područja u situaciji potresa su u  naseljima gdje je najveća gustoća naseljenosti i najveći broj stanovnika. </w:t>
      </w:r>
    </w:p>
    <w:p w:rsidR="008F0D85" w:rsidRDefault="008F0D85">
      <w:pPr>
        <w:spacing w:after="160"/>
        <w:rPr>
          <w:rFonts w:cs="Arial"/>
          <w:szCs w:val="24"/>
        </w:rPr>
      </w:pPr>
    </w:p>
    <w:p w:rsidR="008F0D85" w:rsidRDefault="008F0D85">
      <w:pPr>
        <w:spacing w:after="160"/>
        <w:rPr>
          <w:rFonts w:cs="Arial"/>
          <w:szCs w:val="24"/>
        </w:rPr>
      </w:pPr>
    </w:p>
    <w:p w:rsidR="008F0D85" w:rsidRDefault="008F0D85">
      <w:pPr>
        <w:spacing w:after="160"/>
        <w:rPr>
          <w:rFonts w:cs="Arial"/>
          <w:szCs w:val="24"/>
        </w:rPr>
      </w:pPr>
    </w:p>
    <w:p w:rsidR="008F0D85" w:rsidRDefault="008F0D85">
      <w:pPr>
        <w:spacing w:after="160"/>
        <w:rPr>
          <w:rFonts w:cs="Arial"/>
          <w:szCs w:val="24"/>
        </w:rPr>
      </w:pPr>
    </w:p>
    <w:p w:rsidR="008F0D85" w:rsidRDefault="008F0D85">
      <w:pPr>
        <w:spacing w:after="160"/>
        <w:rPr>
          <w:rFonts w:cs="Arial"/>
          <w:szCs w:val="24"/>
        </w:rPr>
      </w:pPr>
    </w:p>
    <w:p w:rsidR="008F0D85" w:rsidRDefault="008F0D85">
      <w:pPr>
        <w:spacing w:after="160"/>
        <w:rPr>
          <w:rFonts w:cs="Arial"/>
          <w:szCs w:val="24"/>
        </w:rPr>
      </w:pPr>
    </w:p>
    <w:p w:rsidR="008F0D85" w:rsidRDefault="008F0D85">
      <w:pPr>
        <w:spacing w:after="160"/>
        <w:rPr>
          <w:rFonts w:cs="Arial"/>
          <w:szCs w:val="24"/>
        </w:rPr>
      </w:pPr>
    </w:p>
    <w:p w:rsidR="008F0D85" w:rsidRDefault="008F0D85">
      <w:pPr>
        <w:spacing w:after="160"/>
        <w:rPr>
          <w:rFonts w:cs="Arial"/>
          <w:szCs w:val="24"/>
        </w:rPr>
      </w:pPr>
    </w:p>
    <w:p w:rsidR="008F0D85" w:rsidRDefault="00AE42A1">
      <w:pPr>
        <w:numPr>
          <w:ilvl w:val="0"/>
          <w:numId w:val="6"/>
        </w:numPr>
        <w:contextualSpacing/>
        <w:jc w:val="left"/>
        <w:rPr>
          <w:rFonts w:cs="Calibri"/>
          <w:b/>
          <w:sz w:val="22"/>
          <w:szCs w:val="24"/>
          <w:lang w:val="en-US"/>
        </w:rPr>
      </w:pPr>
      <w:r>
        <w:rPr>
          <w:rFonts w:cs="Calibri"/>
          <w:b/>
          <w:sz w:val="22"/>
          <w:szCs w:val="24"/>
          <w:lang w:val="en-US"/>
        </w:rPr>
        <w:t>Objekti na području Općine u kojima se okuplja veći broj ljudi</w:t>
      </w:r>
    </w:p>
    <w:p w:rsidR="008F0D85" w:rsidRDefault="008F0D85">
      <w:pPr>
        <w:spacing w:after="160"/>
        <w:jc w:val="center"/>
        <w:rPr>
          <w:rFonts w:cs="Arial"/>
          <w:szCs w:val="24"/>
        </w:rPr>
      </w:pPr>
    </w:p>
    <w:p w:rsidR="008F0D85" w:rsidRDefault="00AE42A1">
      <w:pPr>
        <w:pStyle w:val="Opisslike"/>
        <w:jc w:val="center"/>
        <w:rPr>
          <w:szCs w:val="24"/>
        </w:rPr>
      </w:pPr>
      <w:bookmarkStart w:id="117" w:name="_Toc514240298"/>
      <w:bookmarkStart w:id="118" w:name="_Toc516128379"/>
      <w:bookmarkStart w:id="119" w:name="_Toc527969492"/>
      <w:r>
        <w:t xml:space="preserve">Tablica </w:t>
      </w:r>
      <w:r>
        <w:fldChar w:fldCharType="begin"/>
      </w:r>
      <w:r>
        <w:instrText>SEQ Tablica \* ARABIC</w:instrText>
      </w:r>
      <w:r>
        <w:fldChar w:fldCharType="separate"/>
      </w:r>
      <w:r>
        <w:t>10</w:t>
      </w:r>
      <w:r>
        <w:fldChar w:fldCharType="end"/>
      </w:r>
      <w:bookmarkEnd w:id="117"/>
      <w:bookmarkEnd w:id="118"/>
      <w:bookmarkEnd w:id="119"/>
      <w:r>
        <w:t xml:space="preserve">: Prikaz objekata na </w:t>
      </w:r>
      <w:r>
        <w:t>području Općine u kojima može biti ugrožen veći broj ljudi</w:t>
      </w:r>
    </w:p>
    <w:tbl>
      <w:tblPr>
        <w:tblW w:w="7038"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1E0" w:firstRow="1" w:lastRow="1" w:firstColumn="1" w:lastColumn="1" w:noHBand="0" w:noVBand="0"/>
      </w:tblPr>
      <w:tblGrid>
        <w:gridCol w:w="4703"/>
        <w:gridCol w:w="2335"/>
      </w:tblGrid>
      <w:tr w:rsidR="008F0D85">
        <w:trPr>
          <w:trHeight w:val="456"/>
          <w:jc w:val="center"/>
        </w:trPr>
        <w:tc>
          <w:tcPr>
            <w:tcW w:w="470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vAlign w:val="center"/>
          </w:tcPr>
          <w:p w:rsidR="008F0D85" w:rsidRDefault="00AE42A1">
            <w:pPr>
              <w:spacing w:after="0" w:line="240" w:lineRule="auto"/>
              <w:jc w:val="center"/>
              <w:rPr>
                <w:rFonts w:cs="Calibri"/>
                <w:b/>
                <w:sz w:val="20"/>
                <w:szCs w:val="20"/>
              </w:rPr>
            </w:pPr>
            <w:r>
              <w:rPr>
                <w:rFonts w:cs="Calibri"/>
                <w:b/>
                <w:sz w:val="20"/>
                <w:szCs w:val="20"/>
              </w:rPr>
              <w:t>Naziv objekta</w:t>
            </w:r>
          </w:p>
        </w:tc>
        <w:tc>
          <w:tcPr>
            <w:tcW w:w="233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vAlign w:val="center"/>
          </w:tcPr>
          <w:p w:rsidR="008F0D85" w:rsidRDefault="00AE42A1">
            <w:pPr>
              <w:spacing w:after="0" w:line="240" w:lineRule="auto"/>
              <w:jc w:val="center"/>
              <w:rPr>
                <w:rFonts w:cs="Calibri"/>
                <w:b/>
                <w:sz w:val="20"/>
                <w:szCs w:val="20"/>
              </w:rPr>
            </w:pPr>
            <w:r>
              <w:rPr>
                <w:rFonts w:cs="Calibri"/>
                <w:b/>
                <w:sz w:val="20"/>
                <w:szCs w:val="20"/>
              </w:rPr>
              <w:t>Procjena broja ugroženih osoba</w:t>
            </w:r>
          </w:p>
        </w:tc>
      </w:tr>
      <w:tr w:rsidR="008F0D85">
        <w:trPr>
          <w:trHeight w:val="317"/>
          <w:jc w:val="center"/>
        </w:trPr>
        <w:tc>
          <w:tcPr>
            <w:tcW w:w="4702"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rPr>
                <w:rFonts w:cs="Calibri"/>
                <w:sz w:val="20"/>
                <w:szCs w:val="20"/>
              </w:rPr>
            </w:pPr>
            <w:r>
              <w:rPr>
                <w:rFonts w:cs="Calibri"/>
                <w:sz w:val="20"/>
                <w:szCs w:val="20"/>
              </w:rPr>
              <w:t>Župna crkva i župni dvor Kloštar Podravski</w:t>
            </w:r>
          </w:p>
        </w:tc>
        <w:tc>
          <w:tcPr>
            <w:tcW w:w="2335"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jc w:val="center"/>
              <w:rPr>
                <w:rFonts w:cs="Calibri"/>
                <w:sz w:val="20"/>
                <w:szCs w:val="20"/>
              </w:rPr>
            </w:pPr>
            <w:r>
              <w:rPr>
                <w:rFonts w:cs="Calibri"/>
                <w:sz w:val="20"/>
                <w:szCs w:val="20"/>
              </w:rPr>
              <w:t>40</w:t>
            </w:r>
          </w:p>
        </w:tc>
      </w:tr>
      <w:tr w:rsidR="008F0D85">
        <w:trPr>
          <w:trHeight w:val="265"/>
          <w:jc w:val="center"/>
        </w:trPr>
        <w:tc>
          <w:tcPr>
            <w:tcW w:w="4702"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rPr>
                <w:rFonts w:cs="Calibri"/>
                <w:sz w:val="20"/>
                <w:szCs w:val="20"/>
              </w:rPr>
            </w:pPr>
            <w:r>
              <w:rPr>
                <w:rFonts w:cs="Calibri"/>
                <w:sz w:val="20"/>
                <w:szCs w:val="20"/>
              </w:rPr>
              <w:t>Društveni dom Kloštar Podravski</w:t>
            </w:r>
          </w:p>
        </w:tc>
        <w:tc>
          <w:tcPr>
            <w:tcW w:w="2335"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jc w:val="center"/>
              <w:rPr>
                <w:rFonts w:cs="Calibri"/>
                <w:sz w:val="20"/>
                <w:szCs w:val="20"/>
              </w:rPr>
            </w:pPr>
            <w:r>
              <w:rPr>
                <w:rFonts w:cs="Calibri"/>
                <w:sz w:val="20"/>
                <w:szCs w:val="20"/>
              </w:rPr>
              <w:t>250</w:t>
            </w:r>
          </w:p>
        </w:tc>
      </w:tr>
      <w:tr w:rsidR="008F0D85">
        <w:trPr>
          <w:trHeight w:val="282"/>
          <w:jc w:val="center"/>
        </w:trPr>
        <w:tc>
          <w:tcPr>
            <w:tcW w:w="4702"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rPr>
                <w:rFonts w:cs="Calibri"/>
                <w:sz w:val="20"/>
                <w:szCs w:val="20"/>
              </w:rPr>
            </w:pPr>
            <w:r>
              <w:rPr>
                <w:rFonts w:cs="Calibri"/>
                <w:sz w:val="20"/>
                <w:szCs w:val="20"/>
              </w:rPr>
              <w:t>Društveni dom Oderjan</w:t>
            </w:r>
          </w:p>
        </w:tc>
        <w:tc>
          <w:tcPr>
            <w:tcW w:w="2335"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jc w:val="center"/>
              <w:rPr>
                <w:rFonts w:cs="Calibri"/>
                <w:sz w:val="20"/>
                <w:szCs w:val="20"/>
              </w:rPr>
            </w:pPr>
            <w:r>
              <w:rPr>
                <w:rFonts w:cs="Calibri"/>
                <w:sz w:val="20"/>
                <w:szCs w:val="20"/>
              </w:rPr>
              <w:t>70</w:t>
            </w:r>
          </w:p>
        </w:tc>
      </w:tr>
      <w:tr w:rsidR="008F0D85">
        <w:trPr>
          <w:trHeight w:val="273"/>
          <w:jc w:val="center"/>
        </w:trPr>
        <w:tc>
          <w:tcPr>
            <w:tcW w:w="4702"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rPr>
                <w:rFonts w:cs="Calibri"/>
                <w:sz w:val="20"/>
                <w:szCs w:val="20"/>
              </w:rPr>
            </w:pPr>
            <w:r>
              <w:rPr>
                <w:rFonts w:cs="Calibri"/>
                <w:sz w:val="20"/>
                <w:szCs w:val="20"/>
              </w:rPr>
              <w:t>Osnovna škola Kloštar Podravski</w:t>
            </w:r>
          </w:p>
        </w:tc>
        <w:tc>
          <w:tcPr>
            <w:tcW w:w="2335"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jc w:val="center"/>
              <w:rPr>
                <w:rFonts w:cs="Calibri"/>
                <w:sz w:val="20"/>
                <w:szCs w:val="20"/>
              </w:rPr>
            </w:pPr>
            <w:r>
              <w:rPr>
                <w:rFonts w:cs="Calibri"/>
                <w:sz w:val="20"/>
                <w:szCs w:val="20"/>
              </w:rPr>
              <w:t>450</w:t>
            </w:r>
          </w:p>
        </w:tc>
      </w:tr>
      <w:tr w:rsidR="008F0D85">
        <w:trPr>
          <w:trHeight w:val="270"/>
          <w:jc w:val="center"/>
        </w:trPr>
        <w:tc>
          <w:tcPr>
            <w:tcW w:w="4702"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rPr>
                <w:rFonts w:cs="Calibri"/>
                <w:sz w:val="20"/>
                <w:szCs w:val="20"/>
              </w:rPr>
            </w:pPr>
            <w:r>
              <w:rPr>
                <w:rFonts w:cs="Calibri"/>
                <w:sz w:val="20"/>
                <w:szCs w:val="20"/>
              </w:rPr>
              <w:t>Društveni dom Budančevica</w:t>
            </w:r>
          </w:p>
        </w:tc>
        <w:tc>
          <w:tcPr>
            <w:tcW w:w="2335"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jc w:val="center"/>
              <w:rPr>
                <w:rFonts w:cs="Calibri"/>
                <w:sz w:val="20"/>
                <w:szCs w:val="20"/>
              </w:rPr>
            </w:pPr>
            <w:r>
              <w:rPr>
                <w:rFonts w:cs="Calibri"/>
                <w:sz w:val="20"/>
                <w:szCs w:val="20"/>
              </w:rPr>
              <w:t>100</w:t>
            </w:r>
          </w:p>
        </w:tc>
      </w:tr>
      <w:tr w:rsidR="008F0D85">
        <w:trPr>
          <w:trHeight w:val="270"/>
          <w:jc w:val="center"/>
        </w:trPr>
        <w:tc>
          <w:tcPr>
            <w:tcW w:w="4702"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rPr>
                <w:rFonts w:cs="Calibri"/>
                <w:sz w:val="20"/>
                <w:szCs w:val="20"/>
              </w:rPr>
            </w:pPr>
            <w:r>
              <w:rPr>
                <w:rFonts w:cs="Calibri"/>
                <w:sz w:val="20"/>
                <w:szCs w:val="20"/>
              </w:rPr>
              <w:t>Društveni dom Kozarevac</w:t>
            </w:r>
          </w:p>
        </w:tc>
        <w:tc>
          <w:tcPr>
            <w:tcW w:w="2335"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jc w:val="center"/>
              <w:rPr>
                <w:rFonts w:cs="Calibri"/>
                <w:sz w:val="20"/>
                <w:szCs w:val="20"/>
              </w:rPr>
            </w:pPr>
            <w:r>
              <w:rPr>
                <w:rFonts w:cs="Calibri"/>
                <w:sz w:val="20"/>
                <w:szCs w:val="20"/>
              </w:rPr>
              <w:t>200</w:t>
            </w:r>
          </w:p>
        </w:tc>
      </w:tr>
      <w:tr w:rsidR="008F0D85">
        <w:trPr>
          <w:trHeight w:val="270"/>
          <w:jc w:val="center"/>
        </w:trPr>
        <w:tc>
          <w:tcPr>
            <w:tcW w:w="4702"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rPr>
                <w:rFonts w:cs="Calibri"/>
                <w:sz w:val="20"/>
                <w:szCs w:val="20"/>
              </w:rPr>
            </w:pPr>
            <w:r>
              <w:rPr>
                <w:rFonts w:cs="Calibri"/>
                <w:sz w:val="20"/>
                <w:szCs w:val="20"/>
              </w:rPr>
              <w:t>Lovački dom Kozarevac</w:t>
            </w:r>
          </w:p>
        </w:tc>
        <w:tc>
          <w:tcPr>
            <w:tcW w:w="2335"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jc w:val="center"/>
              <w:rPr>
                <w:rFonts w:cs="Calibri"/>
                <w:sz w:val="20"/>
                <w:szCs w:val="20"/>
              </w:rPr>
            </w:pPr>
            <w:r>
              <w:rPr>
                <w:rFonts w:cs="Calibri"/>
                <w:sz w:val="20"/>
                <w:szCs w:val="20"/>
              </w:rPr>
              <w:t>100</w:t>
            </w:r>
          </w:p>
        </w:tc>
      </w:tr>
      <w:tr w:rsidR="008F0D85">
        <w:trPr>
          <w:trHeight w:val="270"/>
          <w:jc w:val="center"/>
        </w:trPr>
        <w:tc>
          <w:tcPr>
            <w:tcW w:w="4702"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rPr>
                <w:rFonts w:cs="Calibri"/>
                <w:sz w:val="20"/>
                <w:szCs w:val="20"/>
              </w:rPr>
            </w:pPr>
            <w:r>
              <w:rPr>
                <w:rFonts w:cs="Calibri"/>
                <w:sz w:val="20"/>
                <w:szCs w:val="20"/>
              </w:rPr>
              <w:t>Područna škola Kozarevac</w:t>
            </w:r>
          </w:p>
        </w:tc>
        <w:tc>
          <w:tcPr>
            <w:tcW w:w="2335"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jc w:val="center"/>
              <w:rPr>
                <w:rFonts w:cs="Calibri"/>
                <w:sz w:val="20"/>
                <w:szCs w:val="20"/>
              </w:rPr>
            </w:pPr>
            <w:r>
              <w:rPr>
                <w:rFonts w:cs="Calibri"/>
                <w:sz w:val="20"/>
                <w:szCs w:val="20"/>
              </w:rPr>
              <w:t>20</w:t>
            </w:r>
          </w:p>
        </w:tc>
      </w:tr>
      <w:tr w:rsidR="008F0D85">
        <w:trPr>
          <w:trHeight w:val="270"/>
          <w:jc w:val="center"/>
        </w:trPr>
        <w:tc>
          <w:tcPr>
            <w:tcW w:w="4702"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rPr>
                <w:rFonts w:cs="Calibri"/>
                <w:sz w:val="20"/>
                <w:szCs w:val="20"/>
              </w:rPr>
            </w:pPr>
            <w:r>
              <w:rPr>
                <w:rFonts w:cs="Calibri"/>
                <w:sz w:val="20"/>
                <w:szCs w:val="20"/>
              </w:rPr>
              <w:t>Društveni dom Prugovac</w:t>
            </w:r>
          </w:p>
        </w:tc>
        <w:tc>
          <w:tcPr>
            <w:tcW w:w="2335"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jc w:val="center"/>
              <w:rPr>
                <w:rFonts w:cs="Calibri"/>
                <w:sz w:val="20"/>
                <w:szCs w:val="20"/>
              </w:rPr>
            </w:pPr>
            <w:r>
              <w:rPr>
                <w:rFonts w:cs="Calibri"/>
                <w:sz w:val="20"/>
                <w:szCs w:val="20"/>
              </w:rPr>
              <w:t>200</w:t>
            </w:r>
          </w:p>
        </w:tc>
      </w:tr>
      <w:tr w:rsidR="008F0D85">
        <w:trPr>
          <w:trHeight w:val="270"/>
          <w:jc w:val="center"/>
        </w:trPr>
        <w:tc>
          <w:tcPr>
            <w:tcW w:w="4702"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rPr>
                <w:rFonts w:cs="Calibri"/>
                <w:sz w:val="20"/>
                <w:szCs w:val="20"/>
              </w:rPr>
            </w:pPr>
            <w:r>
              <w:rPr>
                <w:rFonts w:cs="Calibri"/>
                <w:sz w:val="20"/>
                <w:szCs w:val="20"/>
              </w:rPr>
              <w:t>Područna škola Prugovac</w:t>
            </w:r>
          </w:p>
        </w:tc>
        <w:tc>
          <w:tcPr>
            <w:tcW w:w="2335" w:type="dxa"/>
            <w:tcBorders>
              <w:top w:val="single" w:sz="4" w:space="0" w:color="00000A"/>
              <w:left w:val="single" w:sz="4" w:space="0" w:color="00000A"/>
              <w:bottom w:val="single" w:sz="4" w:space="0" w:color="00000A"/>
              <w:right w:val="single" w:sz="4" w:space="0" w:color="00000A"/>
            </w:tcBorders>
            <w:shd w:val="clear" w:color="auto" w:fill="auto"/>
            <w:tcMar>
              <w:left w:w="93" w:type="dxa"/>
            </w:tcMar>
            <w:vAlign w:val="center"/>
          </w:tcPr>
          <w:p w:rsidR="008F0D85" w:rsidRDefault="00AE42A1">
            <w:pPr>
              <w:spacing w:after="0" w:line="240" w:lineRule="auto"/>
              <w:jc w:val="center"/>
              <w:rPr>
                <w:rFonts w:cs="Calibri"/>
                <w:sz w:val="20"/>
                <w:szCs w:val="20"/>
              </w:rPr>
            </w:pPr>
            <w:r>
              <w:rPr>
                <w:rFonts w:cs="Calibri"/>
                <w:sz w:val="20"/>
                <w:szCs w:val="20"/>
              </w:rPr>
              <w:t>20</w:t>
            </w:r>
          </w:p>
        </w:tc>
      </w:tr>
    </w:tbl>
    <w:p w:rsidR="008F0D85" w:rsidRDefault="008F0D85">
      <w:pPr>
        <w:rPr>
          <w:rFonts w:cs="Calibri"/>
          <w:szCs w:val="24"/>
        </w:rPr>
      </w:pPr>
    </w:p>
    <w:p w:rsidR="008F0D85" w:rsidRDefault="00AE42A1">
      <w:pPr>
        <w:numPr>
          <w:ilvl w:val="0"/>
          <w:numId w:val="6"/>
        </w:numPr>
        <w:contextualSpacing/>
        <w:rPr>
          <w:rFonts w:cs="Calibri"/>
          <w:b/>
          <w:szCs w:val="24"/>
          <w:lang w:val="en-US"/>
        </w:rPr>
      </w:pPr>
      <w:r>
        <w:rPr>
          <w:rFonts w:cs="Calibri"/>
          <w:b/>
          <w:szCs w:val="24"/>
          <w:lang w:val="en-US"/>
        </w:rPr>
        <w:t>Skloništa s kapacitetima i drugi objekti za sklanjanje</w:t>
      </w:r>
    </w:p>
    <w:p w:rsidR="008F0D85" w:rsidRDefault="008F0D85">
      <w:pPr>
        <w:contextualSpacing/>
        <w:rPr>
          <w:rFonts w:cs="Calibri"/>
          <w:b/>
          <w:szCs w:val="24"/>
          <w:lang w:val="en-US"/>
        </w:rPr>
      </w:pPr>
    </w:p>
    <w:p w:rsidR="008F0D85" w:rsidRDefault="00AE42A1">
      <w:r>
        <w:t xml:space="preserve">Na području Općine nema </w:t>
      </w:r>
      <w:r>
        <w:t>namjenskih skloništa osnovne niti pojačane zaštite, ali su u manjem broju individualnih stambenih i poslovnih objekata izgrađenih u posljednjih 30 godina (sukladno važećim zakonskim propisima) izgrađeni objekti individualne zaštite. Kao površine za evakuac</w:t>
      </w:r>
      <w:r>
        <w:t>iju, a ovisno o vrsti potrebnog sklanjanja, predviđaju se uređene zelene površine i prostori sportskih igrališta.</w:t>
      </w:r>
    </w:p>
    <w:p w:rsidR="008F0D85" w:rsidRDefault="008F0D85">
      <w:pPr>
        <w:spacing w:after="0"/>
        <w:rPr>
          <w:rFonts w:cs="Calibri"/>
          <w:szCs w:val="24"/>
        </w:rPr>
      </w:pPr>
    </w:p>
    <w:p w:rsidR="008F0D85" w:rsidRDefault="00AE42A1">
      <w:pPr>
        <w:numPr>
          <w:ilvl w:val="0"/>
          <w:numId w:val="6"/>
        </w:numPr>
        <w:contextualSpacing/>
        <w:jc w:val="left"/>
        <w:rPr>
          <w:b/>
          <w:szCs w:val="24"/>
          <w:lang w:val="en-US"/>
        </w:rPr>
      </w:pPr>
      <w:r>
        <w:rPr>
          <w:b/>
          <w:szCs w:val="24"/>
          <w:lang w:val="en-US"/>
        </w:rPr>
        <w:t>Kapaciteti za zbrinjavanje (smještaj i priprema hrane)</w:t>
      </w:r>
    </w:p>
    <w:p w:rsidR="008F0D85" w:rsidRDefault="008F0D85">
      <w:pPr>
        <w:ind w:left="720"/>
        <w:contextualSpacing/>
        <w:jc w:val="left"/>
        <w:rPr>
          <w:b/>
          <w:szCs w:val="24"/>
          <w:lang w:val="en-US"/>
        </w:rPr>
      </w:pPr>
    </w:p>
    <w:p w:rsidR="008F0D85" w:rsidRDefault="00AE42A1">
      <w:pPr>
        <w:spacing w:after="0"/>
        <w:rPr>
          <w:szCs w:val="24"/>
        </w:rPr>
      </w:pPr>
      <w:r>
        <w:rPr>
          <w:szCs w:val="24"/>
        </w:rPr>
        <w:t>Zbrinjavanje je moguće provesti u školama, Društvenim i vatrogasnim domovima, ugostit</w:t>
      </w:r>
      <w:r>
        <w:rPr>
          <w:szCs w:val="24"/>
        </w:rPr>
        <w:t>eljskim objektima, lovačkim domovima i vikendicama. U navedenim objektima moguća je i priprema hrane, jer su uglavnom opremljeni kuhinjama.</w:t>
      </w:r>
    </w:p>
    <w:p w:rsidR="008F0D85" w:rsidRDefault="008F0D85">
      <w:pPr>
        <w:spacing w:after="0"/>
        <w:rPr>
          <w:rFonts w:cs="Calibri"/>
          <w:szCs w:val="24"/>
        </w:rPr>
      </w:pPr>
    </w:p>
    <w:p w:rsidR="008F0D85" w:rsidRDefault="00AE42A1">
      <w:pPr>
        <w:pStyle w:val="Opisslike"/>
        <w:jc w:val="center"/>
        <w:rPr>
          <w:rFonts w:cs="Calibri"/>
          <w:szCs w:val="24"/>
        </w:rPr>
      </w:pPr>
      <w:bookmarkStart w:id="120" w:name="_Toc516128380"/>
      <w:bookmarkStart w:id="121" w:name="_Toc527969493"/>
      <w:r>
        <w:t xml:space="preserve">Tablica </w:t>
      </w:r>
      <w:r>
        <w:fldChar w:fldCharType="begin"/>
      </w:r>
      <w:r>
        <w:instrText>SEQ Tablica \* ARABIC</w:instrText>
      </w:r>
      <w:r>
        <w:fldChar w:fldCharType="separate"/>
      </w:r>
      <w:r>
        <w:t>11</w:t>
      </w:r>
      <w:r>
        <w:fldChar w:fldCharType="end"/>
      </w:r>
      <w:bookmarkEnd w:id="120"/>
      <w:bookmarkEnd w:id="121"/>
      <w:r>
        <w:t>: Prikaz kapaciteta za zbrinjavanje na području Općine</w:t>
      </w:r>
    </w:p>
    <w:tbl>
      <w:tblPr>
        <w:tblW w:w="906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5521"/>
        <w:gridCol w:w="1986"/>
        <w:gridCol w:w="1554"/>
      </w:tblGrid>
      <w:tr w:rsidR="008F0D85">
        <w:tc>
          <w:tcPr>
            <w:tcW w:w="5521"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lastRenderedPageBreak/>
              <w:t>Objekt</w:t>
            </w:r>
          </w:p>
        </w:tc>
        <w:tc>
          <w:tcPr>
            <w:tcW w:w="198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Kapacitet</w:t>
            </w:r>
          </w:p>
        </w:tc>
        <w:tc>
          <w:tcPr>
            <w:tcW w:w="1554"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Kuhinja</w:t>
            </w:r>
          </w:p>
        </w:tc>
      </w:tr>
      <w:tr w:rsidR="008F0D85">
        <w:tc>
          <w:tcPr>
            <w:tcW w:w="552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left"/>
              <w:rPr>
                <w:sz w:val="20"/>
                <w:szCs w:val="20"/>
              </w:rPr>
            </w:pPr>
            <w:r>
              <w:rPr>
                <w:sz w:val="20"/>
                <w:szCs w:val="20"/>
              </w:rPr>
              <w:t>Društveni dom Budančevica</w:t>
            </w:r>
          </w:p>
        </w:tc>
        <w:tc>
          <w:tcPr>
            <w:tcW w:w="198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100</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DA</w:t>
            </w:r>
          </w:p>
        </w:tc>
      </w:tr>
      <w:tr w:rsidR="008F0D85">
        <w:tc>
          <w:tcPr>
            <w:tcW w:w="552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left"/>
              <w:rPr>
                <w:sz w:val="20"/>
                <w:szCs w:val="20"/>
              </w:rPr>
            </w:pPr>
            <w:r>
              <w:rPr>
                <w:sz w:val="20"/>
                <w:szCs w:val="20"/>
              </w:rPr>
              <w:t>Društveni dom Kloštar Podravski</w:t>
            </w:r>
          </w:p>
        </w:tc>
        <w:tc>
          <w:tcPr>
            <w:tcW w:w="198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250</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DA</w:t>
            </w:r>
          </w:p>
        </w:tc>
      </w:tr>
      <w:tr w:rsidR="008F0D85">
        <w:tc>
          <w:tcPr>
            <w:tcW w:w="552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left"/>
              <w:rPr>
                <w:sz w:val="20"/>
                <w:szCs w:val="20"/>
              </w:rPr>
            </w:pPr>
            <w:r>
              <w:rPr>
                <w:sz w:val="20"/>
                <w:szCs w:val="20"/>
              </w:rPr>
              <w:t>Društveni dom Prugovac</w:t>
            </w:r>
          </w:p>
        </w:tc>
        <w:tc>
          <w:tcPr>
            <w:tcW w:w="198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200</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DA</w:t>
            </w:r>
          </w:p>
        </w:tc>
      </w:tr>
      <w:tr w:rsidR="008F0D85">
        <w:tc>
          <w:tcPr>
            <w:tcW w:w="552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left"/>
              <w:rPr>
                <w:sz w:val="20"/>
                <w:szCs w:val="20"/>
              </w:rPr>
            </w:pPr>
            <w:r>
              <w:rPr>
                <w:sz w:val="20"/>
                <w:szCs w:val="20"/>
              </w:rPr>
              <w:t>Društveni dom Kozarevac</w:t>
            </w:r>
          </w:p>
        </w:tc>
        <w:tc>
          <w:tcPr>
            <w:tcW w:w="198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200</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DA</w:t>
            </w:r>
          </w:p>
        </w:tc>
      </w:tr>
      <w:tr w:rsidR="008F0D85">
        <w:tc>
          <w:tcPr>
            <w:tcW w:w="552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left"/>
              <w:rPr>
                <w:sz w:val="20"/>
                <w:szCs w:val="20"/>
              </w:rPr>
            </w:pPr>
            <w:r>
              <w:rPr>
                <w:sz w:val="20"/>
                <w:szCs w:val="20"/>
              </w:rPr>
              <w:t xml:space="preserve">Društveni dom Oderjan Kloštar Podravski </w:t>
            </w:r>
          </w:p>
        </w:tc>
        <w:tc>
          <w:tcPr>
            <w:tcW w:w="198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70</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DA</w:t>
            </w:r>
          </w:p>
        </w:tc>
      </w:tr>
      <w:tr w:rsidR="008F0D85">
        <w:tc>
          <w:tcPr>
            <w:tcW w:w="552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left"/>
              <w:rPr>
                <w:sz w:val="20"/>
                <w:szCs w:val="20"/>
              </w:rPr>
            </w:pPr>
            <w:r>
              <w:rPr>
                <w:sz w:val="20"/>
                <w:szCs w:val="20"/>
              </w:rPr>
              <w:t>Lovački dom Kozarevac</w:t>
            </w:r>
          </w:p>
        </w:tc>
        <w:tc>
          <w:tcPr>
            <w:tcW w:w="198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100</w:t>
            </w:r>
          </w:p>
        </w:tc>
        <w:tc>
          <w:tcPr>
            <w:tcW w:w="155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DA</w:t>
            </w:r>
          </w:p>
        </w:tc>
      </w:tr>
    </w:tbl>
    <w:p w:rsidR="008F0D85" w:rsidRDefault="008F0D85">
      <w:pPr>
        <w:rPr>
          <w:rFonts w:cs="Calibri"/>
          <w:szCs w:val="24"/>
        </w:rPr>
      </w:pPr>
    </w:p>
    <w:p w:rsidR="008F0D85" w:rsidRDefault="008F0D85">
      <w:pPr>
        <w:rPr>
          <w:rFonts w:cs="Calibri"/>
          <w:szCs w:val="24"/>
        </w:rPr>
      </w:pPr>
    </w:p>
    <w:p w:rsidR="008F0D85" w:rsidRDefault="00AE42A1">
      <w:pPr>
        <w:pStyle w:val="Naslov2"/>
      </w:pPr>
      <w:bookmarkStart w:id="122" w:name="_Toc512434573"/>
      <w:bookmarkStart w:id="123" w:name="_Toc514240128"/>
      <w:bookmarkStart w:id="124" w:name="_Toc516128231"/>
      <w:bookmarkStart w:id="125" w:name="_Toc527969341"/>
      <w:bookmarkEnd w:id="122"/>
      <w:bookmarkEnd w:id="123"/>
      <w:bookmarkEnd w:id="124"/>
      <w:bookmarkEnd w:id="125"/>
      <w:r>
        <w:t xml:space="preserve">2.9. Ekonomsko – </w:t>
      </w:r>
      <w:r>
        <w:t>gospodarski pokazatelji na području Općine</w:t>
      </w:r>
    </w:p>
    <w:p w:rsidR="008F0D85" w:rsidRDefault="008F0D85"/>
    <w:p w:rsidR="008F0D85" w:rsidRDefault="00AE42A1">
      <w:pPr>
        <w:rPr>
          <w:rFonts w:cs="Calibri"/>
          <w:szCs w:val="24"/>
        </w:rPr>
      </w:pPr>
      <w:r>
        <w:rPr>
          <w:rFonts w:cs="Calibri"/>
          <w:szCs w:val="24"/>
        </w:rPr>
        <w:t>S obzirom na to da na području Općine prevladava zaposlenost u primarnom sektoru ovo je izrazito poljoprivredni kraj. Najmanji je udio zaposlenih u sekundarnom (proizvodnom) sektoru. Ukupno je 366 dnevnih i tjedn</w:t>
      </w:r>
      <w:r>
        <w:rPr>
          <w:rFonts w:cs="Calibri"/>
          <w:szCs w:val="24"/>
        </w:rPr>
        <w:t>ih migranata koji ne rade na području Općine.</w:t>
      </w:r>
    </w:p>
    <w:p w:rsidR="008F0D85" w:rsidRDefault="00AE42A1">
      <w:pPr>
        <w:pStyle w:val="Naslov3"/>
      </w:pPr>
      <w:bookmarkStart w:id="126" w:name="_Toc512434574"/>
      <w:bookmarkStart w:id="127" w:name="_Toc514240129"/>
      <w:bookmarkStart w:id="128" w:name="_Toc516128232"/>
      <w:bookmarkStart w:id="129" w:name="_Toc527969342"/>
      <w:bookmarkEnd w:id="126"/>
      <w:bookmarkEnd w:id="127"/>
      <w:bookmarkEnd w:id="128"/>
      <w:bookmarkEnd w:id="129"/>
      <w:r>
        <w:t>2.9.1. Broj zaposlenih i mjesta zaposlenja</w:t>
      </w:r>
    </w:p>
    <w:p w:rsidR="008F0D85" w:rsidRDefault="008F0D85"/>
    <w:p w:rsidR="008F0D85" w:rsidRDefault="00AE42A1">
      <w:pPr>
        <w:rPr>
          <w:szCs w:val="24"/>
        </w:rPr>
      </w:pPr>
      <w:r>
        <w:rPr>
          <w:szCs w:val="24"/>
        </w:rPr>
        <w:t>S obzirom na podatke dostupne Popisom stanovništva 2011.god., na području Općine u stalnom radnom odnosu bilo je 411 stanovnika, točnije 18,78% ukupnog broja stanovnika Općine.  Prihode od mirovina ostvarilo je ukupno 569 stanovnika, odnosno 25,99% ukupnog</w:t>
      </w:r>
      <w:r>
        <w:rPr>
          <w:szCs w:val="24"/>
        </w:rPr>
        <w:t xml:space="preserve"> broja stanovnika, dok je 754 stanovnika, točnije 34,45% ukupnog broja stanovnika bilo bez prihoda. </w:t>
      </w:r>
    </w:p>
    <w:p w:rsidR="008F0D85" w:rsidRDefault="00AE42A1">
      <w:pPr>
        <w:spacing w:after="0" w:line="360" w:lineRule="auto"/>
        <w:jc w:val="center"/>
        <w:rPr>
          <w:rFonts w:cs="Arial"/>
          <w:b/>
          <w:bCs/>
          <w:sz w:val="20"/>
          <w:szCs w:val="24"/>
        </w:rPr>
      </w:pPr>
      <w:bookmarkStart w:id="130" w:name="_Toc512434705"/>
      <w:bookmarkStart w:id="131" w:name="_Toc514240299"/>
      <w:bookmarkStart w:id="132" w:name="_Toc516128381"/>
      <w:bookmarkStart w:id="133" w:name="_Toc527969494"/>
      <w:r>
        <w:rPr>
          <w:rFonts w:cs="Arial"/>
          <w:b/>
          <w:bCs/>
          <w:sz w:val="20"/>
          <w:szCs w:val="20"/>
        </w:rPr>
        <w:t xml:space="preserve">Tablica </w:t>
      </w:r>
      <w:r>
        <w:rPr>
          <w:rFonts w:cs="Arial"/>
          <w:b/>
          <w:bCs/>
          <w:sz w:val="20"/>
          <w:szCs w:val="20"/>
        </w:rPr>
        <w:fldChar w:fldCharType="begin"/>
      </w:r>
      <w:r>
        <w:instrText>SEQ Tablica \* ARABIC</w:instrText>
      </w:r>
      <w:r>
        <w:fldChar w:fldCharType="separate"/>
      </w:r>
      <w:r>
        <w:t>12</w:t>
      </w:r>
      <w:r>
        <w:fldChar w:fldCharType="end"/>
      </w:r>
      <w:bookmarkEnd w:id="130"/>
      <w:bookmarkEnd w:id="131"/>
      <w:bookmarkEnd w:id="132"/>
      <w:bookmarkEnd w:id="133"/>
      <w:r>
        <w:rPr>
          <w:rFonts w:cs="Arial"/>
          <w:b/>
          <w:bCs/>
          <w:sz w:val="20"/>
          <w:szCs w:val="20"/>
        </w:rPr>
        <w:t>: Prikaz raspodjele stanovnika Općine prema izvoru sredstva za život</w:t>
      </w:r>
    </w:p>
    <w:tbl>
      <w:tblPr>
        <w:tblW w:w="4390" w:type="dxa"/>
        <w:tblInd w:w="2334"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2690"/>
        <w:gridCol w:w="1700"/>
      </w:tblGrid>
      <w:tr w:rsidR="008F0D85">
        <w:tc>
          <w:tcPr>
            <w:tcW w:w="268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left"/>
              <w:rPr>
                <w:b/>
                <w:sz w:val="20"/>
                <w:szCs w:val="20"/>
              </w:rPr>
            </w:pPr>
            <w:r>
              <w:rPr>
                <w:b/>
                <w:sz w:val="20"/>
                <w:szCs w:val="20"/>
              </w:rPr>
              <w:t>UKUPNO:</w:t>
            </w:r>
          </w:p>
        </w:tc>
        <w:tc>
          <w:tcPr>
            <w:tcW w:w="170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tabs>
                <w:tab w:val="left" w:pos="1335"/>
              </w:tabs>
              <w:spacing w:after="0"/>
              <w:jc w:val="center"/>
              <w:rPr>
                <w:sz w:val="20"/>
                <w:szCs w:val="20"/>
              </w:rPr>
            </w:pPr>
            <w:r>
              <w:rPr>
                <w:sz w:val="20"/>
                <w:szCs w:val="20"/>
              </w:rPr>
              <w:t>3.306</w:t>
            </w:r>
          </w:p>
        </w:tc>
      </w:tr>
      <w:tr w:rsidR="008F0D85">
        <w:tc>
          <w:tcPr>
            <w:tcW w:w="268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left"/>
              <w:rPr>
                <w:sz w:val="20"/>
                <w:szCs w:val="20"/>
              </w:rPr>
            </w:pPr>
            <w:r>
              <w:rPr>
                <w:sz w:val="20"/>
                <w:szCs w:val="20"/>
              </w:rPr>
              <w:t>Stalni radni odnos</w:t>
            </w:r>
          </w:p>
        </w:tc>
        <w:tc>
          <w:tcPr>
            <w:tcW w:w="170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623</w:t>
            </w:r>
          </w:p>
        </w:tc>
      </w:tr>
      <w:tr w:rsidR="008F0D85">
        <w:tc>
          <w:tcPr>
            <w:tcW w:w="268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left"/>
              <w:rPr>
                <w:sz w:val="20"/>
                <w:szCs w:val="20"/>
              </w:rPr>
            </w:pPr>
            <w:r>
              <w:rPr>
                <w:sz w:val="20"/>
                <w:szCs w:val="20"/>
              </w:rPr>
              <w:t>Povremeni rad</w:t>
            </w:r>
          </w:p>
        </w:tc>
        <w:tc>
          <w:tcPr>
            <w:tcW w:w="170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280</w:t>
            </w:r>
          </w:p>
        </w:tc>
      </w:tr>
      <w:tr w:rsidR="008F0D85">
        <w:tc>
          <w:tcPr>
            <w:tcW w:w="268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left"/>
              <w:rPr>
                <w:sz w:val="20"/>
                <w:szCs w:val="20"/>
              </w:rPr>
            </w:pPr>
            <w:r>
              <w:rPr>
                <w:sz w:val="20"/>
                <w:szCs w:val="20"/>
              </w:rPr>
              <w:t>Prihodi od poljoprivrede</w:t>
            </w:r>
          </w:p>
        </w:tc>
        <w:tc>
          <w:tcPr>
            <w:tcW w:w="170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338</w:t>
            </w:r>
          </w:p>
        </w:tc>
      </w:tr>
      <w:tr w:rsidR="008F0D85">
        <w:tc>
          <w:tcPr>
            <w:tcW w:w="268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left"/>
              <w:rPr>
                <w:sz w:val="20"/>
                <w:szCs w:val="20"/>
              </w:rPr>
            </w:pPr>
            <w:r>
              <w:rPr>
                <w:sz w:val="20"/>
                <w:szCs w:val="20"/>
              </w:rPr>
              <w:t>Starosna mirovina</w:t>
            </w:r>
          </w:p>
        </w:tc>
        <w:tc>
          <w:tcPr>
            <w:tcW w:w="170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344</w:t>
            </w:r>
          </w:p>
        </w:tc>
      </w:tr>
      <w:tr w:rsidR="008F0D85">
        <w:tc>
          <w:tcPr>
            <w:tcW w:w="268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left"/>
              <w:rPr>
                <w:sz w:val="20"/>
                <w:szCs w:val="20"/>
              </w:rPr>
            </w:pPr>
            <w:r>
              <w:rPr>
                <w:sz w:val="20"/>
                <w:szCs w:val="20"/>
              </w:rPr>
              <w:t>Ostale mirovine</w:t>
            </w:r>
          </w:p>
        </w:tc>
        <w:tc>
          <w:tcPr>
            <w:tcW w:w="170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409</w:t>
            </w:r>
          </w:p>
        </w:tc>
      </w:tr>
      <w:tr w:rsidR="008F0D85">
        <w:tc>
          <w:tcPr>
            <w:tcW w:w="268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left"/>
              <w:rPr>
                <w:sz w:val="20"/>
                <w:szCs w:val="20"/>
              </w:rPr>
            </w:pPr>
            <w:r>
              <w:rPr>
                <w:sz w:val="20"/>
                <w:szCs w:val="20"/>
              </w:rPr>
              <w:t>Prihodi od imovine</w:t>
            </w:r>
          </w:p>
        </w:tc>
        <w:tc>
          <w:tcPr>
            <w:tcW w:w="170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w:t>
            </w:r>
          </w:p>
        </w:tc>
      </w:tr>
      <w:tr w:rsidR="008F0D85">
        <w:tc>
          <w:tcPr>
            <w:tcW w:w="268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left"/>
              <w:rPr>
                <w:sz w:val="20"/>
                <w:szCs w:val="20"/>
              </w:rPr>
            </w:pPr>
            <w:r>
              <w:rPr>
                <w:sz w:val="20"/>
                <w:szCs w:val="20"/>
              </w:rPr>
              <w:t>Socijalne naknade</w:t>
            </w:r>
          </w:p>
        </w:tc>
        <w:tc>
          <w:tcPr>
            <w:tcW w:w="170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289</w:t>
            </w:r>
          </w:p>
        </w:tc>
      </w:tr>
      <w:tr w:rsidR="008F0D85">
        <w:tc>
          <w:tcPr>
            <w:tcW w:w="268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left"/>
              <w:rPr>
                <w:sz w:val="20"/>
                <w:szCs w:val="20"/>
              </w:rPr>
            </w:pPr>
            <w:r>
              <w:rPr>
                <w:sz w:val="20"/>
                <w:szCs w:val="20"/>
              </w:rPr>
              <w:t>Ostali prihodi</w:t>
            </w:r>
          </w:p>
        </w:tc>
        <w:tc>
          <w:tcPr>
            <w:tcW w:w="170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30</w:t>
            </w:r>
          </w:p>
        </w:tc>
      </w:tr>
      <w:tr w:rsidR="008F0D85">
        <w:tc>
          <w:tcPr>
            <w:tcW w:w="268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left"/>
              <w:rPr>
                <w:sz w:val="20"/>
                <w:szCs w:val="20"/>
              </w:rPr>
            </w:pPr>
            <w:r>
              <w:rPr>
                <w:sz w:val="20"/>
                <w:szCs w:val="20"/>
              </w:rPr>
              <w:t>Povremena potpora drugih</w:t>
            </w:r>
          </w:p>
        </w:tc>
        <w:tc>
          <w:tcPr>
            <w:tcW w:w="170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162</w:t>
            </w:r>
          </w:p>
        </w:tc>
      </w:tr>
      <w:tr w:rsidR="008F0D85">
        <w:tc>
          <w:tcPr>
            <w:tcW w:w="268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left"/>
              <w:rPr>
                <w:sz w:val="20"/>
                <w:szCs w:val="20"/>
              </w:rPr>
            </w:pPr>
            <w:r>
              <w:rPr>
                <w:sz w:val="20"/>
                <w:szCs w:val="20"/>
              </w:rPr>
              <w:t>Bez prihoda</w:t>
            </w:r>
          </w:p>
        </w:tc>
        <w:tc>
          <w:tcPr>
            <w:tcW w:w="170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1.058</w:t>
            </w:r>
          </w:p>
        </w:tc>
      </w:tr>
      <w:tr w:rsidR="008F0D85">
        <w:tc>
          <w:tcPr>
            <w:tcW w:w="268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left"/>
              <w:rPr>
                <w:b/>
                <w:sz w:val="20"/>
                <w:szCs w:val="20"/>
              </w:rPr>
            </w:pPr>
            <w:r>
              <w:rPr>
                <w:b/>
                <w:sz w:val="20"/>
                <w:szCs w:val="20"/>
              </w:rPr>
              <w:t>Nepoznato</w:t>
            </w:r>
          </w:p>
        </w:tc>
        <w:tc>
          <w:tcPr>
            <w:tcW w:w="170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w:t>
            </w:r>
          </w:p>
        </w:tc>
      </w:tr>
    </w:tbl>
    <w:p w:rsidR="008F0D85" w:rsidRDefault="00AE42A1">
      <w:pPr>
        <w:jc w:val="center"/>
        <w:rPr>
          <w:sz w:val="20"/>
          <w:szCs w:val="20"/>
        </w:rPr>
      </w:pPr>
      <w:r>
        <w:rPr>
          <w:sz w:val="20"/>
          <w:szCs w:val="20"/>
        </w:rPr>
        <w:t xml:space="preserve">Izvor: Državni zavod za statistiku, Popis </w:t>
      </w:r>
      <w:r>
        <w:rPr>
          <w:sz w:val="20"/>
          <w:szCs w:val="20"/>
        </w:rPr>
        <w:t>stanovništva 2011. godine</w:t>
      </w:r>
    </w:p>
    <w:p w:rsidR="008F0D85" w:rsidRDefault="008F0D85">
      <w:pPr>
        <w:jc w:val="center"/>
        <w:rPr>
          <w:sz w:val="20"/>
          <w:szCs w:val="20"/>
        </w:rPr>
      </w:pPr>
    </w:p>
    <w:p w:rsidR="008F0D85" w:rsidRDefault="008F0D85">
      <w:pPr>
        <w:jc w:val="center"/>
        <w:rPr>
          <w:sz w:val="20"/>
          <w:szCs w:val="20"/>
        </w:rPr>
      </w:pPr>
    </w:p>
    <w:p w:rsidR="008F0D85" w:rsidRDefault="008F0D85">
      <w:pPr>
        <w:jc w:val="center"/>
        <w:rPr>
          <w:sz w:val="20"/>
          <w:szCs w:val="20"/>
        </w:rPr>
      </w:pPr>
    </w:p>
    <w:p w:rsidR="008F0D85" w:rsidRDefault="008F0D85">
      <w:pPr>
        <w:jc w:val="center"/>
        <w:rPr>
          <w:sz w:val="20"/>
          <w:szCs w:val="20"/>
        </w:rPr>
      </w:pPr>
    </w:p>
    <w:p w:rsidR="008F0D85" w:rsidRDefault="008F0D85">
      <w:pPr>
        <w:jc w:val="center"/>
        <w:rPr>
          <w:sz w:val="20"/>
          <w:szCs w:val="20"/>
        </w:rPr>
      </w:pPr>
    </w:p>
    <w:p w:rsidR="008F0D85" w:rsidRDefault="008F0D85">
      <w:pPr>
        <w:jc w:val="center"/>
        <w:rPr>
          <w:sz w:val="20"/>
          <w:szCs w:val="20"/>
        </w:rPr>
      </w:pPr>
    </w:p>
    <w:p w:rsidR="008F0D85" w:rsidRDefault="008F0D85">
      <w:pPr>
        <w:jc w:val="center"/>
        <w:rPr>
          <w:sz w:val="20"/>
          <w:szCs w:val="20"/>
        </w:rPr>
      </w:pPr>
    </w:p>
    <w:p w:rsidR="008F0D85" w:rsidRDefault="008F0D85">
      <w:pPr>
        <w:jc w:val="center"/>
        <w:rPr>
          <w:sz w:val="20"/>
          <w:szCs w:val="20"/>
        </w:rPr>
      </w:pPr>
    </w:p>
    <w:p w:rsidR="008F0D85" w:rsidRDefault="008F0D85">
      <w:pPr>
        <w:jc w:val="center"/>
        <w:rPr>
          <w:sz w:val="20"/>
          <w:szCs w:val="20"/>
        </w:rPr>
      </w:pPr>
    </w:p>
    <w:p w:rsidR="008F0D85" w:rsidRDefault="008F0D85">
      <w:pPr>
        <w:jc w:val="center"/>
        <w:rPr>
          <w:sz w:val="20"/>
          <w:szCs w:val="20"/>
        </w:rPr>
      </w:pPr>
    </w:p>
    <w:p w:rsidR="008F0D85" w:rsidRDefault="00AE42A1">
      <w:pPr>
        <w:spacing w:after="0" w:line="360" w:lineRule="auto"/>
        <w:jc w:val="center"/>
        <w:rPr>
          <w:rFonts w:cs="Arial"/>
          <w:b/>
          <w:bCs/>
          <w:sz w:val="20"/>
          <w:szCs w:val="20"/>
        </w:rPr>
      </w:pPr>
      <w:bookmarkStart w:id="134" w:name="_Toc512434706"/>
      <w:bookmarkStart w:id="135" w:name="_Toc514240300"/>
      <w:bookmarkStart w:id="136" w:name="_Toc516128382"/>
      <w:bookmarkStart w:id="137" w:name="_Toc527969495"/>
      <w:r>
        <w:rPr>
          <w:rFonts w:cs="Arial"/>
          <w:b/>
          <w:bCs/>
          <w:sz w:val="20"/>
          <w:szCs w:val="20"/>
        </w:rPr>
        <w:t xml:space="preserve">Tablica </w:t>
      </w:r>
      <w:r>
        <w:rPr>
          <w:rFonts w:cs="Arial"/>
          <w:b/>
          <w:bCs/>
          <w:sz w:val="20"/>
          <w:szCs w:val="20"/>
        </w:rPr>
        <w:fldChar w:fldCharType="begin"/>
      </w:r>
      <w:r>
        <w:instrText>SEQ Tablica \* ARABIC</w:instrText>
      </w:r>
      <w:r>
        <w:fldChar w:fldCharType="separate"/>
      </w:r>
      <w:r>
        <w:t>13</w:t>
      </w:r>
      <w:r>
        <w:fldChar w:fldCharType="end"/>
      </w:r>
      <w:bookmarkEnd w:id="134"/>
      <w:bookmarkEnd w:id="135"/>
      <w:bookmarkEnd w:id="136"/>
      <w:bookmarkEnd w:id="137"/>
      <w:r>
        <w:rPr>
          <w:rFonts w:cs="Arial"/>
          <w:b/>
          <w:bCs/>
          <w:sz w:val="20"/>
          <w:szCs w:val="20"/>
        </w:rPr>
        <w:t>: Raspodjela stanovništva Općine prema djelatnosti i broju zaposlenih</w:t>
      </w:r>
    </w:p>
    <w:tbl>
      <w:tblPr>
        <w:tblW w:w="8181" w:type="dxa"/>
        <w:tblInd w:w="846"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619"/>
        <w:gridCol w:w="6298"/>
        <w:gridCol w:w="1264"/>
      </w:tblGrid>
      <w:tr w:rsidR="008F0D85">
        <w:tc>
          <w:tcPr>
            <w:tcW w:w="61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R.Br.</w:t>
            </w:r>
          </w:p>
        </w:tc>
        <w:tc>
          <w:tcPr>
            <w:tcW w:w="629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Područje djelatnosti</w:t>
            </w:r>
          </w:p>
        </w:tc>
        <w:tc>
          <w:tcPr>
            <w:tcW w:w="126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Broj zaposlenih</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Poljoprivreda, šumarstvo i ribarstvo</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374</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2.</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 xml:space="preserve">Rudarstvo i </w:t>
            </w:r>
            <w:r>
              <w:rPr>
                <w:sz w:val="20"/>
                <w:szCs w:val="20"/>
              </w:rPr>
              <w:t>vađenje</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9</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3.</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Prerađivačka industrija</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139</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4.</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Opskrba električnom energijom, plinom, parom i klimatizacija</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5</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5.</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Opskrba vodom, uklanjanje otpadnih voda, gospodarenje otpadom te djelatnost sanacije okoliša</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6</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6.</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Građevinarstvo</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78</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7.</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 xml:space="preserve">Trgovina na </w:t>
            </w:r>
            <w:r>
              <w:rPr>
                <w:sz w:val="20"/>
                <w:szCs w:val="20"/>
              </w:rPr>
              <w:t>veliko i malo, popravak motornih vozila i motocikala</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113</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8.</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Prijevoz i skladištenje</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27</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9.</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Djelatnost pružanja smještaja te pripreme i usluživanja hrane</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44</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10.</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Informacije i komunikacije</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11.</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Financijske djelatnosti i djelatnosti osiguranja</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12</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12.</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Poslovanje nekretninama</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13.</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Stručne, znanstvene i tehničke djelatnosti</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15</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14.</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Administrativne i pomoćne uslužne djelatnosti</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12</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15.</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Javna uprava i obrana, obvezno socijalno osiguranje</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61</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16.</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Obrazovanje</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41</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17.</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 xml:space="preserve">Djelatnosti zdravstvene zaštite i </w:t>
            </w:r>
            <w:r>
              <w:rPr>
                <w:sz w:val="20"/>
                <w:szCs w:val="20"/>
              </w:rPr>
              <w:t>socijalne skrbi</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38</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18.</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Umjetnost, zabava i rekreacija</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3</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19.</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Ostale uslužne djelatnosti</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9</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20.</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Djelatnosti kućanstva kao poslodavca, djelatnosti kućanstva koje proizvode različitu robu i obavljaju različite usluge za vlastite potrebe</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5</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21.</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 xml:space="preserve">Djelatnost izvan teritorijalnih organizacija i tijela </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22.</w:t>
            </w: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Nepoznato</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w:t>
            </w:r>
          </w:p>
        </w:tc>
      </w:tr>
      <w:tr w:rsidR="008F0D85">
        <w:tc>
          <w:tcPr>
            <w:tcW w:w="6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c>
          <w:tcPr>
            <w:tcW w:w="62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b/>
                <w:sz w:val="20"/>
                <w:szCs w:val="20"/>
              </w:rPr>
            </w:pPr>
            <w:r>
              <w:rPr>
                <w:b/>
                <w:sz w:val="20"/>
                <w:szCs w:val="20"/>
              </w:rPr>
              <w:t>UKUPNO:</w:t>
            </w:r>
          </w:p>
        </w:tc>
        <w:tc>
          <w:tcPr>
            <w:tcW w:w="12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b/>
                <w:sz w:val="20"/>
                <w:szCs w:val="20"/>
              </w:rPr>
            </w:pPr>
            <w:r>
              <w:rPr>
                <w:b/>
                <w:sz w:val="20"/>
                <w:szCs w:val="20"/>
              </w:rPr>
              <w:t>991</w:t>
            </w:r>
          </w:p>
        </w:tc>
      </w:tr>
    </w:tbl>
    <w:p w:rsidR="008F0D85" w:rsidRDefault="00AE42A1">
      <w:pPr>
        <w:jc w:val="center"/>
        <w:rPr>
          <w:sz w:val="20"/>
          <w:szCs w:val="20"/>
        </w:rPr>
      </w:pPr>
      <w:bookmarkStart w:id="138" w:name="_Hlk507499771"/>
      <w:bookmarkEnd w:id="138"/>
      <w:r>
        <w:rPr>
          <w:sz w:val="20"/>
          <w:szCs w:val="20"/>
        </w:rPr>
        <w:t>Izvor: Državni zavod za statistiku, Popis stanovništva 2011. godine</w:t>
      </w:r>
    </w:p>
    <w:p w:rsidR="008F0D85" w:rsidRDefault="00AE42A1">
      <w:r>
        <w:t xml:space="preserve">Krajem svibnja 2018.god. u evidenciji Hrvatskog zavoda za zapošljavanje, Područnog ureda </w:t>
      </w:r>
      <w:r>
        <w:t xml:space="preserve">Križevci evidentirano je 2.249 nezaposlenih osoba, pri čemu je evidentirano 969 muškaraca s udjelom od 43,1% i 1.280 žena s udjelom od 56,9%. U odnosu na mjesec travanj evidentirano je 286 osoba ili 11,3% manje, dok je u odnosu na mjesec svibanj prethodne </w:t>
      </w:r>
      <w:r>
        <w:t xml:space="preserve">godine evidentirano 1.099 osoba ili 32,8% manje. U odnosu na prethodni mjesec pad broja nezaposlenih osoba je evidentiran u svim Ispostavama, i to u Ispostavi Đurđevac za 82 osobe </w:t>
      </w:r>
      <w:r>
        <w:lastRenderedPageBreak/>
        <w:t>ili 12,3%, u Ispostavi Koprivnica za 145 osoba ili 9,6% te u Ispostavi Križe</w:t>
      </w:r>
      <w:r>
        <w:t>vci za 59 osoba ili 16,4%.</w:t>
      </w:r>
    </w:p>
    <w:p w:rsidR="008F0D85" w:rsidRDefault="00AE42A1">
      <w:r>
        <w:t xml:space="preserve">Promatramo li udio u nezaposlenosti prema dobnim skupinama, krajem mjeseca svibnja najveći udio u evidenciji bilježe osobe dobne skupine 55-59 godina (15,9%), te 25-29 (13,8%), 20-24 (12,2%) i 50-54 godina (11,2%). Slijede dobne </w:t>
      </w:r>
      <w:r>
        <w:t>skupine 30-34 (10,3%), 45-49 (9,3%), 35-39 (9,1%) te 40-44 (7,8%) godina starosti. Dobna skupina 60 i više godina čini 6,8%, a 15-19 godina 3,6% ukupnog broja nezaposlenih.</w:t>
      </w:r>
    </w:p>
    <w:p w:rsidR="008F0D85" w:rsidRDefault="00AE42A1">
      <w:r>
        <w:t>Krajem svibnja u evidenciji PU Križevci bilo je registrirano 665 nezaposlenih mladi</w:t>
      </w:r>
      <w:r>
        <w:t>h osoba do 29 godina starosti s udjelom od 29,6% u ukupnom broju nezaposlenih osoba, što je u odnosu na travanj manje za 125 osoba ili 15,8%, a u odnosu na svibanj prethodne godine manje za 418 osoba ili 38,6%.</w:t>
      </w:r>
    </w:p>
    <w:p w:rsidR="008F0D85" w:rsidRDefault="00AE42A1">
      <w:pPr>
        <w:pStyle w:val="Opisslike"/>
        <w:jc w:val="center"/>
        <w:rPr>
          <w:szCs w:val="24"/>
        </w:rPr>
      </w:pPr>
      <w:bookmarkStart w:id="139" w:name="_Toc516128383"/>
      <w:bookmarkStart w:id="140" w:name="_Toc527969496"/>
      <w:r>
        <w:t xml:space="preserve">Tablica </w:t>
      </w:r>
      <w:r>
        <w:fldChar w:fldCharType="begin"/>
      </w:r>
      <w:r>
        <w:instrText>SEQ Tablica \* ARABIC</w:instrText>
      </w:r>
      <w:r>
        <w:fldChar w:fldCharType="separate"/>
      </w:r>
      <w:r>
        <w:t>14</w:t>
      </w:r>
      <w:r>
        <w:fldChar w:fldCharType="end"/>
      </w:r>
      <w:bookmarkEnd w:id="139"/>
      <w:bookmarkEnd w:id="140"/>
      <w:r>
        <w:t>: Pregled n</w:t>
      </w:r>
      <w:r>
        <w:t>ezaposlenih osoba na području Općine u svibnju 2018.god.</w:t>
      </w:r>
    </w:p>
    <w:tbl>
      <w:tblPr>
        <w:tblW w:w="906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550"/>
        <w:gridCol w:w="678"/>
        <w:gridCol w:w="495"/>
        <w:gridCol w:w="1140"/>
        <w:gridCol w:w="668"/>
        <w:gridCol w:w="1087"/>
        <w:gridCol w:w="1045"/>
        <w:gridCol w:w="678"/>
        <w:gridCol w:w="1355"/>
        <w:gridCol w:w="1364"/>
      </w:tblGrid>
      <w:tr w:rsidR="008F0D85">
        <w:trPr>
          <w:cantSplit/>
          <w:trHeight w:hRule="exact" w:val="1134"/>
        </w:trPr>
        <w:tc>
          <w:tcPr>
            <w:tcW w:w="561"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extDirection w:val="btLr"/>
            <w:vAlign w:val="center"/>
          </w:tcPr>
          <w:p w:rsidR="008F0D85" w:rsidRDefault="00AE42A1">
            <w:pPr>
              <w:spacing w:after="0"/>
              <w:ind w:left="113" w:right="113"/>
              <w:jc w:val="center"/>
              <w:rPr>
                <w:b/>
                <w:sz w:val="20"/>
                <w:szCs w:val="20"/>
              </w:rPr>
            </w:pPr>
            <w:r>
              <w:rPr>
                <w:b/>
                <w:sz w:val="20"/>
                <w:szCs w:val="20"/>
              </w:rPr>
              <w:t>Ispostava</w:t>
            </w:r>
          </w:p>
        </w:tc>
        <w:tc>
          <w:tcPr>
            <w:tcW w:w="711"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extDirection w:val="btLr"/>
            <w:vAlign w:val="center"/>
          </w:tcPr>
          <w:p w:rsidR="008F0D85" w:rsidRDefault="00AE42A1">
            <w:pPr>
              <w:spacing w:after="0"/>
              <w:ind w:left="113" w:right="113"/>
              <w:jc w:val="center"/>
              <w:rPr>
                <w:b/>
                <w:sz w:val="20"/>
                <w:szCs w:val="20"/>
              </w:rPr>
            </w:pPr>
            <w:r>
              <w:rPr>
                <w:b/>
                <w:sz w:val="20"/>
                <w:szCs w:val="20"/>
              </w:rPr>
              <w:t>Općina</w:t>
            </w:r>
          </w:p>
        </w:tc>
        <w:tc>
          <w:tcPr>
            <w:tcW w:w="424"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extDirection w:val="btLr"/>
            <w:vAlign w:val="center"/>
          </w:tcPr>
          <w:p w:rsidR="008F0D85" w:rsidRDefault="00AE42A1">
            <w:pPr>
              <w:spacing w:after="0"/>
              <w:ind w:left="113" w:right="113"/>
              <w:jc w:val="center"/>
              <w:rPr>
                <w:b/>
                <w:sz w:val="20"/>
                <w:szCs w:val="20"/>
              </w:rPr>
            </w:pPr>
            <w:r>
              <w:rPr>
                <w:b/>
                <w:sz w:val="20"/>
                <w:szCs w:val="20"/>
              </w:rPr>
              <w:t>Ukupno</w:t>
            </w:r>
          </w:p>
        </w:tc>
        <w:tc>
          <w:tcPr>
            <w:tcW w:w="850"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b/>
                <w:sz w:val="20"/>
                <w:szCs w:val="20"/>
              </w:rPr>
            </w:pPr>
            <w:r>
              <w:rPr>
                <w:b/>
                <w:sz w:val="20"/>
                <w:szCs w:val="20"/>
              </w:rPr>
              <w:t>Bez škole i nezavršena OŠ</w:t>
            </w:r>
          </w:p>
        </w:tc>
        <w:tc>
          <w:tcPr>
            <w:tcW w:w="711"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b/>
                <w:sz w:val="20"/>
                <w:szCs w:val="20"/>
              </w:rPr>
            </w:pPr>
            <w:r>
              <w:rPr>
                <w:b/>
                <w:sz w:val="20"/>
                <w:szCs w:val="20"/>
              </w:rPr>
              <w:t>OŠ</w:t>
            </w:r>
          </w:p>
        </w:tc>
        <w:tc>
          <w:tcPr>
            <w:tcW w:w="1133"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b/>
                <w:sz w:val="20"/>
                <w:szCs w:val="20"/>
              </w:rPr>
            </w:pPr>
            <w:r>
              <w:rPr>
                <w:b/>
                <w:sz w:val="20"/>
                <w:szCs w:val="20"/>
              </w:rPr>
              <w:t>SŠ za 3.god. i škola za KV i VKV radnike</w:t>
            </w:r>
          </w:p>
        </w:tc>
        <w:tc>
          <w:tcPr>
            <w:tcW w:w="113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b/>
                <w:sz w:val="20"/>
                <w:szCs w:val="20"/>
              </w:rPr>
            </w:pPr>
            <w:r>
              <w:rPr>
                <w:b/>
                <w:sz w:val="20"/>
                <w:szCs w:val="20"/>
              </w:rPr>
              <w:t>SŠ od 4 i više god.</w:t>
            </w:r>
          </w:p>
        </w:tc>
        <w:tc>
          <w:tcPr>
            <w:tcW w:w="711"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extDirection w:val="btLr"/>
            <w:vAlign w:val="center"/>
          </w:tcPr>
          <w:p w:rsidR="008F0D85" w:rsidRDefault="00AE42A1">
            <w:pPr>
              <w:spacing w:after="0"/>
              <w:ind w:left="113" w:right="113"/>
              <w:jc w:val="center"/>
              <w:rPr>
                <w:b/>
                <w:sz w:val="20"/>
                <w:szCs w:val="20"/>
              </w:rPr>
            </w:pPr>
            <w:r>
              <w:rPr>
                <w:b/>
                <w:sz w:val="20"/>
                <w:szCs w:val="20"/>
              </w:rPr>
              <w:t>Gimnazija</w:t>
            </w:r>
          </w:p>
        </w:tc>
        <w:tc>
          <w:tcPr>
            <w:tcW w:w="1418"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b/>
                <w:sz w:val="20"/>
                <w:szCs w:val="20"/>
              </w:rPr>
            </w:pPr>
            <w:r>
              <w:rPr>
                <w:b/>
                <w:sz w:val="20"/>
                <w:szCs w:val="20"/>
              </w:rPr>
              <w:t>Prvi stupanj fakulteta, stručni studij i viša škola</w:t>
            </w:r>
          </w:p>
        </w:tc>
        <w:tc>
          <w:tcPr>
            <w:tcW w:w="1408"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b/>
                <w:sz w:val="20"/>
                <w:szCs w:val="20"/>
              </w:rPr>
            </w:pPr>
            <w:r>
              <w:rPr>
                <w:b/>
                <w:sz w:val="20"/>
                <w:szCs w:val="20"/>
              </w:rPr>
              <w:t xml:space="preserve">Fakulteti, </w:t>
            </w:r>
            <w:r>
              <w:rPr>
                <w:b/>
                <w:sz w:val="20"/>
                <w:szCs w:val="20"/>
              </w:rPr>
              <w:t>akademije, magisterij i doktorat</w:t>
            </w:r>
          </w:p>
        </w:tc>
      </w:tr>
      <w:tr w:rsidR="008F0D85">
        <w:trPr>
          <w:cantSplit/>
          <w:trHeight w:hRule="exact" w:val="1134"/>
        </w:trPr>
        <w:tc>
          <w:tcPr>
            <w:tcW w:w="561" w:type="dxa"/>
            <w:tcBorders>
              <w:top w:val="single" w:sz="4" w:space="0" w:color="00000A"/>
              <w:left w:val="single" w:sz="4" w:space="0" w:color="00000A"/>
              <w:bottom w:val="single" w:sz="4" w:space="0" w:color="00000A"/>
              <w:right w:val="single" w:sz="4" w:space="0" w:color="00000A"/>
            </w:tcBorders>
            <w:shd w:val="clear" w:color="auto" w:fill="auto"/>
            <w:tcMar>
              <w:left w:w="93" w:type="dxa"/>
            </w:tcMar>
            <w:textDirection w:val="btLr"/>
          </w:tcPr>
          <w:p w:rsidR="008F0D85" w:rsidRDefault="00AE42A1">
            <w:pPr>
              <w:spacing w:after="0"/>
              <w:ind w:left="113" w:right="113"/>
              <w:rPr>
                <w:sz w:val="20"/>
                <w:szCs w:val="20"/>
              </w:rPr>
            </w:pPr>
            <w:r>
              <w:rPr>
                <w:sz w:val="20"/>
                <w:szCs w:val="20"/>
              </w:rPr>
              <w:t>Đurđevac</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93" w:type="dxa"/>
            </w:tcMar>
            <w:textDirection w:val="btLr"/>
          </w:tcPr>
          <w:p w:rsidR="008F0D85" w:rsidRDefault="00AE42A1">
            <w:pPr>
              <w:spacing w:after="0"/>
              <w:ind w:left="113" w:right="113"/>
              <w:rPr>
                <w:sz w:val="20"/>
                <w:szCs w:val="20"/>
              </w:rPr>
            </w:pPr>
            <w:r>
              <w:rPr>
                <w:sz w:val="20"/>
                <w:szCs w:val="20"/>
              </w:rPr>
              <w:t>Kloštar Podravski</w:t>
            </w:r>
          </w:p>
        </w:tc>
        <w:tc>
          <w:tcPr>
            <w:tcW w:w="42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79</w:t>
            </w:r>
          </w:p>
        </w:tc>
        <w:tc>
          <w:tcPr>
            <w:tcW w:w="85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13</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21</w:t>
            </w:r>
          </w:p>
        </w:tc>
        <w:tc>
          <w:tcPr>
            <w:tcW w:w="113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20</w:t>
            </w:r>
          </w:p>
        </w:tc>
        <w:tc>
          <w:tcPr>
            <w:tcW w:w="113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16</w:t>
            </w:r>
          </w:p>
        </w:tc>
        <w:tc>
          <w:tcPr>
            <w:tcW w:w="71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0</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7</w:t>
            </w:r>
          </w:p>
        </w:tc>
        <w:tc>
          <w:tcPr>
            <w:tcW w:w="140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sz w:val="20"/>
                <w:szCs w:val="20"/>
              </w:rPr>
            </w:pPr>
            <w:r>
              <w:rPr>
                <w:sz w:val="20"/>
                <w:szCs w:val="20"/>
              </w:rPr>
              <w:t>2</w:t>
            </w:r>
          </w:p>
        </w:tc>
      </w:tr>
    </w:tbl>
    <w:p w:rsidR="008F0D85" w:rsidRDefault="00AE42A1">
      <w:pPr>
        <w:jc w:val="center"/>
        <w:rPr>
          <w:sz w:val="20"/>
          <w:szCs w:val="20"/>
        </w:rPr>
      </w:pPr>
      <w:r>
        <w:rPr>
          <w:sz w:val="20"/>
          <w:szCs w:val="20"/>
        </w:rPr>
        <w:t>Izvor: Hrvatski zavod za zapošljavanje, Područni ured Križevci, Mjesečni statistički bilten, godina: XXVII / 2018.god., broj: 05.</w:t>
      </w:r>
    </w:p>
    <w:p w:rsidR="008F0D85" w:rsidRDefault="00AE42A1">
      <w:r>
        <w:t xml:space="preserve">Krajem svibnja u evidenciji nezaposlenih evidentirane su 43 osobe kojima je radni odnos prestao zbog prestanka rada poslodavca, što je za 8 osoba ili 15,7% manje nego u travnju te za 39 osoba ili 47,6% manje nego u svibnju prethodne godine. </w:t>
      </w:r>
    </w:p>
    <w:p w:rsidR="008F0D85" w:rsidRDefault="00AE42A1">
      <w:r>
        <w:t>Nezaposlenih h</w:t>
      </w:r>
      <w:r>
        <w:t>rvatskih branitelja krajem svibnja evidentirano je 218 (za 27 osoba ili 11,0% manje nego u travnju te za 73 osobe ili 25,1% manje nego u svibnju prethodne godine), a u ukupnom broju nezaposlenih čine udio od 9,7%.</w:t>
      </w:r>
    </w:p>
    <w:p w:rsidR="008F0D85" w:rsidRDefault="00AE42A1">
      <w:r>
        <w:t>Novoprijavljenih osoba tijekom svibnja bil</w:t>
      </w:r>
      <w:r>
        <w:t>o je 347 (22,2% više nego u travnju te 0,9% više nego u svibnju prethodne godine), od čega izravno iz radnog odnosa dolaze 224 osobe ili 64,6%, iz drugih poslovnih aktivnosti 17 osoba ili 4,9%, izravno iz redovitog školovanja 7 osoba ili 2,0% te iz neaktiv</w:t>
      </w:r>
      <w:r>
        <w:t>nosti njih 99 ili 28,5%. Prema spolu, u evidenciju je ušlo 156 muškaraca ili 45,0% i 191 žena ili 55,0%. Najviše novoprijavljenih osoba bilo je u Ispostavi Koprivnica (188 osoba ili 54,2%), zatim u Ispostavi Đurđevac (85 osoba ili 24,5%) te najmanje u Ispo</w:t>
      </w:r>
      <w:r>
        <w:t>stavi Križevci (74 osobe ili 21,3%).</w:t>
      </w:r>
    </w:p>
    <w:p w:rsidR="008F0D85" w:rsidRDefault="00AE42A1">
      <w:r>
        <w:t>Govorimo li o izlasku iz evidencije, od ukupno 633 osobe koje su izašle iz evidencije Zavoda (0,6% više nego u travnju te 31,4% manje nego u svibnju prethodne godine), pri čemu se 43,8% odnosi na muškarce, a 56,2% na že</w:t>
      </w:r>
      <w:r>
        <w:t xml:space="preserve">ne, najveći je broj izlazaka zbog zapošljavanja (368 osoba ili 58,1%). Od ostalih razloga u najvećem udjelu slijede: neaktivnost u traženju </w:t>
      </w:r>
      <w:r>
        <w:lastRenderedPageBreak/>
        <w:t>zaposlenja (102 osobe ili 16,1%), odjava s evidencije (71 osoba ili 11,2%), umirovljenje/ispunjavanje uvjeta za miro</w:t>
      </w:r>
      <w:r>
        <w:t>vinu/ostvarivanje prava na obiteljsku mirovinu (27 osoba ili 4,3%), stručno osposobljavanje za rad bez zasnivanja radnog odnosa (12 osoba ili 1,9%), ostvarivanje prava na rodiljnu, roditeljsku, posvojiteljsku ili skrbničku poštedu od rada po posebnom propi</w:t>
      </w:r>
      <w:r>
        <w:t>su (11 osoba ili 1,7%) te neraspoloživost za rad (6 osoba ili 0,9%).</w:t>
      </w:r>
    </w:p>
    <w:p w:rsidR="008F0D85" w:rsidRDefault="008F0D85">
      <w:pPr>
        <w:rPr>
          <w:rFonts w:cs="Calibri"/>
          <w:szCs w:val="24"/>
        </w:rPr>
      </w:pPr>
    </w:p>
    <w:p w:rsidR="008F0D85" w:rsidRDefault="00AE42A1">
      <w:pPr>
        <w:pStyle w:val="Naslov3"/>
      </w:pPr>
      <w:bookmarkStart w:id="141" w:name="_Toc512434575"/>
      <w:bookmarkStart w:id="142" w:name="_Toc514240130"/>
      <w:bookmarkStart w:id="143" w:name="_Toc516128233"/>
      <w:bookmarkStart w:id="144" w:name="_Toc527969343"/>
      <w:bookmarkEnd w:id="141"/>
      <w:bookmarkEnd w:id="142"/>
      <w:bookmarkEnd w:id="143"/>
      <w:bookmarkEnd w:id="144"/>
      <w:r>
        <w:t>2.9.2. Broj primatelja socijalnih, mirovinskih i sličnih naknada na području Općine</w:t>
      </w:r>
    </w:p>
    <w:p w:rsidR="008F0D85" w:rsidRDefault="008F0D85"/>
    <w:p w:rsidR="008F0D85" w:rsidRDefault="00AE42A1">
      <w:pPr>
        <w:shd w:val="clear" w:color="auto" w:fill="FFFFFF"/>
      </w:pPr>
      <w:bookmarkStart w:id="145" w:name="_Hlk503265456"/>
      <w:bookmarkEnd w:id="145"/>
      <w:r>
        <w:t>S obzirom na podatke Hrvatskog zavoda za statistiku, 10,41% stanovnika Općine prima starosne mirovine, 12,37% prima ostale mirovine, dok socijalnu naknadu prima 8,74% stanovnika Općine. Ukupan broj stanovnika koji prima neku vrstu mirovinskih, socijalnih i</w:t>
      </w:r>
      <w:r>
        <w:t xml:space="preserve">li sličnih naknada iznosi 31,52% od ukupnog broja stanovnika Općine, točnije 1.042 stanovnika. </w:t>
      </w:r>
    </w:p>
    <w:p w:rsidR="008F0D85" w:rsidRDefault="00AE42A1">
      <w:pPr>
        <w:pStyle w:val="Opisslike"/>
        <w:jc w:val="center"/>
      </w:pPr>
      <w:bookmarkStart w:id="146" w:name="_Toc516128384"/>
      <w:bookmarkStart w:id="147" w:name="_Toc527969497"/>
      <w:r>
        <w:t xml:space="preserve">Tablica </w:t>
      </w:r>
      <w:r>
        <w:fldChar w:fldCharType="begin"/>
      </w:r>
      <w:r>
        <w:instrText>SEQ Tablica \* ARABIC</w:instrText>
      </w:r>
      <w:r>
        <w:fldChar w:fldCharType="separate"/>
      </w:r>
      <w:r>
        <w:t>15</w:t>
      </w:r>
      <w:r>
        <w:fldChar w:fldCharType="end"/>
      </w:r>
      <w:bookmarkEnd w:id="146"/>
      <w:bookmarkEnd w:id="147"/>
      <w:r>
        <w:t>: Vrste naknada i broj primatelja naknada na području Općine</w:t>
      </w:r>
    </w:p>
    <w:tbl>
      <w:tblPr>
        <w:tblW w:w="8441" w:type="dxa"/>
        <w:tblInd w:w="306"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6747"/>
        <w:gridCol w:w="1694"/>
      </w:tblGrid>
      <w:tr w:rsidR="008F0D85">
        <w:tc>
          <w:tcPr>
            <w:tcW w:w="674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Vrsta naknade</w:t>
            </w:r>
          </w:p>
        </w:tc>
        <w:tc>
          <w:tcPr>
            <w:tcW w:w="169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Broj primatelja</w:t>
            </w:r>
          </w:p>
        </w:tc>
      </w:tr>
      <w:tr w:rsidR="008F0D85">
        <w:tc>
          <w:tcPr>
            <w:tcW w:w="674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sz w:val="20"/>
                <w:szCs w:val="20"/>
              </w:rPr>
            </w:pPr>
            <w:r>
              <w:rPr>
                <w:sz w:val="20"/>
                <w:szCs w:val="20"/>
              </w:rPr>
              <w:t>Starosna mirovina</w:t>
            </w:r>
          </w:p>
        </w:tc>
        <w:tc>
          <w:tcPr>
            <w:tcW w:w="169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344</w:t>
            </w:r>
          </w:p>
        </w:tc>
      </w:tr>
      <w:tr w:rsidR="008F0D85">
        <w:tc>
          <w:tcPr>
            <w:tcW w:w="674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sz w:val="20"/>
                <w:szCs w:val="20"/>
              </w:rPr>
            </w:pPr>
            <w:r>
              <w:rPr>
                <w:sz w:val="20"/>
                <w:szCs w:val="20"/>
              </w:rPr>
              <w:t>Ostale mirovine</w:t>
            </w:r>
          </w:p>
        </w:tc>
        <w:tc>
          <w:tcPr>
            <w:tcW w:w="169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409</w:t>
            </w:r>
          </w:p>
        </w:tc>
      </w:tr>
      <w:tr w:rsidR="008F0D85">
        <w:tc>
          <w:tcPr>
            <w:tcW w:w="674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sz w:val="20"/>
                <w:szCs w:val="20"/>
              </w:rPr>
            </w:pPr>
            <w:r>
              <w:rPr>
                <w:sz w:val="20"/>
                <w:szCs w:val="20"/>
              </w:rPr>
              <w:t>Socijalne naknade</w:t>
            </w:r>
          </w:p>
        </w:tc>
        <w:tc>
          <w:tcPr>
            <w:tcW w:w="169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289</w:t>
            </w:r>
          </w:p>
        </w:tc>
      </w:tr>
      <w:tr w:rsidR="008F0D85">
        <w:tc>
          <w:tcPr>
            <w:tcW w:w="674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b/>
                <w:sz w:val="20"/>
                <w:szCs w:val="20"/>
              </w:rPr>
            </w:pPr>
            <w:r>
              <w:rPr>
                <w:b/>
                <w:sz w:val="20"/>
                <w:szCs w:val="20"/>
              </w:rPr>
              <w:t>UKUPNO:</w:t>
            </w:r>
          </w:p>
        </w:tc>
        <w:tc>
          <w:tcPr>
            <w:tcW w:w="169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b/>
                <w:sz w:val="20"/>
                <w:szCs w:val="20"/>
              </w:rPr>
            </w:pPr>
            <w:r>
              <w:rPr>
                <w:b/>
                <w:sz w:val="20"/>
                <w:szCs w:val="20"/>
              </w:rPr>
              <w:t>1.042</w:t>
            </w:r>
          </w:p>
        </w:tc>
      </w:tr>
    </w:tbl>
    <w:p w:rsidR="008F0D85" w:rsidRDefault="00AE42A1">
      <w:pPr>
        <w:spacing w:after="160" w:line="252" w:lineRule="auto"/>
        <w:jc w:val="center"/>
        <w:rPr>
          <w:sz w:val="20"/>
          <w:szCs w:val="20"/>
        </w:rPr>
      </w:pPr>
      <w:bookmarkStart w:id="148" w:name="_Hlk503265705"/>
      <w:bookmarkEnd w:id="148"/>
      <w:r>
        <w:rPr>
          <w:sz w:val="20"/>
          <w:szCs w:val="20"/>
        </w:rPr>
        <w:t>Izvor: Državni zavod za statistiku, Popis stanovništva 2011. godine</w:t>
      </w:r>
    </w:p>
    <w:p w:rsidR="008F0D85" w:rsidRDefault="00AE42A1">
      <w:r>
        <w:t>Tijekom svibnja 2018.god. novčanu je naknadu koristilo 617 osoba, što je 27,4% ukupnog broja evidentiranih nezaposlenih osoba. Ta</w:t>
      </w:r>
      <w:r>
        <w:t xml:space="preserve">j je broj za 75 korisnika ili 10,8% manji od broja korisnika u mjesecu travnju, dok u odnosu na svibanj prethodne godine bilježi pad od 3,3%. Muškarci čine 48,6% ukupnog broja korisnika naspram 51,4% žena, a najveći broj korisnika prema razini obrazovanja </w:t>
      </w:r>
      <w:r>
        <w:t>čine osobe sa završenom srednjom školom za zanimanja do 3 godine i školom za KV i VKV radnike (34,4%). Gledano prema Ispostavama, Đurđevac evidentira 24,0%, Koprivnica 53,6%, a Križevci 22,4% udjela u ukupnom broju korisnika novčane naknade. Prosječna ispl</w:t>
      </w:r>
      <w:r>
        <w:t>aćena novčana naknada za mjesec svibanj 2018. godine na području Koprivničko-križevačke županije iznosila je 1.967,33 kn.</w:t>
      </w:r>
    </w:p>
    <w:p w:rsidR="008F0D85" w:rsidRDefault="00AE42A1">
      <w:pPr>
        <w:pStyle w:val="Naslov3"/>
      </w:pPr>
      <w:bookmarkStart w:id="149" w:name="_Toc512434576"/>
      <w:bookmarkStart w:id="150" w:name="_Toc514240131"/>
      <w:bookmarkStart w:id="151" w:name="_Toc516128234"/>
      <w:bookmarkStart w:id="152" w:name="_Toc527969344"/>
      <w:bookmarkEnd w:id="149"/>
      <w:bookmarkEnd w:id="150"/>
      <w:bookmarkEnd w:id="151"/>
      <w:bookmarkEnd w:id="152"/>
      <w:r>
        <w:t>2.9.3. Proračun Općine</w:t>
      </w:r>
    </w:p>
    <w:p w:rsidR="008F0D85" w:rsidRDefault="008F0D85"/>
    <w:p w:rsidR="008F0D85" w:rsidRDefault="00AE42A1">
      <w:r>
        <w:t xml:space="preserve">Planirani proračun za Općinu u 2018. godini iznosi 20.806.000,00 kuna. Proračunom Općine za 2018. god. te </w:t>
      </w:r>
      <w:r>
        <w:t>pripadajućim projekcijama osigurana su sredstva za obavljanje poslova civilne zaštite na području Općine.</w:t>
      </w:r>
    </w:p>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AE42A1">
      <w:pPr>
        <w:spacing w:after="0" w:line="360" w:lineRule="auto"/>
        <w:jc w:val="center"/>
        <w:rPr>
          <w:rFonts w:cs="Arial"/>
          <w:b/>
          <w:bCs/>
          <w:sz w:val="20"/>
          <w:szCs w:val="20"/>
          <w:highlight w:val="yellow"/>
        </w:rPr>
      </w:pPr>
      <w:bookmarkStart w:id="153" w:name="_Toc512434709"/>
      <w:bookmarkStart w:id="154" w:name="_Toc514240303"/>
      <w:bookmarkStart w:id="155" w:name="_Toc516128385"/>
      <w:bookmarkStart w:id="156" w:name="_Toc527969498"/>
      <w:r>
        <w:rPr>
          <w:rFonts w:cs="Arial"/>
          <w:b/>
          <w:bCs/>
          <w:sz w:val="20"/>
          <w:szCs w:val="20"/>
        </w:rPr>
        <w:t xml:space="preserve">Tablica </w:t>
      </w:r>
      <w:r>
        <w:rPr>
          <w:rFonts w:cs="Arial"/>
          <w:b/>
          <w:bCs/>
          <w:sz w:val="20"/>
          <w:szCs w:val="20"/>
        </w:rPr>
        <w:fldChar w:fldCharType="begin"/>
      </w:r>
      <w:r>
        <w:instrText>SEQ Tablica \* ARABIC</w:instrText>
      </w:r>
      <w:r>
        <w:fldChar w:fldCharType="separate"/>
      </w:r>
      <w:r>
        <w:t>16</w:t>
      </w:r>
      <w:r>
        <w:fldChar w:fldCharType="end"/>
      </w:r>
      <w:bookmarkEnd w:id="153"/>
      <w:bookmarkEnd w:id="154"/>
      <w:bookmarkEnd w:id="155"/>
      <w:bookmarkEnd w:id="156"/>
      <w:r>
        <w:rPr>
          <w:rFonts w:cs="Arial"/>
          <w:b/>
          <w:bCs/>
          <w:sz w:val="20"/>
          <w:szCs w:val="20"/>
        </w:rPr>
        <w:t>: Prikaz proračuna Općine za 2018.god. i projekcija za 2019. i 2020.god.</w:t>
      </w:r>
    </w:p>
    <w:tbl>
      <w:tblPr>
        <w:tblW w:w="906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3625"/>
        <w:gridCol w:w="1812"/>
        <w:gridCol w:w="1812"/>
        <w:gridCol w:w="1811"/>
      </w:tblGrid>
      <w:tr w:rsidR="008F0D85">
        <w:tc>
          <w:tcPr>
            <w:tcW w:w="9059" w:type="dxa"/>
            <w:gridSpan w:val="4"/>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b/>
                <w:sz w:val="20"/>
                <w:szCs w:val="20"/>
              </w:rPr>
            </w:pPr>
            <w:r>
              <w:rPr>
                <w:b/>
                <w:sz w:val="20"/>
                <w:szCs w:val="20"/>
              </w:rPr>
              <w:t>Proračun</w:t>
            </w:r>
          </w:p>
          <w:p w:rsidR="008F0D85" w:rsidRDefault="00AE42A1">
            <w:pPr>
              <w:spacing w:after="0"/>
              <w:jc w:val="center"/>
              <w:rPr>
                <w:b/>
                <w:sz w:val="20"/>
                <w:szCs w:val="20"/>
              </w:rPr>
            </w:pPr>
            <w:r>
              <w:rPr>
                <w:b/>
                <w:sz w:val="20"/>
                <w:szCs w:val="20"/>
              </w:rPr>
              <w:t>I. Opći dio</w:t>
            </w:r>
          </w:p>
        </w:tc>
      </w:tr>
      <w:tr w:rsidR="008F0D85">
        <w:tc>
          <w:tcPr>
            <w:tcW w:w="3624"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left"/>
              <w:rPr>
                <w:b/>
                <w:sz w:val="20"/>
                <w:szCs w:val="20"/>
              </w:rPr>
            </w:pPr>
            <w:r>
              <w:rPr>
                <w:b/>
                <w:sz w:val="20"/>
                <w:szCs w:val="20"/>
              </w:rPr>
              <w:t xml:space="preserve">A. Račun </w:t>
            </w:r>
            <w:r>
              <w:rPr>
                <w:b/>
                <w:sz w:val="20"/>
                <w:szCs w:val="20"/>
              </w:rPr>
              <w:t>prihoda i rashoda</w:t>
            </w:r>
          </w:p>
        </w:tc>
        <w:tc>
          <w:tcPr>
            <w:tcW w:w="181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b/>
                <w:sz w:val="20"/>
                <w:szCs w:val="20"/>
              </w:rPr>
            </w:pPr>
            <w:r>
              <w:rPr>
                <w:b/>
                <w:sz w:val="20"/>
                <w:szCs w:val="20"/>
              </w:rPr>
              <w:t>Plan 2018.</w:t>
            </w:r>
          </w:p>
        </w:tc>
        <w:tc>
          <w:tcPr>
            <w:tcW w:w="181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b/>
                <w:sz w:val="20"/>
                <w:szCs w:val="20"/>
              </w:rPr>
            </w:pPr>
            <w:r>
              <w:rPr>
                <w:b/>
                <w:sz w:val="20"/>
                <w:szCs w:val="20"/>
              </w:rPr>
              <w:t>Projekcija za 2019.</w:t>
            </w:r>
          </w:p>
        </w:tc>
        <w:tc>
          <w:tcPr>
            <w:tcW w:w="1811"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b/>
                <w:sz w:val="20"/>
                <w:szCs w:val="20"/>
              </w:rPr>
            </w:pPr>
            <w:r>
              <w:rPr>
                <w:b/>
                <w:sz w:val="20"/>
                <w:szCs w:val="20"/>
              </w:rPr>
              <w:t>Projekcija za 2020.</w:t>
            </w:r>
          </w:p>
        </w:tc>
      </w:tr>
      <w:tr w:rsidR="008F0D85">
        <w:tc>
          <w:tcPr>
            <w:tcW w:w="3624"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left"/>
              <w:rPr>
                <w:rFonts w:cs="Calibri"/>
                <w:sz w:val="20"/>
                <w:szCs w:val="20"/>
              </w:rPr>
            </w:pPr>
            <w:r>
              <w:rPr>
                <w:rFonts w:cs="Calibri"/>
                <w:sz w:val="20"/>
                <w:szCs w:val="20"/>
              </w:rPr>
              <w:t>6  Prihodi poslovanja</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20.806.000,00</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24.767.500,00</w:t>
            </w:r>
          </w:p>
        </w:tc>
        <w:tc>
          <w:tcPr>
            <w:tcW w:w="1811"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25.370.000,00</w:t>
            </w:r>
          </w:p>
        </w:tc>
      </w:tr>
      <w:tr w:rsidR="008F0D85">
        <w:tc>
          <w:tcPr>
            <w:tcW w:w="3624"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left"/>
              <w:rPr>
                <w:rFonts w:cs="Calibri"/>
                <w:sz w:val="20"/>
                <w:szCs w:val="20"/>
              </w:rPr>
            </w:pPr>
            <w:r>
              <w:rPr>
                <w:rFonts w:cs="Calibri"/>
                <w:sz w:val="20"/>
                <w:szCs w:val="20"/>
              </w:rPr>
              <w:t>7  Prihodi od prodaje nefinancijske imovine</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100.000,00</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110.000,00</w:t>
            </w:r>
          </w:p>
        </w:tc>
        <w:tc>
          <w:tcPr>
            <w:tcW w:w="1811"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120.000,00</w:t>
            </w:r>
          </w:p>
        </w:tc>
      </w:tr>
      <w:tr w:rsidR="008F0D85">
        <w:tc>
          <w:tcPr>
            <w:tcW w:w="3624"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left"/>
              <w:rPr>
                <w:rFonts w:cs="Calibri"/>
                <w:sz w:val="20"/>
                <w:szCs w:val="20"/>
              </w:rPr>
            </w:pPr>
            <w:r>
              <w:rPr>
                <w:rFonts w:cs="Calibri"/>
                <w:sz w:val="20"/>
                <w:szCs w:val="20"/>
              </w:rPr>
              <w:t>3  Rashodi poslovanja</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3.767.000,00</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3.609.000,00</w:t>
            </w:r>
          </w:p>
        </w:tc>
        <w:tc>
          <w:tcPr>
            <w:tcW w:w="1811"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3.636.000,00</w:t>
            </w:r>
          </w:p>
        </w:tc>
      </w:tr>
      <w:tr w:rsidR="008F0D85">
        <w:tc>
          <w:tcPr>
            <w:tcW w:w="3624"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left"/>
              <w:rPr>
                <w:rFonts w:cs="Calibri"/>
                <w:sz w:val="20"/>
                <w:szCs w:val="20"/>
              </w:rPr>
            </w:pPr>
            <w:r>
              <w:rPr>
                <w:rFonts w:cs="Calibri"/>
                <w:sz w:val="20"/>
                <w:szCs w:val="20"/>
              </w:rPr>
              <w:t>4  Rashodi za nefinancijsku imovinu</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13.162.000,00</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20.990.000,00</w:t>
            </w:r>
          </w:p>
        </w:tc>
        <w:tc>
          <w:tcPr>
            <w:tcW w:w="1811"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21.576.000,00</w:t>
            </w:r>
          </w:p>
        </w:tc>
      </w:tr>
      <w:tr w:rsidR="008F0D85">
        <w:tc>
          <w:tcPr>
            <w:tcW w:w="3624"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left"/>
              <w:rPr>
                <w:rFonts w:cs="Calibri"/>
                <w:sz w:val="20"/>
                <w:szCs w:val="20"/>
              </w:rPr>
            </w:pPr>
            <w:r>
              <w:rPr>
                <w:rFonts w:cs="Calibri"/>
                <w:sz w:val="20"/>
                <w:szCs w:val="20"/>
              </w:rPr>
              <w:t>RAZLIKA</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w:t>
            </w:r>
          </w:p>
        </w:tc>
        <w:tc>
          <w:tcPr>
            <w:tcW w:w="1811"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w:t>
            </w:r>
          </w:p>
        </w:tc>
      </w:tr>
      <w:tr w:rsidR="008F0D85">
        <w:tc>
          <w:tcPr>
            <w:tcW w:w="3624"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left"/>
              <w:rPr>
                <w:rFonts w:cs="Calibri"/>
                <w:b/>
                <w:sz w:val="20"/>
                <w:szCs w:val="20"/>
              </w:rPr>
            </w:pPr>
            <w:r>
              <w:rPr>
                <w:rFonts w:cs="Calibri"/>
                <w:b/>
                <w:sz w:val="20"/>
                <w:szCs w:val="20"/>
              </w:rPr>
              <w:t>B. Račun financiranja</w:t>
            </w:r>
          </w:p>
        </w:tc>
        <w:tc>
          <w:tcPr>
            <w:tcW w:w="181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8F0D85">
            <w:pPr>
              <w:spacing w:after="0"/>
              <w:jc w:val="center"/>
              <w:rPr>
                <w:rFonts w:cs="Calibri"/>
                <w:b/>
                <w:sz w:val="20"/>
                <w:szCs w:val="20"/>
              </w:rPr>
            </w:pPr>
          </w:p>
        </w:tc>
        <w:tc>
          <w:tcPr>
            <w:tcW w:w="181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8F0D85">
            <w:pPr>
              <w:spacing w:after="0"/>
              <w:jc w:val="center"/>
              <w:rPr>
                <w:rFonts w:cs="Calibri"/>
                <w:b/>
                <w:sz w:val="20"/>
                <w:szCs w:val="20"/>
              </w:rPr>
            </w:pPr>
          </w:p>
        </w:tc>
        <w:tc>
          <w:tcPr>
            <w:tcW w:w="1811"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8F0D85">
            <w:pPr>
              <w:spacing w:after="0"/>
              <w:jc w:val="center"/>
              <w:rPr>
                <w:rFonts w:cs="Calibri"/>
                <w:b/>
                <w:sz w:val="20"/>
                <w:szCs w:val="20"/>
              </w:rPr>
            </w:pPr>
          </w:p>
        </w:tc>
      </w:tr>
      <w:tr w:rsidR="008F0D85">
        <w:tc>
          <w:tcPr>
            <w:tcW w:w="3624"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left"/>
              <w:rPr>
                <w:rFonts w:cs="Calibri"/>
                <w:sz w:val="20"/>
                <w:szCs w:val="20"/>
              </w:rPr>
            </w:pPr>
            <w:r>
              <w:rPr>
                <w:rFonts w:cs="Calibri"/>
                <w:sz w:val="20"/>
                <w:szCs w:val="20"/>
              </w:rPr>
              <w:t>8  Primici od financijske imovine i zaduženja</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21.000,00</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21.500,00</w:t>
            </w:r>
          </w:p>
        </w:tc>
        <w:tc>
          <w:tcPr>
            <w:tcW w:w="1811"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22.000,00</w:t>
            </w:r>
          </w:p>
        </w:tc>
      </w:tr>
      <w:tr w:rsidR="008F0D85">
        <w:tc>
          <w:tcPr>
            <w:tcW w:w="3624"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left"/>
              <w:rPr>
                <w:rFonts w:cs="Calibri"/>
                <w:sz w:val="20"/>
                <w:szCs w:val="20"/>
              </w:rPr>
            </w:pPr>
            <w:r>
              <w:rPr>
                <w:rFonts w:cs="Calibri"/>
                <w:sz w:val="20"/>
                <w:szCs w:val="20"/>
              </w:rPr>
              <w:t xml:space="preserve">5  izdaci za </w:t>
            </w:r>
            <w:r>
              <w:rPr>
                <w:rFonts w:cs="Calibri"/>
                <w:sz w:val="20"/>
                <w:szCs w:val="20"/>
              </w:rPr>
              <w:t>financijsku imovinu i otplate zajmova</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700.000,00</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700.000,00</w:t>
            </w:r>
          </w:p>
        </w:tc>
        <w:tc>
          <w:tcPr>
            <w:tcW w:w="1811"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700.000,00</w:t>
            </w:r>
          </w:p>
        </w:tc>
      </w:tr>
      <w:tr w:rsidR="008F0D85">
        <w:tc>
          <w:tcPr>
            <w:tcW w:w="3624"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left"/>
              <w:rPr>
                <w:rFonts w:cs="Calibri"/>
                <w:sz w:val="20"/>
                <w:szCs w:val="20"/>
              </w:rPr>
            </w:pPr>
            <w:r>
              <w:rPr>
                <w:rFonts w:cs="Calibri"/>
                <w:sz w:val="20"/>
                <w:szCs w:val="20"/>
              </w:rPr>
              <w:t>NETO ZADUŽENJE / FINANCIRANJE</w:t>
            </w: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8F0D85">
            <w:pPr>
              <w:spacing w:after="0"/>
              <w:jc w:val="center"/>
              <w:rPr>
                <w:rFonts w:cs="Calibri"/>
                <w:sz w:val="20"/>
                <w:szCs w:val="20"/>
              </w:rPr>
            </w:pPr>
          </w:p>
        </w:tc>
        <w:tc>
          <w:tcPr>
            <w:tcW w:w="181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8F0D85">
            <w:pPr>
              <w:spacing w:after="0"/>
              <w:jc w:val="center"/>
              <w:rPr>
                <w:rFonts w:cs="Calibri"/>
                <w:sz w:val="20"/>
                <w:szCs w:val="20"/>
              </w:rPr>
            </w:pPr>
          </w:p>
        </w:tc>
        <w:tc>
          <w:tcPr>
            <w:tcW w:w="1811"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8F0D85">
            <w:pPr>
              <w:spacing w:after="0"/>
              <w:jc w:val="center"/>
              <w:rPr>
                <w:rFonts w:cs="Calibri"/>
                <w:sz w:val="20"/>
                <w:szCs w:val="20"/>
              </w:rPr>
            </w:pPr>
          </w:p>
        </w:tc>
      </w:tr>
      <w:tr w:rsidR="008F0D85">
        <w:tc>
          <w:tcPr>
            <w:tcW w:w="3624"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left"/>
              <w:rPr>
                <w:rFonts w:cs="Calibri"/>
                <w:b/>
                <w:sz w:val="20"/>
                <w:szCs w:val="20"/>
              </w:rPr>
            </w:pPr>
            <w:r>
              <w:rPr>
                <w:rFonts w:cs="Calibri"/>
                <w:b/>
                <w:sz w:val="20"/>
                <w:szCs w:val="20"/>
              </w:rPr>
              <w:t>C. Manjak prihoda prenesen iz prethodne godine</w:t>
            </w:r>
          </w:p>
        </w:tc>
        <w:tc>
          <w:tcPr>
            <w:tcW w:w="181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1.400.000,00</w:t>
            </w:r>
          </w:p>
        </w:tc>
        <w:tc>
          <w:tcPr>
            <w:tcW w:w="181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8F0D85">
            <w:pPr>
              <w:spacing w:after="0"/>
              <w:jc w:val="center"/>
              <w:rPr>
                <w:rFonts w:cs="Calibri"/>
                <w:b/>
                <w:sz w:val="20"/>
                <w:szCs w:val="20"/>
              </w:rPr>
            </w:pPr>
          </w:p>
        </w:tc>
        <w:tc>
          <w:tcPr>
            <w:tcW w:w="1811"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8F0D85">
            <w:pPr>
              <w:spacing w:after="0"/>
              <w:jc w:val="center"/>
              <w:rPr>
                <w:rFonts w:cs="Calibri"/>
                <w:b/>
                <w:sz w:val="20"/>
                <w:szCs w:val="20"/>
              </w:rPr>
            </w:pPr>
          </w:p>
        </w:tc>
      </w:tr>
      <w:tr w:rsidR="008F0D85">
        <w:tc>
          <w:tcPr>
            <w:tcW w:w="3624"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left"/>
              <w:rPr>
                <w:rFonts w:cs="Calibri"/>
                <w:b/>
                <w:sz w:val="20"/>
                <w:szCs w:val="20"/>
              </w:rPr>
            </w:pPr>
            <w:r>
              <w:rPr>
                <w:rFonts w:cs="Calibri"/>
                <w:b/>
                <w:sz w:val="20"/>
                <w:szCs w:val="20"/>
              </w:rPr>
              <w:t>VIŠAK / MANJAK + NETO ZADUŽIVANJE / FINANCIRANJE</w:t>
            </w:r>
          </w:p>
        </w:tc>
        <w:tc>
          <w:tcPr>
            <w:tcW w:w="181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8F0D85">
            <w:pPr>
              <w:spacing w:after="0"/>
              <w:jc w:val="center"/>
              <w:rPr>
                <w:rFonts w:cs="Calibri"/>
                <w:b/>
                <w:sz w:val="20"/>
                <w:szCs w:val="20"/>
              </w:rPr>
            </w:pPr>
          </w:p>
        </w:tc>
        <w:tc>
          <w:tcPr>
            <w:tcW w:w="181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8F0D85">
            <w:pPr>
              <w:spacing w:after="0"/>
              <w:jc w:val="center"/>
              <w:rPr>
                <w:rFonts w:cs="Calibri"/>
                <w:b/>
                <w:sz w:val="20"/>
                <w:szCs w:val="20"/>
              </w:rPr>
            </w:pPr>
          </w:p>
        </w:tc>
        <w:tc>
          <w:tcPr>
            <w:tcW w:w="1811"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8F0D85">
            <w:pPr>
              <w:spacing w:after="0"/>
              <w:jc w:val="center"/>
              <w:rPr>
                <w:rFonts w:cs="Calibri"/>
                <w:b/>
                <w:sz w:val="20"/>
                <w:szCs w:val="20"/>
              </w:rPr>
            </w:pPr>
          </w:p>
        </w:tc>
      </w:tr>
    </w:tbl>
    <w:p w:rsidR="008F0D85" w:rsidRDefault="008F0D85">
      <w:pPr>
        <w:rPr>
          <w:highlight w:val="yellow"/>
        </w:rPr>
      </w:pPr>
    </w:p>
    <w:p w:rsidR="008F0D85" w:rsidRDefault="00AE42A1">
      <w:pPr>
        <w:pStyle w:val="Opisslike"/>
        <w:jc w:val="center"/>
        <w:rPr>
          <w:highlight w:val="yellow"/>
        </w:rPr>
      </w:pPr>
      <w:bookmarkStart w:id="157" w:name="_Toc516128386"/>
      <w:bookmarkStart w:id="158" w:name="_Toc527969499"/>
      <w:r>
        <w:t xml:space="preserve">Tablica </w:t>
      </w:r>
      <w:r>
        <w:fldChar w:fldCharType="begin"/>
      </w:r>
      <w:r>
        <w:instrText xml:space="preserve">SEQ Tablica \* </w:instrText>
      </w:r>
      <w:r>
        <w:instrText>ARABIC</w:instrText>
      </w:r>
      <w:r>
        <w:fldChar w:fldCharType="separate"/>
      </w:r>
      <w:r>
        <w:t>17</w:t>
      </w:r>
      <w:r>
        <w:fldChar w:fldCharType="end"/>
      </w:r>
      <w:bookmarkEnd w:id="157"/>
      <w:bookmarkEnd w:id="158"/>
      <w:r>
        <w:t>: Prikaz dijela proračuna Općine raspoređenog za poslove civilne zaštite za 2018.god. i projekcije za 2019. i 2020.god.</w:t>
      </w:r>
    </w:p>
    <w:tbl>
      <w:tblPr>
        <w:tblW w:w="906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1980"/>
        <w:gridCol w:w="3172"/>
        <w:gridCol w:w="1285"/>
        <w:gridCol w:w="1311"/>
        <w:gridCol w:w="1314"/>
      </w:tblGrid>
      <w:tr w:rsidR="008F0D85">
        <w:trPr>
          <w:cantSplit/>
          <w:trHeight w:val="708"/>
        </w:trPr>
        <w:tc>
          <w:tcPr>
            <w:tcW w:w="1980"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 xml:space="preserve">Šifra – </w:t>
            </w:r>
          </w:p>
          <w:p w:rsidR="008F0D85" w:rsidRDefault="00AE42A1">
            <w:pPr>
              <w:spacing w:after="0"/>
              <w:jc w:val="center"/>
              <w:rPr>
                <w:rFonts w:cs="Calibri"/>
                <w:b/>
                <w:sz w:val="20"/>
                <w:szCs w:val="20"/>
              </w:rPr>
            </w:pPr>
            <w:r>
              <w:rPr>
                <w:rFonts w:cs="Calibri"/>
                <w:b/>
                <w:sz w:val="20"/>
                <w:szCs w:val="20"/>
              </w:rPr>
              <w:t>Programska</w:t>
            </w:r>
          </w:p>
          <w:p w:rsidR="008F0D85" w:rsidRDefault="00AE42A1">
            <w:pPr>
              <w:spacing w:after="0"/>
              <w:jc w:val="center"/>
              <w:rPr>
                <w:rFonts w:cs="Calibri"/>
                <w:b/>
                <w:sz w:val="20"/>
                <w:szCs w:val="20"/>
              </w:rPr>
            </w:pPr>
            <w:r>
              <w:rPr>
                <w:rFonts w:cs="Calibri"/>
                <w:b/>
                <w:sz w:val="20"/>
                <w:szCs w:val="20"/>
              </w:rPr>
              <w:t>Program</w:t>
            </w:r>
          </w:p>
          <w:p w:rsidR="008F0D85" w:rsidRDefault="00AE42A1">
            <w:pPr>
              <w:spacing w:after="0"/>
              <w:jc w:val="center"/>
              <w:rPr>
                <w:rFonts w:cs="Calibri"/>
                <w:b/>
                <w:sz w:val="20"/>
                <w:szCs w:val="20"/>
              </w:rPr>
            </w:pPr>
            <w:r>
              <w:rPr>
                <w:rFonts w:cs="Calibri"/>
                <w:b/>
                <w:sz w:val="20"/>
                <w:szCs w:val="20"/>
              </w:rPr>
              <w:t>Projekt /</w:t>
            </w:r>
          </w:p>
          <w:p w:rsidR="008F0D85" w:rsidRDefault="00AE42A1">
            <w:pPr>
              <w:spacing w:after="0"/>
              <w:jc w:val="center"/>
              <w:rPr>
                <w:rFonts w:cs="Calibri"/>
                <w:b/>
                <w:sz w:val="20"/>
                <w:szCs w:val="20"/>
              </w:rPr>
            </w:pPr>
            <w:r>
              <w:rPr>
                <w:rFonts w:cs="Calibri"/>
                <w:b/>
                <w:sz w:val="20"/>
                <w:szCs w:val="20"/>
              </w:rPr>
              <w:t>Aktivnost</w:t>
            </w:r>
          </w:p>
          <w:p w:rsidR="008F0D85" w:rsidRDefault="00AE42A1">
            <w:pPr>
              <w:spacing w:after="0"/>
              <w:jc w:val="center"/>
              <w:rPr>
                <w:rFonts w:cs="Calibri"/>
                <w:b/>
                <w:sz w:val="20"/>
                <w:szCs w:val="20"/>
              </w:rPr>
            </w:pPr>
            <w:r>
              <w:rPr>
                <w:rFonts w:cs="Calibri"/>
                <w:b/>
                <w:sz w:val="20"/>
                <w:szCs w:val="20"/>
              </w:rPr>
              <w:t>Broj konta</w:t>
            </w:r>
          </w:p>
        </w:tc>
        <w:tc>
          <w:tcPr>
            <w:tcW w:w="317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Vrsta prihoda/rashoda</w:t>
            </w:r>
          </w:p>
        </w:tc>
        <w:tc>
          <w:tcPr>
            <w:tcW w:w="128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Proračun za 2018.</w:t>
            </w:r>
          </w:p>
        </w:tc>
        <w:tc>
          <w:tcPr>
            <w:tcW w:w="1311"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Projekcija za 2019.</w:t>
            </w:r>
          </w:p>
        </w:tc>
        <w:tc>
          <w:tcPr>
            <w:tcW w:w="1314"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Projekcija 2020.</w:t>
            </w:r>
          </w:p>
        </w:tc>
      </w:tr>
      <w:tr w:rsidR="008F0D85">
        <w:tc>
          <w:tcPr>
            <w:tcW w:w="1980"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left"/>
              <w:rPr>
                <w:rFonts w:cs="Calibri"/>
                <w:sz w:val="20"/>
                <w:szCs w:val="20"/>
              </w:rPr>
            </w:pPr>
            <w:r>
              <w:rPr>
                <w:rFonts w:cs="Calibri"/>
                <w:sz w:val="20"/>
                <w:szCs w:val="20"/>
              </w:rPr>
              <w:t>006 Program : Religija, kultura, šport i ostale društvene djelatnosti</w:t>
            </w:r>
          </w:p>
        </w:tc>
        <w:tc>
          <w:tcPr>
            <w:tcW w:w="3172"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left"/>
              <w:rPr>
                <w:rFonts w:cs="Calibri"/>
                <w:sz w:val="20"/>
                <w:szCs w:val="20"/>
              </w:rPr>
            </w:pPr>
            <w:r>
              <w:rPr>
                <w:rFonts w:cs="Calibri"/>
                <w:sz w:val="20"/>
                <w:szCs w:val="20"/>
              </w:rPr>
              <w:t>19 Civilna zaštita</w:t>
            </w:r>
          </w:p>
        </w:tc>
        <w:tc>
          <w:tcPr>
            <w:tcW w:w="1285"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25.000,00</w:t>
            </w:r>
          </w:p>
        </w:tc>
        <w:tc>
          <w:tcPr>
            <w:tcW w:w="1311"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w:t>
            </w:r>
          </w:p>
        </w:tc>
        <w:tc>
          <w:tcPr>
            <w:tcW w:w="1314"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sz w:val="20"/>
                <w:szCs w:val="20"/>
              </w:rPr>
            </w:pPr>
            <w:r>
              <w:rPr>
                <w:rFonts w:cs="Calibri"/>
                <w:sz w:val="20"/>
                <w:szCs w:val="20"/>
              </w:rPr>
              <w:t>-</w:t>
            </w:r>
          </w:p>
        </w:tc>
      </w:tr>
    </w:tbl>
    <w:p w:rsidR="008F0D85" w:rsidRDefault="008F0D85">
      <w:pPr>
        <w:rPr>
          <w:highlight w:val="yellow"/>
        </w:rPr>
      </w:pPr>
    </w:p>
    <w:p w:rsidR="008F0D85" w:rsidRDefault="008F0D85">
      <w:pPr>
        <w:rPr>
          <w:highlight w:val="yellow"/>
        </w:rPr>
      </w:pPr>
    </w:p>
    <w:p w:rsidR="008F0D85" w:rsidRDefault="008F0D85">
      <w:pPr>
        <w:rPr>
          <w:highlight w:val="yellow"/>
        </w:rPr>
      </w:pPr>
    </w:p>
    <w:p w:rsidR="008F0D85" w:rsidRDefault="008F0D85">
      <w:pPr>
        <w:rPr>
          <w:highlight w:val="yellow"/>
        </w:rPr>
      </w:pPr>
    </w:p>
    <w:p w:rsidR="008F0D85" w:rsidRDefault="008F0D85">
      <w:pPr>
        <w:rPr>
          <w:highlight w:val="yellow"/>
        </w:rPr>
      </w:pPr>
    </w:p>
    <w:p w:rsidR="008F0D85" w:rsidRDefault="008F0D85">
      <w:pPr>
        <w:rPr>
          <w:highlight w:val="yellow"/>
        </w:rPr>
      </w:pPr>
    </w:p>
    <w:p w:rsidR="008F0D85" w:rsidRDefault="008F0D85">
      <w:pPr>
        <w:rPr>
          <w:highlight w:val="yellow"/>
        </w:rPr>
      </w:pPr>
    </w:p>
    <w:p w:rsidR="008F0D85" w:rsidRDefault="00AE42A1">
      <w:pPr>
        <w:pStyle w:val="Naslov3"/>
      </w:pPr>
      <w:bookmarkStart w:id="159" w:name="_Toc512434577"/>
      <w:bookmarkStart w:id="160" w:name="_Toc514240132"/>
      <w:bookmarkStart w:id="161" w:name="_Toc516128235"/>
      <w:bookmarkStart w:id="162" w:name="_Toc527969345"/>
      <w:bookmarkEnd w:id="159"/>
      <w:bookmarkEnd w:id="160"/>
      <w:bookmarkEnd w:id="161"/>
      <w:bookmarkEnd w:id="162"/>
      <w:r>
        <w:t>2.9.4. Gospodarske grane na području Općine</w:t>
      </w:r>
    </w:p>
    <w:p w:rsidR="008F0D85" w:rsidRDefault="008F0D85"/>
    <w:p w:rsidR="008F0D85" w:rsidRDefault="00AE42A1">
      <w:pPr>
        <w:spacing w:after="0"/>
        <w:rPr>
          <w:rFonts w:cs="Calibri"/>
          <w:color w:val="000000"/>
          <w:szCs w:val="24"/>
        </w:rPr>
      </w:pPr>
      <w:r>
        <w:rPr>
          <w:rFonts w:cs="Calibri"/>
          <w:color w:val="000000"/>
          <w:szCs w:val="24"/>
        </w:rPr>
        <w:t xml:space="preserve">Na području Općine postoje značajna nalazišta zemnog plina, koja su u </w:t>
      </w:r>
      <w:r>
        <w:rPr>
          <w:rFonts w:cs="Calibri"/>
          <w:color w:val="000000"/>
          <w:szCs w:val="24"/>
        </w:rPr>
        <w:t>eksploataciji INA naftaplina (sjeverni dio Općine). Ova su nalazišta smještena u okviru plinsko-kondenzatnog polja Kalinovac (otkriveno 1978. godine), koje se nalazi u blizini našeg najvećeg plinskog polja Molve. Akumulacija prirodnog plina i kondenzata na</w:t>
      </w:r>
      <w:r>
        <w:rPr>
          <w:rFonts w:cs="Calibri"/>
          <w:color w:val="000000"/>
          <w:szCs w:val="24"/>
        </w:rPr>
        <w:t xml:space="preserve"> poljima Molve, Kalinovac i Stari Gradac je okosnica energetske politike Hrvatske s utvrđenim rezervama od oko 46 milijardi m</w:t>
      </w:r>
      <w:r>
        <w:rPr>
          <w:rFonts w:cs="Calibri"/>
          <w:color w:val="000000"/>
          <w:szCs w:val="24"/>
          <w:vertAlign w:val="superscript"/>
        </w:rPr>
        <w:t>3</w:t>
      </w:r>
      <w:r>
        <w:rPr>
          <w:rFonts w:cs="Calibri"/>
          <w:color w:val="000000"/>
          <w:szCs w:val="24"/>
        </w:rPr>
        <w:t xml:space="preserve"> plina i 8,9 milijuna m</w:t>
      </w:r>
      <w:r>
        <w:rPr>
          <w:rFonts w:cs="Calibri"/>
          <w:color w:val="000000"/>
          <w:szCs w:val="24"/>
          <w:vertAlign w:val="superscript"/>
        </w:rPr>
        <w:t>3</w:t>
      </w:r>
      <w:r>
        <w:rPr>
          <w:rFonts w:cs="Calibri"/>
          <w:color w:val="000000"/>
          <w:szCs w:val="24"/>
        </w:rPr>
        <w:t xml:space="preserve"> kondenzata. Aktivna plinska bušotina je Kalinovac 16. </w:t>
      </w:r>
    </w:p>
    <w:p w:rsidR="008F0D85" w:rsidRDefault="008F0D85">
      <w:pPr>
        <w:spacing w:after="0"/>
        <w:rPr>
          <w:rFonts w:cs="Calibri"/>
          <w:color w:val="000000"/>
          <w:szCs w:val="24"/>
        </w:rPr>
      </w:pPr>
    </w:p>
    <w:p w:rsidR="008F0D85" w:rsidRDefault="00AE42A1">
      <w:pPr>
        <w:rPr>
          <w:rFonts w:cs="Calibri"/>
          <w:szCs w:val="24"/>
        </w:rPr>
      </w:pPr>
      <w:r>
        <w:rPr>
          <w:rFonts w:cs="Calibri"/>
          <w:color w:val="000000"/>
          <w:szCs w:val="24"/>
        </w:rPr>
        <w:t xml:space="preserve">Plin je akumuliran u ležištima vrlo </w:t>
      </w:r>
      <w:r>
        <w:rPr>
          <w:rFonts w:cs="Calibri"/>
          <w:color w:val="000000"/>
          <w:szCs w:val="24"/>
        </w:rPr>
        <w:t>kompleksne litologije, a ležišni tlakovi dosežu do 500 bara, uz ekstremno visoke temperature ležišta (do 200°C). U sastavu plina prisutne su neugljikovodične, korozivne i otrovne primjese (CO</w:t>
      </w:r>
      <w:r>
        <w:rPr>
          <w:rFonts w:cs="Calibri"/>
          <w:color w:val="000000"/>
          <w:szCs w:val="24"/>
          <w:vertAlign w:val="subscript"/>
        </w:rPr>
        <w:t>2</w:t>
      </w:r>
      <w:r>
        <w:rPr>
          <w:rFonts w:cs="Calibri"/>
          <w:color w:val="000000"/>
          <w:szCs w:val="24"/>
        </w:rPr>
        <w:t>, H</w:t>
      </w:r>
      <w:r>
        <w:rPr>
          <w:rFonts w:cs="Calibri"/>
          <w:color w:val="000000"/>
          <w:szCs w:val="24"/>
          <w:vertAlign w:val="subscript"/>
        </w:rPr>
        <w:t>2</w:t>
      </w:r>
      <w:r>
        <w:rPr>
          <w:rFonts w:cs="Calibri"/>
          <w:color w:val="000000"/>
          <w:szCs w:val="24"/>
        </w:rPr>
        <w:t xml:space="preserve">S, merkaptan i živa), koji su između ostalog i potencijalno </w:t>
      </w:r>
      <w:r>
        <w:rPr>
          <w:rFonts w:cs="Calibri"/>
          <w:color w:val="000000"/>
          <w:szCs w:val="24"/>
        </w:rPr>
        <w:t>opasni za okoliš. Kako stanoviti broj bušotina nije dao ekonomski opravdanu proizvodnost, na nekima su izvršeni stimulacijski radovi (hidraulička fraktura), čime je proizvodnost povećana do 10 puta.</w:t>
      </w:r>
    </w:p>
    <w:p w:rsidR="008F0D85" w:rsidRDefault="00AE42A1">
      <w:pPr>
        <w:numPr>
          <w:ilvl w:val="0"/>
          <w:numId w:val="6"/>
        </w:numPr>
        <w:contextualSpacing/>
        <w:rPr>
          <w:b/>
          <w:szCs w:val="24"/>
          <w:lang w:val="en-US"/>
        </w:rPr>
      </w:pPr>
      <w:r>
        <w:rPr>
          <w:b/>
          <w:szCs w:val="24"/>
          <w:lang w:val="en-US"/>
        </w:rPr>
        <w:t>Poljoprivredna proizvodnja</w:t>
      </w:r>
    </w:p>
    <w:p w:rsidR="008F0D85" w:rsidRDefault="008F0D85">
      <w:pPr>
        <w:rPr>
          <w:highlight w:val="yellow"/>
        </w:rPr>
      </w:pPr>
    </w:p>
    <w:p w:rsidR="008F0D85" w:rsidRDefault="00AE42A1">
      <w:pPr>
        <w:rPr>
          <w:rFonts w:cs="Calibri"/>
          <w:szCs w:val="24"/>
        </w:rPr>
      </w:pPr>
      <w:r>
        <w:rPr>
          <w:rFonts w:cs="Calibri"/>
          <w:szCs w:val="24"/>
        </w:rPr>
        <w:t>S obzirom na to da na područj</w:t>
      </w:r>
      <w:r>
        <w:rPr>
          <w:rFonts w:cs="Calibri"/>
          <w:szCs w:val="24"/>
        </w:rPr>
        <w:t xml:space="preserve">u Općine prevladava zaposlenost u primarnom sektoru ovo je izrazito poljoprivredni kraj. Najmanji je udio zaposlenih u sekundarnom (proizvodnom) sektoru. </w:t>
      </w:r>
      <w:r>
        <w:rPr>
          <w:rFonts w:cs="Calibri"/>
        </w:rPr>
        <w:t>Zanimanjima u poljoprivredi (stočarstvo, mljekarstvo, voćarstvo, povrćarstvo, pčelarstvo, peradarstvo,</w:t>
      </w:r>
      <w:r>
        <w:rPr>
          <w:rFonts w:cs="Calibri"/>
        </w:rPr>
        <w:t xml:space="preserve"> ratarstvo i drugo), šumarstvu i lovstvu se bavi najveći broj stanovnika. Zasluga tako velikom broju su prikladne obradive površine koje okružuju naselja u Općini te okruženost šumom kako po pitanju lovstva tako i šumarstva.</w:t>
      </w:r>
      <w:r>
        <w:rPr>
          <w:rFonts w:cs="Calibri"/>
          <w:szCs w:val="24"/>
        </w:rPr>
        <w:t xml:space="preserve"> </w:t>
      </w:r>
      <w:r>
        <w:rPr>
          <w:rFonts w:cs="Calibri"/>
          <w:color w:val="000000"/>
          <w:szCs w:val="24"/>
        </w:rPr>
        <w:t>Značajnu ulogu u gospodarstvu O</w:t>
      </w:r>
      <w:r>
        <w:rPr>
          <w:rFonts w:cs="Calibri"/>
          <w:color w:val="000000"/>
          <w:szCs w:val="24"/>
        </w:rPr>
        <w:t>pćine uz poljoprivredu ima rudarstvo kroz eksploatacijska polja plina.</w:t>
      </w:r>
    </w:p>
    <w:p w:rsidR="008F0D85" w:rsidRDefault="00AE42A1">
      <w:pPr>
        <w:jc w:val="center"/>
        <w:rPr>
          <w:rFonts w:cs="Calibri"/>
          <w:szCs w:val="24"/>
          <w:highlight w:val="yellow"/>
        </w:rPr>
      </w:pPr>
      <w:r>
        <w:rPr>
          <w:noProof/>
        </w:rPr>
        <w:lastRenderedPageBreak/>
        <w:drawing>
          <wp:inline distT="0" distB="0" distL="0" distR="0">
            <wp:extent cx="4534535" cy="6563360"/>
            <wp:effectExtent l="0" t="0" r="0" b="0"/>
            <wp:docPr id="1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
                    <pic:cNvPicPr>
                      <a:picLocks noChangeAspect="1" noChangeArrowheads="1"/>
                    </pic:cNvPicPr>
                  </pic:nvPicPr>
                  <pic:blipFill>
                    <a:blip r:embed="rId20"/>
                    <a:stretch>
                      <a:fillRect/>
                    </a:stretch>
                  </pic:blipFill>
                  <pic:spPr bwMode="auto">
                    <a:xfrm>
                      <a:off x="0" y="0"/>
                      <a:ext cx="4534535" cy="6563360"/>
                    </a:xfrm>
                    <a:prstGeom prst="rect">
                      <a:avLst/>
                    </a:prstGeom>
                  </pic:spPr>
                </pic:pic>
              </a:graphicData>
            </a:graphic>
          </wp:inline>
        </w:drawing>
      </w:r>
    </w:p>
    <w:p w:rsidR="008F0D85" w:rsidRDefault="00AE42A1">
      <w:pPr>
        <w:spacing w:after="0" w:line="360" w:lineRule="auto"/>
        <w:rPr>
          <w:rFonts w:cs="Arial"/>
          <w:b/>
          <w:bCs/>
          <w:sz w:val="20"/>
          <w:szCs w:val="20"/>
        </w:rPr>
      </w:pPr>
      <w:bookmarkStart w:id="163" w:name="_Toc514240394"/>
      <w:bookmarkStart w:id="164" w:name="_Toc516128475"/>
      <w:bookmarkStart w:id="165" w:name="_Toc527969578"/>
      <w:r>
        <w:rPr>
          <w:rFonts w:cs="Arial"/>
          <w:b/>
          <w:bCs/>
          <w:sz w:val="20"/>
          <w:szCs w:val="20"/>
        </w:rPr>
        <w:t xml:space="preserve">Slika </w:t>
      </w:r>
      <w:r>
        <w:rPr>
          <w:rFonts w:cs="Arial"/>
          <w:b/>
          <w:bCs/>
          <w:sz w:val="20"/>
          <w:szCs w:val="20"/>
        </w:rPr>
        <w:fldChar w:fldCharType="begin"/>
      </w:r>
      <w:r>
        <w:instrText>SEQ Slika \* ARABIC</w:instrText>
      </w:r>
      <w:r>
        <w:fldChar w:fldCharType="separate"/>
      </w:r>
      <w:r>
        <w:t>6</w:t>
      </w:r>
      <w:r>
        <w:fldChar w:fldCharType="end"/>
      </w:r>
      <w:bookmarkEnd w:id="163"/>
      <w:bookmarkEnd w:id="164"/>
      <w:bookmarkEnd w:id="165"/>
      <w:r>
        <w:rPr>
          <w:rFonts w:cs="Arial"/>
          <w:b/>
          <w:bCs/>
          <w:sz w:val="20"/>
          <w:szCs w:val="20"/>
        </w:rPr>
        <w:t>: Prikaz poljoprivrednih površina na području Općine</w:t>
      </w:r>
    </w:p>
    <w:p w:rsidR="008F0D85" w:rsidRDefault="00AE42A1">
      <w:pPr>
        <w:spacing w:after="0"/>
        <w:rPr>
          <w:sz w:val="20"/>
          <w:szCs w:val="20"/>
        </w:rPr>
      </w:pPr>
      <w:r>
        <w:rPr>
          <w:sz w:val="20"/>
          <w:szCs w:val="20"/>
        </w:rPr>
        <w:t>Izvor: Geoportal, DGU, 2018.god.</w:t>
      </w:r>
    </w:p>
    <w:p w:rsidR="008F0D85" w:rsidRDefault="008F0D85">
      <w:pPr>
        <w:spacing w:after="0"/>
        <w:rPr>
          <w:sz w:val="20"/>
          <w:szCs w:val="20"/>
        </w:rPr>
      </w:pPr>
    </w:p>
    <w:p w:rsidR="008F0D85" w:rsidRDefault="008F0D85">
      <w:pPr>
        <w:spacing w:after="0"/>
        <w:rPr>
          <w:sz w:val="20"/>
          <w:szCs w:val="20"/>
        </w:rPr>
        <w:sectPr w:rsidR="008F0D85">
          <w:headerReference w:type="default" r:id="rId21"/>
          <w:footerReference w:type="default" r:id="rId22"/>
          <w:pgSz w:w="11906" w:h="16838"/>
          <w:pgMar w:top="1417" w:right="1417" w:bottom="1417" w:left="1417" w:header="709" w:footer="709" w:gutter="0"/>
          <w:cols w:space="720"/>
          <w:formProt w:val="0"/>
          <w:titlePg/>
          <w:docGrid w:linePitch="360"/>
        </w:sectPr>
      </w:pPr>
    </w:p>
    <w:p w:rsidR="008F0D85" w:rsidRDefault="00AE42A1">
      <w:pPr>
        <w:spacing w:after="0" w:line="360" w:lineRule="auto"/>
        <w:jc w:val="center"/>
        <w:rPr>
          <w:rFonts w:cs="Arial"/>
          <w:b/>
          <w:bCs/>
          <w:sz w:val="20"/>
          <w:szCs w:val="20"/>
        </w:rPr>
      </w:pPr>
      <w:bookmarkStart w:id="186" w:name="_Toc512434711"/>
      <w:bookmarkStart w:id="187" w:name="_Toc514240305"/>
      <w:bookmarkStart w:id="188" w:name="_Toc516128387"/>
      <w:bookmarkStart w:id="189" w:name="_Toc527969500"/>
      <w:r>
        <w:rPr>
          <w:rFonts w:cs="Arial"/>
          <w:b/>
          <w:bCs/>
          <w:sz w:val="20"/>
          <w:szCs w:val="20"/>
        </w:rPr>
        <w:lastRenderedPageBreak/>
        <w:t xml:space="preserve">Tablica </w:t>
      </w:r>
      <w:r>
        <w:rPr>
          <w:rFonts w:cs="Arial"/>
          <w:b/>
          <w:bCs/>
          <w:sz w:val="20"/>
          <w:szCs w:val="20"/>
        </w:rPr>
        <w:fldChar w:fldCharType="begin"/>
      </w:r>
      <w:r>
        <w:instrText>SEQ Tablica \* ARABIC</w:instrText>
      </w:r>
      <w:r>
        <w:fldChar w:fldCharType="separate"/>
      </w:r>
      <w:r>
        <w:t>18</w:t>
      </w:r>
      <w:r>
        <w:fldChar w:fldCharType="end"/>
      </w:r>
      <w:bookmarkEnd w:id="186"/>
      <w:bookmarkEnd w:id="187"/>
      <w:bookmarkEnd w:id="188"/>
      <w:bookmarkEnd w:id="189"/>
      <w:r>
        <w:rPr>
          <w:rFonts w:cs="Arial"/>
          <w:b/>
          <w:bCs/>
          <w:sz w:val="20"/>
          <w:szCs w:val="20"/>
        </w:rPr>
        <w:t>: Prikaz površine korištenog poljoprivrednog zemljišta te broja stoke i peradi privatnih kućanstva</w:t>
      </w:r>
    </w:p>
    <w:tbl>
      <w:tblPr>
        <w:tblW w:w="1399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1389"/>
        <w:gridCol w:w="1052"/>
        <w:gridCol w:w="1067"/>
        <w:gridCol w:w="1049"/>
        <w:gridCol w:w="1053"/>
        <w:gridCol w:w="1064"/>
        <w:gridCol w:w="1061"/>
        <w:gridCol w:w="1058"/>
        <w:gridCol w:w="1049"/>
        <w:gridCol w:w="1040"/>
        <w:gridCol w:w="1028"/>
        <w:gridCol w:w="1040"/>
        <w:gridCol w:w="1042"/>
      </w:tblGrid>
      <w:tr w:rsidR="008F0D85">
        <w:trPr>
          <w:trHeight w:val="735"/>
        </w:trPr>
        <w:tc>
          <w:tcPr>
            <w:tcW w:w="1390" w:type="dxa"/>
            <w:vMerge w:val="restart"/>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 xml:space="preserve">Skupine kućanstva prema </w:t>
            </w:r>
            <w:r>
              <w:rPr>
                <w:rFonts w:cs="Calibri"/>
                <w:b/>
                <w:sz w:val="20"/>
                <w:szCs w:val="20"/>
              </w:rPr>
              <w:t>korištenom poljo. zemljištu (ha)</w:t>
            </w:r>
          </w:p>
        </w:tc>
        <w:tc>
          <w:tcPr>
            <w:tcW w:w="1053" w:type="dxa"/>
            <w:vMerge w:val="restart"/>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Br. kućanstva</w:t>
            </w:r>
          </w:p>
        </w:tc>
        <w:tc>
          <w:tcPr>
            <w:tcW w:w="1067" w:type="dxa"/>
            <w:vMerge w:val="restart"/>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Uk. Korišteno poljo. zemljište (ha)</w:t>
            </w:r>
          </w:p>
        </w:tc>
        <w:tc>
          <w:tcPr>
            <w:tcW w:w="4227" w:type="dxa"/>
            <w:gridSpan w:val="4"/>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Korišteno poljo. zemljište (ha)</w:t>
            </w:r>
          </w:p>
        </w:tc>
        <w:tc>
          <w:tcPr>
            <w:tcW w:w="105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Ostalo poljo. zemljište (livade, pašnjaci i dr.) (ha)</w:t>
            </w:r>
          </w:p>
        </w:tc>
        <w:tc>
          <w:tcPr>
            <w:tcW w:w="5198" w:type="dxa"/>
            <w:gridSpan w:val="5"/>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Broj stoke i peradi</w:t>
            </w:r>
          </w:p>
        </w:tc>
      </w:tr>
      <w:tr w:rsidR="008F0D85">
        <w:trPr>
          <w:trHeight w:val="735"/>
        </w:trPr>
        <w:tc>
          <w:tcPr>
            <w:tcW w:w="1390" w:type="dxa"/>
            <w:vMerge/>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8F0D85">
            <w:pPr>
              <w:spacing w:after="0" w:line="240" w:lineRule="auto"/>
              <w:jc w:val="center"/>
              <w:rPr>
                <w:rFonts w:cs="Calibri"/>
                <w:b/>
                <w:sz w:val="20"/>
                <w:szCs w:val="20"/>
              </w:rPr>
            </w:pPr>
          </w:p>
        </w:tc>
        <w:tc>
          <w:tcPr>
            <w:tcW w:w="1053" w:type="dxa"/>
            <w:vMerge/>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8F0D85">
            <w:pPr>
              <w:spacing w:after="0" w:line="240" w:lineRule="auto"/>
              <w:jc w:val="center"/>
              <w:rPr>
                <w:rFonts w:cs="Calibri"/>
                <w:b/>
                <w:sz w:val="20"/>
                <w:szCs w:val="20"/>
              </w:rPr>
            </w:pPr>
          </w:p>
        </w:tc>
        <w:tc>
          <w:tcPr>
            <w:tcW w:w="1067" w:type="dxa"/>
            <w:vMerge/>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8F0D85">
            <w:pPr>
              <w:spacing w:after="0" w:line="240" w:lineRule="auto"/>
              <w:jc w:val="center"/>
              <w:rPr>
                <w:rFonts w:cs="Calibri"/>
                <w:b/>
                <w:sz w:val="20"/>
                <w:szCs w:val="20"/>
              </w:rPr>
            </w:pPr>
          </w:p>
        </w:tc>
        <w:tc>
          <w:tcPr>
            <w:tcW w:w="1049"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Oranice</w:t>
            </w:r>
          </w:p>
        </w:tc>
        <w:tc>
          <w:tcPr>
            <w:tcW w:w="1053"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Voćnjaci</w:t>
            </w:r>
          </w:p>
        </w:tc>
        <w:tc>
          <w:tcPr>
            <w:tcW w:w="1064"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Vinogradi</w:t>
            </w:r>
          </w:p>
        </w:tc>
        <w:tc>
          <w:tcPr>
            <w:tcW w:w="1058"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Maslinici</w:t>
            </w:r>
          </w:p>
        </w:tc>
        <w:tc>
          <w:tcPr>
            <w:tcW w:w="1058"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8F0D85">
            <w:pPr>
              <w:spacing w:after="0" w:line="240" w:lineRule="auto"/>
              <w:jc w:val="center"/>
              <w:rPr>
                <w:rFonts w:cs="Calibri"/>
                <w:b/>
                <w:sz w:val="20"/>
                <w:szCs w:val="20"/>
              </w:rPr>
            </w:pPr>
          </w:p>
        </w:tc>
        <w:tc>
          <w:tcPr>
            <w:tcW w:w="1049"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Goveda</w:t>
            </w:r>
          </w:p>
        </w:tc>
        <w:tc>
          <w:tcPr>
            <w:tcW w:w="1040"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Ovaca</w:t>
            </w:r>
          </w:p>
        </w:tc>
        <w:tc>
          <w:tcPr>
            <w:tcW w:w="1028"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Koza</w:t>
            </w:r>
          </w:p>
        </w:tc>
        <w:tc>
          <w:tcPr>
            <w:tcW w:w="1040"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Svinja</w:t>
            </w:r>
          </w:p>
        </w:tc>
        <w:tc>
          <w:tcPr>
            <w:tcW w:w="104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Peradi</w:t>
            </w:r>
          </w:p>
        </w:tc>
      </w:tr>
      <w:tr w:rsidR="008F0D85">
        <w:tc>
          <w:tcPr>
            <w:tcW w:w="13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Ukupno:</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1.051</w:t>
            </w:r>
          </w:p>
        </w:tc>
        <w:tc>
          <w:tcPr>
            <w:tcW w:w="106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2.166,45</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1.647,52</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55,53</w:t>
            </w:r>
          </w:p>
        </w:tc>
        <w:tc>
          <w:tcPr>
            <w:tcW w:w="10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86,19</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10,00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367,11</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1.701</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801</w:t>
            </w:r>
          </w:p>
        </w:tc>
        <w:tc>
          <w:tcPr>
            <w:tcW w:w="102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196</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1.745</w:t>
            </w:r>
          </w:p>
        </w:tc>
        <w:tc>
          <w:tcPr>
            <w:tcW w:w="104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7-891</w:t>
            </w:r>
          </w:p>
        </w:tc>
      </w:tr>
      <w:tr w:rsidR="008F0D85">
        <w:tc>
          <w:tcPr>
            <w:tcW w:w="13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Bez zemlje</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481</w:t>
            </w:r>
          </w:p>
        </w:tc>
        <w:tc>
          <w:tcPr>
            <w:tcW w:w="106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0,00</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0,00</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0,00</w:t>
            </w:r>
          </w:p>
        </w:tc>
        <w:tc>
          <w:tcPr>
            <w:tcW w:w="10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0,00</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9</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91</w:t>
            </w:r>
          </w:p>
        </w:tc>
        <w:tc>
          <w:tcPr>
            <w:tcW w:w="102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28</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75</w:t>
            </w:r>
          </w:p>
        </w:tc>
        <w:tc>
          <w:tcPr>
            <w:tcW w:w="104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1.156</w:t>
            </w:r>
          </w:p>
        </w:tc>
      </w:tr>
      <w:tr w:rsidR="008F0D85">
        <w:tc>
          <w:tcPr>
            <w:tcW w:w="13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 xml:space="preserve">do 0,09 </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12</w:t>
            </w:r>
          </w:p>
        </w:tc>
        <w:tc>
          <w:tcPr>
            <w:tcW w:w="106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0,63</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0,26</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0,07</w:t>
            </w:r>
          </w:p>
        </w:tc>
        <w:tc>
          <w:tcPr>
            <w:tcW w:w="10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0,30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0,00</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4</w:t>
            </w:r>
          </w:p>
        </w:tc>
        <w:tc>
          <w:tcPr>
            <w:tcW w:w="102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w:t>
            </w:r>
          </w:p>
        </w:tc>
        <w:tc>
          <w:tcPr>
            <w:tcW w:w="104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68</w:t>
            </w:r>
          </w:p>
        </w:tc>
      </w:tr>
      <w:tr w:rsidR="008F0D85">
        <w:tc>
          <w:tcPr>
            <w:tcW w:w="13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 xml:space="preserve">0,10 – 0,49 </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110</w:t>
            </w:r>
          </w:p>
        </w:tc>
        <w:tc>
          <w:tcPr>
            <w:tcW w:w="106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27,22</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12,37</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0,54</w:t>
            </w:r>
          </w:p>
        </w:tc>
        <w:tc>
          <w:tcPr>
            <w:tcW w:w="10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8,83</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5,38</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w:t>
            </w:r>
          </w:p>
        </w:tc>
        <w:tc>
          <w:tcPr>
            <w:tcW w:w="102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30</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27</w:t>
            </w:r>
          </w:p>
        </w:tc>
        <w:tc>
          <w:tcPr>
            <w:tcW w:w="104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1.989</w:t>
            </w:r>
          </w:p>
        </w:tc>
      </w:tr>
      <w:tr w:rsidR="008F0D85">
        <w:tc>
          <w:tcPr>
            <w:tcW w:w="13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0,50 – 0,99</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79</w:t>
            </w:r>
          </w:p>
        </w:tc>
        <w:tc>
          <w:tcPr>
            <w:tcW w:w="106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54,19</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35,73</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1,93</w:t>
            </w:r>
          </w:p>
        </w:tc>
        <w:tc>
          <w:tcPr>
            <w:tcW w:w="10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6,25</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10,28</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42</w:t>
            </w:r>
          </w:p>
        </w:tc>
        <w:tc>
          <w:tcPr>
            <w:tcW w:w="102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46</w:t>
            </w:r>
          </w:p>
        </w:tc>
        <w:tc>
          <w:tcPr>
            <w:tcW w:w="104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585</w:t>
            </w:r>
          </w:p>
        </w:tc>
      </w:tr>
      <w:tr w:rsidR="008F0D85">
        <w:tc>
          <w:tcPr>
            <w:tcW w:w="13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1,00 – 2,99</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161</w:t>
            </w:r>
          </w:p>
        </w:tc>
        <w:tc>
          <w:tcPr>
            <w:tcW w:w="106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289,70</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203,53</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10,31</w:t>
            </w:r>
          </w:p>
        </w:tc>
        <w:tc>
          <w:tcPr>
            <w:tcW w:w="10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15,75</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50,11</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38</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121</w:t>
            </w:r>
          </w:p>
        </w:tc>
        <w:tc>
          <w:tcPr>
            <w:tcW w:w="102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54</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331</w:t>
            </w:r>
          </w:p>
        </w:tc>
        <w:tc>
          <w:tcPr>
            <w:tcW w:w="104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1.507</w:t>
            </w:r>
          </w:p>
        </w:tc>
      </w:tr>
      <w:tr w:rsidR="008F0D85">
        <w:tc>
          <w:tcPr>
            <w:tcW w:w="13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3,00 – 4,99</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96</w:t>
            </w:r>
          </w:p>
        </w:tc>
        <w:tc>
          <w:tcPr>
            <w:tcW w:w="106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363,93</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261,45</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10,39</w:t>
            </w:r>
          </w:p>
        </w:tc>
        <w:tc>
          <w:tcPr>
            <w:tcW w:w="10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16,03</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4,00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72,06</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99</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209</w:t>
            </w:r>
          </w:p>
        </w:tc>
        <w:tc>
          <w:tcPr>
            <w:tcW w:w="102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22</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311</w:t>
            </w:r>
          </w:p>
        </w:tc>
        <w:tc>
          <w:tcPr>
            <w:tcW w:w="104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1.173</w:t>
            </w:r>
          </w:p>
        </w:tc>
      </w:tr>
      <w:tr w:rsidR="008F0D85">
        <w:tc>
          <w:tcPr>
            <w:tcW w:w="13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 xml:space="preserve">5,00 – </w:t>
            </w:r>
            <w:r>
              <w:rPr>
                <w:rFonts w:cs="Calibri"/>
                <w:sz w:val="20"/>
                <w:szCs w:val="20"/>
              </w:rPr>
              <w:t>7,99</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56</w:t>
            </w:r>
          </w:p>
        </w:tc>
        <w:tc>
          <w:tcPr>
            <w:tcW w:w="106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346,45</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235,69</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11,07</w:t>
            </w:r>
          </w:p>
        </w:tc>
        <w:tc>
          <w:tcPr>
            <w:tcW w:w="10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21,02</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78,67</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198</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210</w:t>
            </w:r>
          </w:p>
        </w:tc>
        <w:tc>
          <w:tcPr>
            <w:tcW w:w="102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25</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270</w:t>
            </w:r>
          </w:p>
        </w:tc>
        <w:tc>
          <w:tcPr>
            <w:tcW w:w="104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751</w:t>
            </w:r>
          </w:p>
        </w:tc>
      </w:tr>
      <w:tr w:rsidR="008F0D85">
        <w:tc>
          <w:tcPr>
            <w:tcW w:w="13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8,00 – 9,99</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14</w:t>
            </w:r>
          </w:p>
        </w:tc>
        <w:tc>
          <w:tcPr>
            <w:tcW w:w="106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122,88</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102,06</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0,20</w:t>
            </w:r>
          </w:p>
        </w:tc>
        <w:tc>
          <w:tcPr>
            <w:tcW w:w="10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2,35</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18,27</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80</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14</w:t>
            </w:r>
          </w:p>
        </w:tc>
        <w:tc>
          <w:tcPr>
            <w:tcW w:w="102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151</w:t>
            </w:r>
          </w:p>
        </w:tc>
        <w:tc>
          <w:tcPr>
            <w:tcW w:w="104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172</w:t>
            </w:r>
          </w:p>
        </w:tc>
      </w:tr>
      <w:tr w:rsidR="008F0D85">
        <w:tc>
          <w:tcPr>
            <w:tcW w:w="13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10,00 – 19,99</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26</w:t>
            </w:r>
          </w:p>
        </w:tc>
        <w:tc>
          <w:tcPr>
            <w:tcW w:w="106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346,47</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285,64</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4,29</w:t>
            </w:r>
          </w:p>
        </w:tc>
        <w:tc>
          <w:tcPr>
            <w:tcW w:w="10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4,88</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51,66</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381</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100</w:t>
            </w:r>
          </w:p>
        </w:tc>
        <w:tc>
          <w:tcPr>
            <w:tcW w:w="102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30</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476</w:t>
            </w:r>
          </w:p>
        </w:tc>
        <w:tc>
          <w:tcPr>
            <w:tcW w:w="104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346</w:t>
            </w:r>
          </w:p>
        </w:tc>
      </w:tr>
      <w:tr w:rsidR="008F0D85">
        <w:tc>
          <w:tcPr>
            <w:tcW w:w="13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20 i više</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16</w:t>
            </w:r>
          </w:p>
        </w:tc>
        <w:tc>
          <w:tcPr>
            <w:tcW w:w="106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614,98</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510,79</w:t>
            </w:r>
          </w:p>
        </w:tc>
        <w:tc>
          <w:tcPr>
            <w:tcW w:w="10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16,73</w:t>
            </w:r>
          </w:p>
        </w:tc>
        <w:tc>
          <w:tcPr>
            <w:tcW w:w="10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10,78</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6,00</w:t>
            </w:r>
          </w:p>
        </w:tc>
        <w:tc>
          <w:tcPr>
            <w:tcW w:w="10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70,68</w:t>
            </w:r>
          </w:p>
        </w:tc>
        <w:tc>
          <w:tcPr>
            <w:tcW w:w="104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891</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w:t>
            </w:r>
          </w:p>
        </w:tc>
        <w:tc>
          <w:tcPr>
            <w:tcW w:w="102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w:t>
            </w:r>
          </w:p>
        </w:tc>
        <w:tc>
          <w:tcPr>
            <w:tcW w:w="10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56</w:t>
            </w:r>
          </w:p>
        </w:tc>
        <w:tc>
          <w:tcPr>
            <w:tcW w:w="104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144</w:t>
            </w:r>
          </w:p>
        </w:tc>
      </w:tr>
    </w:tbl>
    <w:p w:rsidR="008F0D85" w:rsidRDefault="00AE42A1">
      <w:pPr>
        <w:spacing w:after="160" w:line="252" w:lineRule="auto"/>
        <w:jc w:val="center"/>
        <w:rPr>
          <w:sz w:val="20"/>
          <w:szCs w:val="20"/>
        </w:rPr>
      </w:pPr>
      <w:r>
        <w:rPr>
          <w:sz w:val="20"/>
          <w:szCs w:val="20"/>
        </w:rPr>
        <w:t>Izvor: Državni zavod za statistiku, Popis stanovništva 2011.god.</w:t>
      </w:r>
    </w:p>
    <w:p w:rsidR="008F0D85" w:rsidRDefault="008F0D85">
      <w:pPr>
        <w:spacing w:after="0"/>
        <w:rPr>
          <w:sz w:val="20"/>
          <w:szCs w:val="20"/>
        </w:rPr>
      </w:pPr>
    </w:p>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AE42A1">
      <w:pPr>
        <w:spacing w:after="0" w:line="360" w:lineRule="auto"/>
        <w:jc w:val="center"/>
        <w:rPr>
          <w:rFonts w:cs="Arial"/>
          <w:b/>
          <w:bCs/>
          <w:sz w:val="20"/>
          <w:szCs w:val="20"/>
        </w:rPr>
      </w:pPr>
      <w:bookmarkStart w:id="190" w:name="_Toc512434712"/>
      <w:bookmarkStart w:id="191" w:name="_Toc514240306"/>
      <w:bookmarkStart w:id="192" w:name="_Toc516128388"/>
      <w:bookmarkStart w:id="193" w:name="_Toc527969501"/>
      <w:r>
        <w:rPr>
          <w:rFonts w:cs="Arial"/>
          <w:b/>
          <w:bCs/>
          <w:sz w:val="20"/>
          <w:szCs w:val="20"/>
        </w:rPr>
        <w:t xml:space="preserve">Tablica </w:t>
      </w:r>
      <w:r>
        <w:rPr>
          <w:rFonts w:cs="Arial"/>
          <w:b/>
          <w:bCs/>
          <w:sz w:val="20"/>
          <w:szCs w:val="20"/>
        </w:rPr>
        <w:fldChar w:fldCharType="begin"/>
      </w:r>
      <w:r>
        <w:instrText>SEQ Tablica \* ARABIC</w:instrText>
      </w:r>
      <w:r>
        <w:fldChar w:fldCharType="separate"/>
      </w:r>
      <w:r>
        <w:t>19</w:t>
      </w:r>
      <w:r>
        <w:fldChar w:fldCharType="end"/>
      </w:r>
      <w:bookmarkEnd w:id="190"/>
      <w:bookmarkEnd w:id="191"/>
      <w:bookmarkEnd w:id="192"/>
      <w:bookmarkEnd w:id="193"/>
      <w:r>
        <w:rPr>
          <w:rFonts w:cs="Arial"/>
          <w:b/>
          <w:bCs/>
          <w:sz w:val="20"/>
          <w:szCs w:val="20"/>
        </w:rPr>
        <w:t>: Prikaz privatnih kućanstva prema korištenome poljoprivrednome zemljištu, broju stoke i peradi</w:t>
      </w:r>
    </w:p>
    <w:tbl>
      <w:tblPr>
        <w:tblW w:w="13178" w:type="dxa"/>
        <w:tblInd w:w="40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1400"/>
        <w:gridCol w:w="874"/>
        <w:gridCol w:w="1093"/>
        <w:gridCol w:w="1155"/>
        <w:gridCol w:w="1258"/>
        <w:gridCol w:w="1207"/>
        <w:gridCol w:w="1122"/>
        <w:gridCol w:w="1055"/>
        <w:gridCol w:w="1007"/>
        <w:gridCol w:w="1007"/>
        <w:gridCol w:w="1036"/>
        <w:gridCol w:w="964"/>
      </w:tblGrid>
      <w:tr w:rsidR="008F0D85">
        <w:trPr>
          <w:trHeight w:val="735"/>
        </w:trPr>
        <w:tc>
          <w:tcPr>
            <w:tcW w:w="1399" w:type="dxa"/>
            <w:vMerge w:val="restart"/>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 xml:space="preserve">Skupine kućanstva prema </w:t>
            </w:r>
            <w:r>
              <w:rPr>
                <w:rFonts w:cs="Calibri"/>
                <w:b/>
                <w:sz w:val="20"/>
                <w:szCs w:val="20"/>
              </w:rPr>
              <w:t>korištenom poljo. zemljištu (ha)</w:t>
            </w:r>
          </w:p>
        </w:tc>
        <w:tc>
          <w:tcPr>
            <w:tcW w:w="874" w:type="dxa"/>
            <w:vMerge w:val="restart"/>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Ukupno</w:t>
            </w:r>
          </w:p>
        </w:tc>
        <w:tc>
          <w:tcPr>
            <w:tcW w:w="10904" w:type="dxa"/>
            <w:gridSpan w:val="10"/>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Broj kućanstva</w:t>
            </w:r>
          </w:p>
        </w:tc>
      </w:tr>
      <w:tr w:rsidR="008F0D85">
        <w:trPr>
          <w:trHeight w:val="735"/>
        </w:trPr>
        <w:tc>
          <w:tcPr>
            <w:tcW w:w="1399" w:type="dxa"/>
            <w:vMerge/>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8F0D85">
            <w:pPr>
              <w:spacing w:after="0" w:line="240" w:lineRule="auto"/>
              <w:jc w:val="center"/>
              <w:rPr>
                <w:rFonts w:cs="Calibri"/>
                <w:b/>
                <w:sz w:val="20"/>
                <w:szCs w:val="20"/>
              </w:rPr>
            </w:pPr>
          </w:p>
        </w:tc>
        <w:tc>
          <w:tcPr>
            <w:tcW w:w="874" w:type="dxa"/>
            <w:vMerge/>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8F0D85">
            <w:pPr>
              <w:spacing w:after="0" w:line="240" w:lineRule="auto"/>
              <w:jc w:val="center"/>
              <w:rPr>
                <w:rFonts w:cs="Calibri"/>
                <w:b/>
                <w:sz w:val="20"/>
                <w:szCs w:val="20"/>
              </w:rPr>
            </w:pPr>
          </w:p>
        </w:tc>
        <w:tc>
          <w:tcPr>
            <w:tcW w:w="1093"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S oranicama</w:t>
            </w:r>
          </w:p>
        </w:tc>
        <w:tc>
          <w:tcPr>
            <w:tcW w:w="115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S voćnjacima</w:t>
            </w:r>
          </w:p>
        </w:tc>
        <w:tc>
          <w:tcPr>
            <w:tcW w:w="1258"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S vinogradima</w:t>
            </w:r>
          </w:p>
        </w:tc>
        <w:tc>
          <w:tcPr>
            <w:tcW w:w="1207"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S maslinicima</w:t>
            </w:r>
          </w:p>
        </w:tc>
        <w:tc>
          <w:tcPr>
            <w:tcW w:w="112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 xml:space="preserve">S ostalim poljo. zemljištem (livade, pašnjaci i dr.) </w:t>
            </w:r>
          </w:p>
        </w:tc>
        <w:tc>
          <w:tcPr>
            <w:tcW w:w="105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S govedima</w:t>
            </w:r>
          </w:p>
        </w:tc>
        <w:tc>
          <w:tcPr>
            <w:tcW w:w="1007"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S ovcama</w:t>
            </w:r>
          </w:p>
        </w:tc>
        <w:tc>
          <w:tcPr>
            <w:tcW w:w="1007"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S kozama</w:t>
            </w:r>
          </w:p>
        </w:tc>
        <w:tc>
          <w:tcPr>
            <w:tcW w:w="103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Sa svinjama</w:t>
            </w:r>
          </w:p>
        </w:tc>
        <w:tc>
          <w:tcPr>
            <w:tcW w:w="964"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S peradi</w:t>
            </w:r>
          </w:p>
        </w:tc>
      </w:tr>
      <w:tr w:rsidR="008F0D85">
        <w:tc>
          <w:tcPr>
            <w:tcW w:w="139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Ukupno:</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1.051</w:t>
            </w:r>
          </w:p>
        </w:tc>
        <w:tc>
          <w:tcPr>
            <w:tcW w:w="109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471</w:t>
            </w:r>
          </w:p>
        </w:tc>
        <w:tc>
          <w:tcPr>
            <w:tcW w:w="11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71</w:t>
            </w:r>
          </w:p>
        </w:tc>
        <w:tc>
          <w:tcPr>
            <w:tcW w:w="12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308</w:t>
            </w:r>
          </w:p>
        </w:tc>
        <w:tc>
          <w:tcPr>
            <w:tcW w:w="12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2</w:t>
            </w:r>
          </w:p>
        </w:tc>
        <w:tc>
          <w:tcPr>
            <w:tcW w:w="11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293</w:t>
            </w:r>
          </w:p>
        </w:tc>
        <w:tc>
          <w:tcPr>
            <w:tcW w:w="10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107</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57</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35</w:t>
            </w:r>
          </w:p>
        </w:tc>
        <w:tc>
          <w:tcPr>
            <w:tcW w:w="103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257</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b/>
                <w:sz w:val="20"/>
                <w:szCs w:val="20"/>
              </w:rPr>
            </w:pPr>
            <w:r>
              <w:rPr>
                <w:rFonts w:cs="Calibri"/>
                <w:b/>
                <w:sz w:val="20"/>
                <w:szCs w:val="20"/>
              </w:rPr>
              <w:t>460</w:t>
            </w:r>
          </w:p>
        </w:tc>
      </w:tr>
      <w:tr w:rsidR="008F0D85">
        <w:tc>
          <w:tcPr>
            <w:tcW w:w="139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Bez zemlje</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481</w:t>
            </w:r>
          </w:p>
        </w:tc>
        <w:tc>
          <w:tcPr>
            <w:tcW w:w="109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1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2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2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1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0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6</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w:t>
            </w:r>
          </w:p>
        </w:tc>
        <w:tc>
          <w:tcPr>
            <w:tcW w:w="103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20</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110</w:t>
            </w:r>
          </w:p>
        </w:tc>
      </w:tr>
      <w:tr w:rsidR="008F0D85">
        <w:tc>
          <w:tcPr>
            <w:tcW w:w="139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 xml:space="preserve">do 0,09 </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12</w:t>
            </w:r>
          </w:p>
        </w:tc>
        <w:tc>
          <w:tcPr>
            <w:tcW w:w="109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6</w:t>
            </w:r>
          </w:p>
        </w:tc>
        <w:tc>
          <w:tcPr>
            <w:tcW w:w="11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w:t>
            </w:r>
          </w:p>
        </w:tc>
        <w:tc>
          <w:tcPr>
            <w:tcW w:w="12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w:t>
            </w:r>
          </w:p>
        </w:tc>
        <w:tc>
          <w:tcPr>
            <w:tcW w:w="12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1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0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03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w:t>
            </w:r>
          </w:p>
        </w:tc>
      </w:tr>
      <w:tr w:rsidR="008F0D85">
        <w:tc>
          <w:tcPr>
            <w:tcW w:w="139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 xml:space="preserve">0,10 – 0,49 </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110</w:t>
            </w:r>
          </w:p>
        </w:tc>
        <w:tc>
          <w:tcPr>
            <w:tcW w:w="109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54</w:t>
            </w:r>
          </w:p>
        </w:tc>
        <w:tc>
          <w:tcPr>
            <w:tcW w:w="11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7</w:t>
            </w:r>
          </w:p>
        </w:tc>
        <w:tc>
          <w:tcPr>
            <w:tcW w:w="12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49</w:t>
            </w:r>
          </w:p>
        </w:tc>
        <w:tc>
          <w:tcPr>
            <w:tcW w:w="12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1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25</w:t>
            </w:r>
          </w:p>
        </w:tc>
        <w:tc>
          <w:tcPr>
            <w:tcW w:w="10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9</w:t>
            </w:r>
          </w:p>
        </w:tc>
        <w:tc>
          <w:tcPr>
            <w:tcW w:w="103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8</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48</w:t>
            </w:r>
          </w:p>
        </w:tc>
      </w:tr>
      <w:tr w:rsidR="008F0D85">
        <w:tc>
          <w:tcPr>
            <w:tcW w:w="139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0,50 – 0,99</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79</w:t>
            </w:r>
          </w:p>
        </w:tc>
        <w:tc>
          <w:tcPr>
            <w:tcW w:w="109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66</w:t>
            </w:r>
          </w:p>
        </w:tc>
        <w:tc>
          <w:tcPr>
            <w:tcW w:w="11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9</w:t>
            </w:r>
          </w:p>
        </w:tc>
        <w:tc>
          <w:tcPr>
            <w:tcW w:w="12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36</w:t>
            </w:r>
          </w:p>
        </w:tc>
        <w:tc>
          <w:tcPr>
            <w:tcW w:w="12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1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325</w:t>
            </w:r>
          </w:p>
        </w:tc>
        <w:tc>
          <w:tcPr>
            <w:tcW w:w="10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6</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w:t>
            </w:r>
          </w:p>
        </w:tc>
        <w:tc>
          <w:tcPr>
            <w:tcW w:w="103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19</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46</w:t>
            </w:r>
          </w:p>
        </w:tc>
      </w:tr>
      <w:tr w:rsidR="008F0D85">
        <w:tc>
          <w:tcPr>
            <w:tcW w:w="139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1,00 – 2,99</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161</w:t>
            </w:r>
          </w:p>
        </w:tc>
        <w:tc>
          <w:tcPr>
            <w:tcW w:w="109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141</w:t>
            </w:r>
          </w:p>
        </w:tc>
        <w:tc>
          <w:tcPr>
            <w:tcW w:w="11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23</w:t>
            </w:r>
          </w:p>
        </w:tc>
        <w:tc>
          <w:tcPr>
            <w:tcW w:w="12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80</w:t>
            </w:r>
          </w:p>
        </w:tc>
        <w:tc>
          <w:tcPr>
            <w:tcW w:w="12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1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81</w:t>
            </w:r>
          </w:p>
        </w:tc>
        <w:tc>
          <w:tcPr>
            <w:tcW w:w="10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14</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8</w:t>
            </w:r>
          </w:p>
        </w:tc>
        <w:tc>
          <w:tcPr>
            <w:tcW w:w="103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71</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101</w:t>
            </w:r>
          </w:p>
        </w:tc>
      </w:tr>
      <w:tr w:rsidR="008F0D85">
        <w:tc>
          <w:tcPr>
            <w:tcW w:w="139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3,00 – 4,99</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96</w:t>
            </w:r>
          </w:p>
        </w:tc>
        <w:tc>
          <w:tcPr>
            <w:tcW w:w="109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95</w:t>
            </w:r>
          </w:p>
        </w:tc>
        <w:tc>
          <w:tcPr>
            <w:tcW w:w="11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14</w:t>
            </w:r>
          </w:p>
        </w:tc>
        <w:tc>
          <w:tcPr>
            <w:tcW w:w="12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57</w:t>
            </w:r>
          </w:p>
        </w:tc>
        <w:tc>
          <w:tcPr>
            <w:tcW w:w="12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w:t>
            </w:r>
          </w:p>
        </w:tc>
        <w:tc>
          <w:tcPr>
            <w:tcW w:w="11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58</w:t>
            </w:r>
          </w:p>
        </w:tc>
        <w:tc>
          <w:tcPr>
            <w:tcW w:w="10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22</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15</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6</w:t>
            </w:r>
          </w:p>
        </w:tc>
        <w:tc>
          <w:tcPr>
            <w:tcW w:w="103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65</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69</w:t>
            </w:r>
          </w:p>
        </w:tc>
      </w:tr>
      <w:tr w:rsidR="008F0D85">
        <w:tc>
          <w:tcPr>
            <w:tcW w:w="139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5,00 – 7,99</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56</w:t>
            </w:r>
          </w:p>
        </w:tc>
        <w:tc>
          <w:tcPr>
            <w:tcW w:w="109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54</w:t>
            </w:r>
          </w:p>
        </w:tc>
        <w:tc>
          <w:tcPr>
            <w:tcW w:w="11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9</w:t>
            </w:r>
          </w:p>
        </w:tc>
        <w:tc>
          <w:tcPr>
            <w:tcW w:w="12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38</w:t>
            </w:r>
          </w:p>
        </w:tc>
        <w:tc>
          <w:tcPr>
            <w:tcW w:w="12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1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51</w:t>
            </w:r>
          </w:p>
        </w:tc>
        <w:tc>
          <w:tcPr>
            <w:tcW w:w="10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26</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4</w:t>
            </w:r>
          </w:p>
        </w:tc>
        <w:tc>
          <w:tcPr>
            <w:tcW w:w="103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37</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42</w:t>
            </w:r>
          </w:p>
        </w:tc>
      </w:tr>
      <w:tr w:rsidR="008F0D85">
        <w:tc>
          <w:tcPr>
            <w:tcW w:w="139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8,00 – 9,99</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14</w:t>
            </w:r>
          </w:p>
        </w:tc>
        <w:tc>
          <w:tcPr>
            <w:tcW w:w="109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14</w:t>
            </w:r>
          </w:p>
        </w:tc>
        <w:tc>
          <w:tcPr>
            <w:tcW w:w="11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w:t>
            </w:r>
          </w:p>
        </w:tc>
        <w:tc>
          <w:tcPr>
            <w:tcW w:w="12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14</w:t>
            </w:r>
          </w:p>
        </w:tc>
        <w:tc>
          <w:tcPr>
            <w:tcW w:w="12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1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11</w:t>
            </w:r>
          </w:p>
        </w:tc>
        <w:tc>
          <w:tcPr>
            <w:tcW w:w="10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8</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w:t>
            </w:r>
          </w:p>
        </w:tc>
        <w:tc>
          <w:tcPr>
            <w:tcW w:w="103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12</w:t>
            </w:r>
          </w:p>
        </w:tc>
      </w:tr>
      <w:tr w:rsidR="008F0D85">
        <w:tc>
          <w:tcPr>
            <w:tcW w:w="139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10,00 – 19,99</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26</w:t>
            </w:r>
          </w:p>
        </w:tc>
        <w:tc>
          <w:tcPr>
            <w:tcW w:w="109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26</w:t>
            </w:r>
          </w:p>
        </w:tc>
        <w:tc>
          <w:tcPr>
            <w:tcW w:w="11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4</w:t>
            </w:r>
          </w:p>
        </w:tc>
        <w:tc>
          <w:tcPr>
            <w:tcW w:w="12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19</w:t>
            </w:r>
          </w:p>
        </w:tc>
        <w:tc>
          <w:tcPr>
            <w:tcW w:w="12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1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22</w:t>
            </w:r>
          </w:p>
        </w:tc>
        <w:tc>
          <w:tcPr>
            <w:tcW w:w="10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20</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w:t>
            </w:r>
          </w:p>
        </w:tc>
        <w:tc>
          <w:tcPr>
            <w:tcW w:w="103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16</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19</w:t>
            </w:r>
          </w:p>
        </w:tc>
      </w:tr>
      <w:tr w:rsidR="008F0D85">
        <w:tc>
          <w:tcPr>
            <w:tcW w:w="139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20 i više</w:t>
            </w:r>
          </w:p>
        </w:tc>
        <w:tc>
          <w:tcPr>
            <w:tcW w:w="87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16</w:t>
            </w:r>
          </w:p>
        </w:tc>
        <w:tc>
          <w:tcPr>
            <w:tcW w:w="109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15</w:t>
            </w:r>
          </w:p>
        </w:tc>
        <w:tc>
          <w:tcPr>
            <w:tcW w:w="11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3</w:t>
            </w:r>
          </w:p>
        </w:tc>
        <w:tc>
          <w:tcPr>
            <w:tcW w:w="125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w:t>
            </w:r>
          </w:p>
        </w:tc>
        <w:tc>
          <w:tcPr>
            <w:tcW w:w="12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w:t>
            </w:r>
          </w:p>
        </w:tc>
        <w:tc>
          <w:tcPr>
            <w:tcW w:w="112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w:t>
            </w:r>
          </w:p>
        </w:tc>
        <w:tc>
          <w:tcPr>
            <w:tcW w:w="105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14</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w:t>
            </w:r>
          </w:p>
        </w:tc>
        <w:tc>
          <w:tcPr>
            <w:tcW w:w="100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w:t>
            </w:r>
          </w:p>
        </w:tc>
        <w:tc>
          <w:tcPr>
            <w:tcW w:w="103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9</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 xml:space="preserve">8 </w:t>
            </w:r>
          </w:p>
        </w:tc>
      </w:tr>
    </w:tbl>
    <w:p w:rsidR="008F0D85" w:rsidRDefault="00AE42A1">
      <w:pPr>
        <w:spacing w:after="160" w:line="252" w:lineRule="auto"/>
        <w:jc w:val="center"/>
        <w:rPr>
          <w:sz w:val="20"/>
          <w:szCs w:val="20"/>
        </w:rPr>
      </w:pPr>
      <w:r>
        <w:rPr>
          <w:sz w:val="20"/>
          <w:szCs w:val="20"/>
        </w:rPr>
        <w:t>Izvor: Državni zavod za statistiku, Popis stanovništva 2011. godine</w:t>
      </w:r>
    </w:p>
    <w:p w:rsidR="008F0D85" w:rsidRDefault="008F0D85">
      <w:pPr>
        <w:spacing w:after="0"/>
        <w:rPr>
          <w:sz w:val="20"/>
          <w:szCs w:val="20"/>
        </w:rPr>
      </w:pPr>
    </w:p>
    <w:p w:rsidR="008F0D85" w:rsidRDefault="008F0D85">
      <w:pPr>
        <w:spacing w:after="0"/>
        <w:rPr>
          <w:sz w:val="20"/>
          <w:szCs w:val="20"/>
        </w:rPr>
      </w:pPr>
    </w:p>
    <w:p w:rsidR="008F0D85" w:rsidRDefault="008F0D85">
      <w:pPr>
        <w:spacing w:after="0"/>
        <w:rPr>
          <w:sz w:val="20"/>
          <w:szCs w:val="20"/>
        </w:rPr>
      </w:pPr>
    </w:p>
    <w:p w:rsidR="008F0D85" w:rsidRDefault="008F0D85">
      <w:pPr>
        <w:spacing w:after="0"/>
        <w:rPr>
          <w:sz w:val="20"/>
          <w:szCs w:val="20"/>
        </w:rPr>
      </w:pPr>
    </w:p>
    <w:p w:rsidR="008F0D85" w:rsidRDefault="008F0D85">
      <w:pPr>
        <w:spacing w:after="0"/>
        <w:rPr>
          <w:sz w:val="20"/>
          <w:szCs w:val="20"/>
        </w:rPr>
      </w:pPr>
    </w:p>
    <w:p w:rsidR="008F0D85" w:rsidRDefault="008F0D85">
      <w:pPr>
        <w:spacing w:after="0"/>
        <w:rPr>
          <w:sz w:val="20"/>
          <w:szCs w:val="20"/>
        </w:rPr>
      </w:pPr>
    </w:p>
    <w:p w:rsidR="008F0D85" w:rsidRDefault="008F0D85">
      <w:pPr>
        <w:spacing w:after="0"/>
        <w:rPr>
          <w:sz w:val="20"/>
          <w:szCs w:val="20"/>
        </w:rPr>
        <w:sectPr w:rsidR="008F0D85">
          <w:headerReference w:type="default" r:id="rId23"/>
          <w:footerReference w:type="default" r:id="rId24"/>
          <w:pgSz w:w="16838" w:h="11906" w:orient="landscape"/>
          <w:pgMar w:top="1418" w:right="1418" w:bottom="1418" w:left="1418" w:header="709" w:footer="709" w:gutter="0"/>
          <w:cols w:space="720"/>
          <w:formProt w:val="0"/>
          <w:docGrid w:linePitch="360"/>
        </w:sectPr>
      </w:pPr>
    </w:p>
    <w:p w:rsidR="008F0D85" w:rsidRDefault="00AE42A1">
      <w:pPr>
        <w:numPr>
          <w:ilvl w:val="0"/>
          <w:numId w:val="6"/>
        </w:numPr>
        <w:contextualSpacing/>
        <w:jc w:val="left"/>
        <w:rPr>
          <w:b/>
          <w:szCs w:val="24"/>
          <w:lang w:val="en-US"/>
        </w:rPr>
      </w:pPr>
      <w:r>
        <w:rPr>
          <w:b/>
          <w:szCs w:val="24"/>
          <w:lang w:val="en-US"/>
        </w:rPr>
        <w:lastRenderedPageBreak/>
        <w:t>Gospodarstvo</w:t>
      </w:r>
    </w:p>
    <w:p w:rsidR="008F0D85" w:rsidRDefault="008F0D85">
      <w:pPr>
        <w:ind w:left="720"/>
        <w:contextualSpacing/>
        <w:jc w:val="left"/>
        <w:rPr>
          <w:b/>
          <w:szCs w:val="24"/>
          <w:lang w:val="en-US"/>
        </w:rPr>
      </w:pPr>
    </w:p>
    <w:p w:rsidR="008F0D85" w:rsidRDefault="00AE42A1">
      <w:pPr>
        <w:spacing w:after="0"/>
        <w:rPr>
          <w:rFonts w:cs="Calibri"/>
          <w:szCs w:val="24"/>
        </w:rPr>
      </w:pPr>
      <w:r>
        <w:rPr>
          <w:rFonts w:cs="Calibri"/>
          <w:szCs w:val="24"/>
        </w:rPr>
        <w:t xml:space="preserve">Zakonom o poticanju malog i srednjeg poduzetništva formirana je sfera malog gospodarstva koju čine </w:t>
      </w:r>
      <w:r>
        <w:rPr>
          <w:rFonts w:cs="Calibri"/>
          <w:szCs w:val="24"/>
        </w:rPr>
        <w:t>subjekti mikro, malog i srednjeg poduzetništva. Okviri za definiranje navedene kategorizacije određeni su sljedećim  kriterijima:</w:t>
      </w:r>
    </w:p>
    <w:p w:rsidR="008F0D85" w:rsidRDefault="008F0D85">
      <w:pPr>
        <w:spacing w:after="0"/>
        <w:rPr>
          <w:rFonts w:cs="Calibri"/>
          <w:szCs w:val="24"/>
        </w:rPr>
      </w:pPr>
    </w:p>
    <w:p w:rsidR="008F0D85" w:rsidRDefault="00AE42A1">
      <w:pPr>
        <w:spacing w:after="0"/>
        <w:rPr>
          <w:rFonts w:cs="Calibri"/>
          <w:szCs w:val="24"/>
        </w:rPr>
      </w:pPr>
      <w:r>
        <w:rPr>
          <w:rFonts w:cs="Calibri"/>
          <w:szCs w:val="24"/>
        </w:rPr>
        <w:t>1) prema broju zaposlenih,</w:t>
      </w:r>
    </w:p>
    <w:p w:rsidR="008F0D85" w:rsidRDefault="00AE42A1">
      <w:pPr>
        <w:spacing w:after="0"/>
        <w:rPr>
          <w:rFonts w:cs="Calibri"/>
          <w:szCs w:val="24"/>
        </w:rPr>
      </w:pPr>
      <w:r>
        <w:rPr>
          <w:rFonts w:cs="Calibri"/>
          <w:szCs w:val="24"/>
        </w:rPr>
        <w:t>2) godišnjem prometu i aktivi/dugoročnoj imovini te</w:t>
      </w:r>
    </w:p>
    <w:p w:rsidR="008F0D85" w:rsidRDefault="00AE42A1">
      <w:pPr>
        <w:spacing w:after="0"/>
        <w:rPr>
          <w:rFonts w:cs="Calibri"/>
          <w:szCs w:val="24"/>
        </w:rPr>
      </w:pPr>
      <w:r>
        <w:rPr>
          <w:rFonts w:cs="Calibri"/>
          <w:szCs w:val="24"/>
        </w:rPr>
        <w:t>3) udjelima u poduzećima.</w:t>
      </w:r>
    </w:p>
    <w:p w:rsidR="008F0D85" w:rsidRDefault="008F0D85">
      <w:pPr>
        <w:spacing w:after="0"/>
        <w:rPr>
          <w:rFonts w:cs="Calibri"/>
          <w:szCs w:val="24"/>
        </w:rPr>
      </w:pPr>
    </w:p>
    <w:p w:rsidR="008F0D85" w:rsidRDefault="00AE42A1">
      <w:pPr>
        <w:spacing w:after="0"/>
        <w:rPr>
          <w:rFonts w:cs="Calibri"/>
          <w:szCs w:val="24"/>
        </w:rPr>
      </w:pPr>
      <w:r>
        <w:rPr>
          <w:rFonts w:cs="Calibri"/>
          <w:szCs w:val="24"/>
        </w:rPr>
        <w:t>Sukladno podacima d</w:t>
      </w:r>
      <w:r>
        <w:rPr>
          <w:rFonts w:cs="Calibri"/>
          <w:szCs w:val="24"/>
        </w:rPr>
        <w:t>ostupnima iz Registra poslovnih subjekata (2018.god.) Županijske komore „Komora Koprivnica“, na području Općine ne nalazi se ni jedan veliki poslovni subjekt, dok je ukupno registrirano 77 poslovnih subjekata od kojih njih 26 ima status mikro te 2 ima stat</w:t>
      </w:r>
      <w:r>
        <w:rPr>
          <w:rFonts w:cs="Calibri"/>
          <w:szCs w:val="24"/>
        </w:rPr>
        <w:t>us malog poduzeća:</w:t>
      </w:r>
    </w:p>
    <w:p w:rsidR="008F0D85" w:rsidRDefault="00AE42A1">
      <w:pPr>
        <w:pStyle w:val="Odlomakpopisa"/>
        <w:numPr>
          <w:ilvl w:val="0"/>
          <w:numId w:val="23"/>
        </w:numPr>
        <w:spacing w:after="0"/>
        <w:rPr>
          <w:rFonts w:cs="Calibri"/>
          <w:sz w:val="24"/>
          <w:szCs w:val="24"/>
        </w:rPr>
      </w:pPr>
      <w:r>
        <w:rPr>
          <w:rFonts w:cs="Calibri"/>
          <w:sz w:val="24"/>
          <w:szCs w:val="24"/>
        </w:rPr>
        <w:t>Trgoimport d.o.o., Petra Preradovića 76, 48 362 Kloštar Podravski,</w:t>
      </w:r>
    </w:p>
    <w:p w:rsidR="008F0D85" w:rsidRDefault="00AE42A1">
      <w:pPr>
        <w:pStyle w:val="Odlomakpopisa"/>
        <w:numPr>
          <w:ilvl w:val="0"/>
          <w:numId w:val="23"/>
        </w:numPr>
        <w:spacing w:after="0"/>
        <w:rPr>
          <w:rFonts w:cs="Calibri"/>
          <w:sz w:val="24"/>
          <w:szCs w:val="24"/>
        </w:rPr>
      </w:pPr>
      <w:r>
        <w:rPr>
          <w:rFonts w:cs="Calibri"/>
          <w:sz w:val="24"/>
          <w:szCs w:val="24"/>
        </w:rPr>
        <w:t>Gigant d.o.o., Vladimira Nazora 40, 48 362 Kloštar Podravski.</w:t>
      </w:r>
    </w:p>
    <w:p w:rsidR="008F0D85" w:rsidRDefault="008F0D85">
      <w:pPr>
        <w:spacing w:after="0"/>
        <w:rPr>
          <w:rFonts w:cs="Calibri"/>
          <w:szCs w:val="24"/>
        </w:rPr>
      </w:pPr>
    </w:p>
    <w:p w:rsidR="008F0D85" w:rsidRDefault="00AE42A1">
      <w:pPr>
        <w:numPr>
          <w:ilvl w:val="0"/>
          <w:numId w:val="7"/>
        </w:numPr>
        <w:contextualSpacing/>
        <w:jc w:val="left"/>
        <w:rPr>
          <w:b/>
          <w:szCs w:val="24"/>
          <w:lang w:val="en-US"/>
        </w:rPr>
      </w:pPr>
      <w:r>
        <w:rPr>
          <w:b/>
          <w:szCs w:val="24"/>
          <w:lang w:val="en-US"/>
        </w:rPr>
        <w:t>Poduzetničke zone</w:t>
      </w:r>
    </w:p>
    <w:p w:rsidR="008F0D85" w:rsidRDefault="008F0D85">
      <w:pPr>
        <w:spacing w:after="0"/>
        <w:rPr>
          <w:rFonts w:cs="Calibri"/>
          <w:szCs w:val="24"/>
        </w:rPr>
      </w:pPr>
    </w:p>
    <w:p w:rsidR="008F0D85" w:rsidRDefault="00AE42A1">
      <w:pPr>
        <w:shd w:val="clear" w:color="auto" w:fill="FFFFFF"/>
        <w:spacing w:before="150" w:after="150"/>
        <w:ind w:left="105" w:right="105"/>
        <w:rPr>
          <w:rFonts w:cs="Calibri"/>
          <w:color w:val="000000"/>
          <w:szCs w:val="24"/>
          <w:lang w:eastAsia="hr-HR"/>
        </w:rPr>
      </w:pPr>
      <w:r>
        <w:rPr>
          <w:rFonts w:cs="Calibri"/>
          <w:color w:val="000000"/>
          <w:szCs w:val="24"/>
          <w:lang w:eastAsia="hr-HR"/>
        </w:rPr>
        <w:t xml:space="preserve">Općina u poduzetničkoj zoni "Istok" na 8 parcela i ukupnoj površini od 32.654m² </w:t>
      </w:r>
      <w:r>
        <w:rPr>
          <w:rFonts w:cs="Calibri"/>
          <w:color w:val="000000"/>
          <w:szCs w:val="24"/>
          <w:lang w:eastAsia="hr-HR"/>
        </w:rPr>
        <w:t>izgradila je potrebnu infrastrukturu, a zasad su tamo smještena 3 poduzeća:</w:t>
      </w:r>
    </w:p>
    <w:p w:rsidR="008F0D85" w:rsidRDefault="00AE42A1">
      <w:pPr>
        <w:pStyle w:val="Odlomakpopisa"/>
        <w:numPr>
          <w:ilvl w:val="0"/>
          <w:numId w:val="24"/>
        </w:numPr>
        <w:shd w:val="clear" w:color="auto" w:fill="FFFFFF"/>
        <w:spacing w:before="150" w:after="150"/>
        <w:ind w:right="105"/>
        <w:rPr>
          <w:rFonts w:cs="Calibri"/>
          <w:color w:val="000000"/>
          <w:szCs w:val="24"/>
          <w:lang w:eastAsia="hr-HR"/>
        </w:rPr>
      </w:pPr>
      <w:r>
        <w:rPr>
          <w:rFonts w:cs="Calibri"/>
          <w:color w:val="000000"/>
          <w:szCs w:val="24"/>
          <w:lang w:eastAsia="hr-HR"/>
        </w:rPr>
        <w:t>EURO METALI d.o.o., Kloštar Podravski</w:t>
      </w:r>
    </w:p>
    <w:p w:rsidR="008F0D85" w:rsidRDefault="00AE42A1">
      <w:pPr>
        <w:pStyle w:val="Odlomakpopisa"/>
        <w:numPr>
          <w:ilvl w:val="0"/>
          <w:numId w:val="24"/>
        </w:numPr>
        <w:shd w:val="clear" w:color="auto" w:fill="FFFFFF"/>
        <w:spacing w:before="150" w:after="150"/>
        <w:ind w:right="105"/>
        <w:rPr>
          <w:rFonts w:cs="Calibri"/>
          <w:color w:val="000000"/>
          <w:szCs w:val="24"/>
          <w:lang w:eastAsia="hr-HR"/>
        </w:rPr>
      </w:pPr>
      <w:r>
        <w:rPr>
          <w:rFonts w:cs="Calibri"/>
          <w:color w:val="000000"/>
          <w:szCs w:val="24"/>
          <w:lang w:eastAsia="hr-HR"/>
        </w:rPr>
        <w:t>TEHNOHIT – HR, Pitomača Šumar d.o.o., Bjelovar</w:t>
      </w:r>
    </w:p>
    <w:p w:rsidR="008F0D85" w:rsidRDefault="00AE42A1">
      <w:pPr>
        <w:pStyle w:val="Odlomakpopisa"/>
        <w:numPr>
          <w:ilvl w:val="0"/>
          <w:numId w:val="24"/>
        </w:numPr>
        <w:shd w:val="clear" w:color="auto" w:fill="FFFFFF"/>
        <w:spacing w:before="150" w:after="150"/>
        <w:ind w:right="105"/>
        <w:rPr>
          <w:rFonts w:cs="Calibri"/>
          <w:color w:val="000000"/>
          <w:szCs w:val="24"/>
          <w:lang w:eastAsia="hr-HR"/>
        </w:rPr>
      </w:pPr>
      <w:r>
        <w:rPr>
          <w:rFonts w:cs="Calibri"/>
          <w:color w:val="000000"/>
          <w:szCs w:val="24"/>
          <w:lang w:eastAsia="hr-HR"/>
        </w:rPr>
        <w:t>TRGOIMPORT d.o.o., Petra Preradovića 76, 48 362 Kloštar Podravski (2 parcele)</w:t>
      </w:r>
    </w:p>
    <w:p w:rsidR="008F0D85" w:rsidRDefault="00AE42A1">
      <w:pPr>
        <w:shd w:val="clear" w:color="auto" w:fill="FFFFFF"/>
        <w:spacing w:before="150" w:after="150"/>
        <w:ind w:left="105" w:right="105"/>
        <w:rPr>
          <w:rFonts w:cs="Calibri"/>
          <w:color w:val="000000"/>
          <w:szCs w:val="24"/>
          <w:lang w:eastAsia="hr-HR"/>
        </w:rPr>
      </w:pPr>
      <w:r>
        <w:rPr>
          <w:rFonts w:cs="Calibri"/>
          <w:color w:val="000000"/>
          <w:szCs w:val="24"/>
          <w:lang w:eastAsia="hr-HR"/>
        </w:rPr>
        <w:t xml:space="preserve">Općina ima u </w:t>
      </w:r>
      <w:r>
        <w:rPr>
          <w:rFonts w:cs="Calibri"/>
          <w:color w:val="000000"/>
          <w:szCs w:val="24"/>
          <w:lang w:eastAsia="hr-HR"/>
        </w:rPr>
        <w:t>poduzetničkoj zoni još 9 parcela u pripremi s kompletnom infrastrukturom koje su spremne za prodaju i površina su od 3.500m² do 7.500m².</w:t>
      </w:r>
    </w:p>
    <w:p w:rsidR="008F0D85" w:rsidRDefault="00AE42A1">
      <w:pPr>
        <w:numPr>
          <w:ilvl w:val="0"/>
          <w:numId w:val="8"/>
        </w:numPr>
        <w:contextualSpacing/>
        <w:jc w:val="left"/>
        <w:rPr>
          <w:rFonts w:cs="Calibri"/>
          <w:b/>
          <w:szCs w:val="24"/>
          <w:lang w:val="en-US"/>
        </w:rPr>
      </w:pPr>
      <w:r>
        <w:rPr>
          <w:rFonts w:cs="Calibri"/>
          <w:b/>
          <w:szCs w:val="24"/>
          <w:lang w:val="en-US"/>
        </w:rPr>
        <w:t>HGK indeks gospodarske razvijenosti</w:t>
      </w:r>
    </w:p>
    <w:p w:rsidR="008F0D85" w:rsidRDefault="008F0D85">
      <w:pPr>
        <w:ind w:left="720"/>
        <w:contextualSpacing/>
        <w:jc w:val="left"/>
        <w:rPr>
          <w:rFonts w:cs="Calibri"/>
          <w:b/>
          <w:szCs w:val="24"/>
          <w:lang w:val="en-US"/>
        </w:rPr>
      </w:pPr>
    </w:p>
    <w:p w:rsidR="008F0D85" w:rsidRDefault="00AE42A1">
      <w:pPr>
        <w:rPr>
          <w:rFonts w:cs="Calibri"/>
          <w:szCs w:val="24"/>
        </w:rPr>
      </w:pPr>
      <w:r>
        <w:rPr>
          <w:rFonts w:cs="Calibri"/>
          <w:szCs w:val="24"/>
        </w:rPr>
        <w:t>Hrvatska gospodarska komora izradila je indeks gospodarske snage prema kojem su ra</w:t>
      </w:r>
      <w:r>
        <w:rPr>
          <w:rFonts w:cs="Calibri"/>
          <w:szCs w:val="24"/>
        </w:rPr>
        <w:t>ngirane županije u Hrvatskoj. HGK indeks gospodarske snage jest kompozitni pokazatelj koji se računa kao zbroj ponderiranih osnovnih gospodarskih pokazatelja u trogodišnjim prosjecima te demografske projekcije radi mjerenja stupnja gospodarske snage i gosp</w:t>
      </w:r>
      <w:r>
        <w:rPr>
          <w:rFonts w:cs="Calibri"/>
          <w:szCs w:val="24"/>
        </w:rPr>
        <w:t>odarskog potencijala županija u odstupanju od prosjeka RH (indeks gospodarske snage iznad 100 pokazuje da je pojedina županija iznad prosjeka RH, dok vrijednost niža od 100 znači da je pojedina županija ispod prosjeka RH). Time se realnije definira međusob</w:t>
      </w:r>
      <w:r>
        <w:rPr>
          <w:rFonts w:cs="Calibri"/>
          <w:szCs w:val="24"/>
        </w:rPr>
        <w:t>no pozicioniranje županija te se doprinosi aktiviranju razvojnih resursa pojedine županije. Konačno, ovim se sustavom ocjenjivanja i razvrstavanja dobiva analitička podloga za praćenje promjena u stupnju gospodarske razvijenosti županija (indeks se može až</w:t>
      </w:r>
      <w:r>
        <w:rPr>
          <w:rFonts w:cs="Calibri"/>
          <w:szCs w:val="24"/>
        </w:rPr>
        <w:t xml:space="preserve">urirati s novim podacima).  </w:t>
      </w:r>
    </w:p>
    <w:p w:rsidR="008F0D85" w:rsidRDefault="00AE42A1">
      <w:pPr>
        <w:rPr>
          <w:rFonts w:cs="Calibri"/>
          <w:szCs w:val="24"/>
        </w:rPr>
      </w:pPr>
      <w:r>
        <w:rPr>
          <w:rFonts w:cs="Calibri"/>
          <w:szCs w:val="24"/>
        </w:rPr>
        <w:lastRenderedPageBreak/>
        <w:t xml:space="preserve">Konkretno, HGK indeks gospodarske snage županija za 2016. i 2017. godinu izračunava se kao zbroj ponderiranih rangova šest gospodarskih pokazatelja te projekcije kretanja stanovništva:   </w:t>
      </w:r>
    </w:p>
    <w:p w:rsidR="008F0D85" w:rsidRDefault="00AE42A1">
      <w:pPr>
        <w:rPr>
          <w:rFonts w:cs="Calibri"/>
          <w:szCs w:val="24"/>
        </w:rPr>
      </w:pPr>
      <w:r>
        <w:rPr>
          <w:rFonts w:cs="Calibri"/>
          <w:szCs w:val="24"/>
        </w:rPr>
        <w:t xml:space="preserve">• BDP po stanovniku   </w:t>
      </w:r>
    </w:p>
    <w:p w:rsidR="008F0D85" w:rsidRDefault="00AE42A1">
      <w:pPr>
        <w:rPr>
          <w:rFonts w:cs="Calibri"/>
          <w:szCs w:val="24"/>
        </w:rPr>
      </w:pPr>
      <w:r>
        <w:rPr>
          <w:rFonts w:cs="Calibri"/>
          <w:szCs w:val="24"/>
        </w:rPr>
        <w:t xml:space="preserve">• ukupni prihod </w:t>
      </w:r>
      <w:r>
        <w:rPr>
          <w:rFonts w:cs="Calibri"/>
          <w:szCs w:val="24"/>
        </w:rPr>
        <w:t xml:space="preserve">poduzetnika po zaposlenom   </w:t>
      </w:r>
    </w:p>
    <w:p w:rsidR="008F0D85" w:rsidRDefault="00AE42A1">
      <w:pPr>
        <w:rPr>
          <w:rFonts w:cs="Calibri"/>
          <w:szCs w:val="24"/>
        </w:rPr>
      </w:pPr>
      <w:r>
        <w:rPr>
          <w:rFonts w:cs="Calibri"/>
          <w:szCs w:val="24"/>
        </w:rPr>
        <w:t xml:space="preserve">• prosječne neto plaće po zaposlenom   </w:t>
      </w:r>
    </w:p>
    <w:p w:rsidR="008F0D85" w:rsidRDefault="00AE42A1">
      <w:pPr>
        <w:rPr>
          <w:rFonts w:cs="Calibri"/>
          <w:szCs w:val="24"/>
        </w:rPr>
      </w:pPr>
      <w:r>
        <w:rPr>
          <w:rFonts w:cs="Calibri"/>
          <w:szCs w:val="24"/>
        </w:rPr>
        <w:t xml:space="preserve">• neto dobit poduzetnika po zaposlenom   </w:t>
      </w:r>
    </w:p>
    <w:p w:rsidR="008F0D85" w:rsidRDefault="00AE42A1">
      <w:pPr>
        <w:rPr>
          <w:rFonts w:cs="Calibri"/>
          <w:szCs w:val="24"/>
        </w:rPr>
      </w:pPr>
      <w:r>
        <w:rPr>
          <w:rFonts w:cs="Calibri"/>
          <w:szCs w:val="24"/>
        </w:rPr>
        <w:t xml:space="preserve">• prihod na inozemnom tržištu poduzetnika po zaposlenom   </w:t>
      </w:r>
    </w:p>
    <w:p w:rsidR="008F0D85" w:rsidRDefault="00AE42A1">
      <w:pPr>
        <w:rPr>
          <w:rFonts w:cs="Calibri"/>
          <w:szCs w:val="24"/>
        </w:rPr>
      </w:pPr>
      <w:r>
        <w:rPr>
          <w:rFonts w:cs="Calibri"/>
          <w:szCs w:val="24"/>
        </w:rPr>
        <w:t xml:space="preserve">• stopa nezaposlenosti   </w:t>
      </w:r>
    </w:p>
    <w:p w:rsidR="008F0D85" w:rsidRDefault="00AE42A1">
      <w:pPr>
        <w:rPr>
          <w:rFonts w:cs="Calibri"/>
          <w:szCs w:val="24"/>
        </w:rPr>
      </w:pPr>
      <w:r>
        <w:rPr>
          <w:rFonts w:cs="Calibri"/>
          <w:szCs w:val="24"/>
        </w:rPr>
        <w:t>• projekcija promjene broja stanovnika 2011.-2021. (za 2016.</w:t>
      </w:r>
      <w:r>
        <w:rPr>
          <w:rFonts w:cs="Calibri"/>
          <w:szCs w:val="24"/>
        </w:rPr>
        <w:t xml:space="preserve"> godinu projekcija 2013.2030)  </w:t>
      </w:r>
    </w:p>
    <w:p w:rsidR="008F0D85" w:rsidRDefault="00AE42A1">
      <w:pPr>
        <w:rPr>
          <w:rFonts w:cs="Calibri"/>
          <w:szCs w:val="24"/>
        </w:rPr>
      </w:pPr>
      <w:r>
        <w:rPr>
          <w:rFonts w:cs="Calibri"/>
          <w:szCs w:val="24"/>
        </w:rPr>
        <w:t>Indeks je napravljen s namjerom pozicioniranja županija u odnosu jedne prema drugima, a izražen je kao odnos prema prosjeku RH. Njime se još jednom naglašava velika neusklađenost u razvijenosti koju je potrebno sagledati kro</w:t>
      </w:r>
      <w:r>
        <w:rPr>
          <w:rFonts w:cs="Calibri"/>
          <w:szCs w:val="24"/>
        </w:rPr>
        <w:t>z potencijale i komparativne prednosti oko kojih treba graditi razvoj pojedinih županija, a time i države u cjelini.</w:t>
      </w:r>
    </w:p>
    <w:p w:rsidR="008F0D85" w:rsidRDefault="00AE42A1">
      <w:pPr>
        <w:rPr>
          <w:szCs w:val="24"/>
          <w:u w:val="single"/>
        </w:rPr>
      </w:pPr>
      <w:r>
        <w:rPr>
          <w:szCs w:val="24"/>
          <w:u w:val="single"/>
        </w:rPr>
        <w:t>HGK indeks gospodarske snage u 2016. godini</w:t>
      </w:r>
    </w:p>
    <w:p w:rsidR="008F0D85" w:rsidRDefault="00AE42A1">
      <w:pPr>
        <w:rPr>
          <w:szCs w:val="24"/>
        </w:rPr>
      </w:pPr>
      <w:r>
        <w:rPr>
          <w:szCs w:val="24"/>
        </w:rPr>
        <w:t>Prvi indeks gospodarske snage pokazuje da se samo Grad Zagreb i dvije županije nalaze iznad prosjeka RH, dok je preostalih osamnaest županija ispod prosjeka. Takav položaj većine županija posljedica je upravo utjecaja Grada Zagreba na visinu prosjeka RH. N</w:t>
      </w:r>
      <w:r>
        <w:rPr>
          <w:szCs w:val="24"/>
        </w:rPr>
        <w:t xml:space="preserve">ajniže pozicionirane su Bjelovarsko-bilogorska, Virovitičko-podravska i Požeško-slavonska županija čiji se indeks nalazi na razini oko 2/3 prosjeka RH.   </w:t>
      </w:r>
    </w:p>
    <w:p w:rsidR="008F0D85" w:rsidRDefault="00AE42A1">
      <w:pPr>
        <w:rPr>
          <w:szCs w:val="24"/>
        </w:rPr>
      </w:pPr>
      <w:r>
        <w:rPr>
          <w:szCs w:val="24"/>
        </w:rPr>
        <w:t>Na zadnjih pet mjesta nalaze se četiri slavonske županije (samo je Osječko-baranjska bolje pozicionir</w:t>
      </w:r>
      <w:r>
        <w:rPr>
          <w:szCs w:val="24"/>
        </w:rPr>
        <w:t>ana), što je vrlo slično kao i usporedba naših županija po razvijenosti u okviru  NUTS 3 regija</w:t>
      </w:r>
      <w:r>
        <w:rPr>
          <w:rStyle w:val="Sidrofusnote"/>
          <w:szCs w:val="24"/>
        </w:rPr>
        <w:footnoteReference w:id="1"/>
      </w:r>
      <w:r>
        <w:rPr>
          <w:szCs w:val="24"/>
        </w:rPr>
        <w:t xml:space="preserve">  u EU prema pokazatelju BDP per capita po PPS-u.  </w:t>
      </w:r>
    </w:p>
    <w:p w:rsidR="008F0D85" w:rsidRDefault="00AE42A1">
      <w:pPr>
        <w:rPr>
          <w:szCs w:val="24"/>
        </w:rPr>
      </w:pPr>
      <w:r>
        <w:rPr>
          <w:szCs w:val="24"/>
        </w:rPr>
        <w:t xml:space="preserve">Naime, prema zadnjim usporedivim podacima koje je objavio Europski statistički ured (Eurostat), gotovo sve </w:t>
      </w:r>
      <w:r>
        <w:rPr>
          <w:szCs w:val="24"/>
        </w:rPr>
        <w:t xml:space="preserve">hrvatske NUTS 3 regije 2014. godine smještene su po razvijenosti (gledajući BDP po stanovniku) u donjoj trećini regija EU (ukupno je 1.342 NUTS 3 regije u EU), izuzev Grada Zagreba koji je u gornjoj trećini rangiranih regija EU. Tako su hrvatske NUTS 3 </w:t>
      </w:r>
      <w:r>
        <w:rPr>
          <w:szCs w:val="24"/>
        </w:rPr>
        <w:lastRenderedPageBreak/>
        <w:t>reg</w:t>
      </w:r>
      <w:r>
        <w:rPr>
          <w:szCs w:val="24"/>
        </w:rPr>
        <w:t xml:space="preserve">ije raspodijeljene na najbolje rangiranu (Grad Zagreb) koja se nalazi na 409. mjestu i na najlošije rangiranu (Brodsko-posavska županija) koja se nalazi na 1.312. mjestu.   </w:t>
      </w:r>
    </w:p>
    <w:p w:rsidR="008F0D85" w:rsidRDefault="00AE42A1">
      <w:pPr>
        <w:rPr>
          <w:szCs w:val="24"/>
        </w:rPr>
      </w:pPr>
      <w:r>
        <w:rPr>
          <w:szCs w:val="24"/>
        </w:rPr>
        <w:t xml:space="preserve">Ukupno 16 hrvatskih županija nalaze se među 10% najnerazvijenijih NUTS 3 regija u </w:t>
      </w:r>
      <w:r>
        <w:rPr>
          <w:szCs w:val="24"/>
        </w:rPr>
        <w:t>EU. Dodatno, čak 6 županija nalazi se među 5% najnerazvijenijih NUTS 3 regija u EU. Četiri najlošije rangirane hrvatske regije jesu slavonske županije (izuzev Osječko-baranjske), a nalaze se među 2,5% najlošije rangiranih NUTS 3 regija EU, pri čemu se te č</w:t>
      </w:r>
      <w:r>
        <w:rPr>
          <w:szCs w:val="24"/>
        </w:rPr>
        <w:t xml:space="preserve">etiri županije nalaze na 33-34% prosjeka razvijenosti EU. </w:t>
      </w:r>
    </w:p>
    <w:p w:rsidR="008F0D85" w:rsidRDefault="00AE42A1">
      <w:pPr>
        <w:jc w:val="center"/>
        <w:rPr>
          <w:rFonts w:cs="Calibri"/>
          <w:szCs w:val="24"/>
        </w:rPr>
      </w:pPr>
      <w:r>
        <w:rPr>
          <w:noProof/>
        </w:rPr>
        <w:drawing>
          <wp:inline distT="0" distB="0" distL="0" distR="0">
            <wp:extent cx="5715635" cy="3810635"/>
            <wp:effectExtent l="0" t="0" r="0" b="0"/>
            <wp:docPr id="18"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3"/>
                    <pic:cNvPicPr>
                      <a:picLocks noChangeAspect="1" noChangeArrowheads="1"/>
                    </pic:cNvPicPr>
                  </pic:nvPicPr>
                  <pic:blipFill>
                    <a:blip r:embed="rId25"/>
                    <a:stretch>
                      <a:fillRect/>
                    </a:stretch>
                  </pic:blipFill>
                  <pic:spPr bwMode="auto">
                    <a:xfrm>
                      <a:off x="0" y="0"/>
                      <a:ext cx="5715635" cy="3810635"/>
                    </a:xfrm>
                    <a:prstGeom prst="rect">
                      <a:avLst/>
                    </a:prstGeom>
                  </pic:spPr>
                </pic:pic>
              </a:graphicData>
            </a:graphic>
          </wp:inline>
        </w:drawing>
      </w:r>
    </w:p>
    <w:p w:rsidR="008F0D85" w:rsidRDefault="00AE42A1">
      <w:pPr>
        <w:spacing w:after="0" w:line="360" w:lineRule="auto"/>
        <w:rPr>
          <w:rFonts w:cs="Arial"/>
          <w:b/>
          <w:bCs/>
          <w:sz w:val="20"/>
          <w:szCs w:val="20"/>
        </w:rPr>
      </w:pPr>
      <w:bookmarkStart w:id="216" w:name="_Toc512434713"/>
      <w:bookmarkStart w:id="217" w:name="_Toc514240307"/>
      <w:bookmarkStart w:id="218" w:name="_Toc516128389"/>
      <w:bookmarkStart w:id="219" w:name="_Toc527969502"/>
      <w:r>
        <w:rPr>
          <w:rFonts w:cs="Arial"/>
          <w:b/>
          <w:bCs/>
          <w:sz w:val="20"/>
          <w:szCs w:val="20"/>
        </w:rPr>
        <w:t xml:space="preserve">Tablica </w:t>
      </w:r>
      <w:r>
        <w:rPr>
          <w:rFonts w:cs="Arial"/>
          <w:b/>
          <w:bCs/>
          <w:sz w:val="20"/>
          <w:szCs w:val="20"/>
        </w:rPr>
        <w:fldChar w:fldCharType="begin"/>
      </w:r>
      <w:r>
        <w:instrText>SEQ Tablica \* ARABIC</w:instrText>
      </w:r>
      <w:r>
        <w:fldChar w:fldCharType="separate"/>
      </w:r>
      <w:r>
        <w:t>20</w:t>
      </w:r>
      <w:r>
        <w:fldChar w:fldCharType="end"/>
      </w:r>
      <w:bookmarkEnd w:id="216"/>
      <w:bookmarkEnd w:id="217"/>
      <w:bookmarkEnd w:id="218"/>
      <w:bookmarkEnd w:id="219"/>
      <w:r>
        <w:rPr>
          <w:rFonts w:cs="Arial"/>
          <w:b/>
          <w:bCs/>
          <w:sz w:val="20"/>
          <w:szCs w:val="20"/>
        </w:rPr>
        <w:t>: Prikaz indeksa gospodarske snage županija i njegove sastavnice u 2016.god.</w:t>
      </w:r>
    </w:p>
    <w:p w:rsidR="008F0D85" w:rsidRDefault="00AE42A1">
      <w:pPr>
        <w:spacing w:after="0"/>
        <w:rPr>
          <w:sz w:val="20"/>
          <w:szCs w:val="20"/>
        </w:rPr>
      </w:pPr>
      <w:r>
        <w:rPr>
          <w:sz w:val="20"/>
          <w:szCs w:val="20"/>
        </w:rPr>
        <w:t>Izvor: Hrvatska gospodarska komora, HGK indeks gospodarske snage, srpanj 2017.god.</w:t>
      </w:r>
    </w:p>
    <w:p w:rsidR="008F0D85" w:rsidRDefault="00AE42A1">
      <w:pPr>
        <w:rPr>
          <w:szCs w:val="24"/>
          <w:u w:val="single"/>
        </w:rPr>
      </w:pPr>
      <w:r>
        <w:rPr>
          <w:szCs w:val="24"/>
          <w:u w:val="single"/>
        </w:rPr>
        <w:t>HGK indeks gospodarske snage u 2017. godini</w:t>
      </w:r>
    </w:p>
    <w:p w:rsidR="008F0D85" w:rsidRDefault="00AE42A1">
      <w:pPr>
        <w:rPr>
          <w:szCs w:val="24"/>
        </w:rPr>
      </w:pPr>
      <w:r>
        <w:rPr>
          <w:szCs w:val="24"/>
        </w:rPr>
        <w:t>Većina indeksa gospodarske snage iz ove godine ne razlikuje se značajnije u odnosu na izračun indeksa iz 2016. godine, odnosno još uvijek se samo Grad Zagreb, Istarska i Primorsko - goranska županija nalaze iznad</w:t>
      </w:r>
      <w:r>
        <w:rPr>
          <w:szCs w:val="24"/>
        </w:rPr>
        <w:t xml:space="preserve"> prosjeka RH, dok je preostalih osamnaest županija ispod prosjeka. Takav položaj većine županija posljedica je upravo utjecaja Grada Zagreba na visinu prosjeka RH. Najniže pozicionirane su Bjelovarsko-bilogorska, Požeško-slavonska i Virovitičko - podravska</w:t>
      </w:r>
      <w:r>
        <w:rPr>
          <w:szCs w:val="24"/>
        </w:rPr>
        <w:t xml:space="preserve"> županija čiji se indeks nalazi na razini oko 2/3 prosjeka RH.</w:t>
      </w:r>
    </w:p>
    <w:p w:rsidR="008F0D85" w:rsidRDefault="00AE42A1">
      <w:pPr>
        <w:jc w:val="center"/>
        <w:rPr>
          <w:rFonts w:cs="Calibri"/>
          <w:szCs w:val="24"/>
        </w:rPr>
      </w:pPr>
      <w:r>
        <w:rPr>
          <w:noProof/>
        </w:rPr>
        <w:lastRenderedPageBreak/>
        <w:drawing>
          <wp:inline distT="0" distB="0" distL="0" distR="0">
            <wp:extent cx="5715635" cy="3982085"/>
            <wp:effectExtent l="0" t="0" r="0" b="0"/>
            <wp:docPr id="19" name="Slik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1"/>
                    <pic:cNvPicPr>
                      <a:picLocks noChangeAspect="1" noChangeArrowheads="1"/>
                    </pic:cNvPicPr>
                  </pic:nvPicPr>
                  <pic:blipFill>
                    <a:blip r:embed="rId26"/>
                    <a:stretch>
                      <a:fillRect/>
                    </a:stretch>
                  </pic:blipFill>
                  <pic:spPr bwMode="auto">
                    <a:xfrm>
                      <a:off x="0" y="0"/>
                      <a:ext cx="5715635" cy="3982085"/>
                    </a:xfrm>
                    <a:prstGeom prst="rect">
                      <a:avLst/>
                    </a:prstGeom>
                  </pic:spPr>
                </pic:pic>
              </a:graphicData>
            </a:graphic>
          </wp:inline>
        </w:drawing>
      </w:r>
    </w:p>
    <w:p w:rsidR="008F0D85" w:rsidRDefault="00AE42A1">
      <w:pPr>
        <w:spacing w:after="0" w:line="360" w:lineRule="auto"/>
        <w:rPr>
          <w:rFonts w:cs="Arial"/>
          <w:b/>
          <w:bCs/>
          <w:sz w:val="20"/>
          <w:szCs w:val="20"/>
        </w:rPr>
      </w:pPr>
      <w:bookmarkStart w:id="220" w:name="_Toc514240308"/>
      <w:bookmarkStart w:id="221" w:name="_Toc516128390"/>
      <w:bookmarkStart w:id="222" w:name="_Toc527969503"/>
      <w:r>
        <w:rPr>
          <w:rFonts w:cs="Arial"/>
          <w:b/>
          <w:bCs/>
          <w:sz w:val="20"/>
          <w:szCs w:val="20"/>
        </w:rPr>
        <w:t xml:space="preserve">Tablica </w:t>
      </w:r>
      <w:r>
        <w:rPr>
          <w:rFonts w:cs="Arial"/>
          <w:b/>
          <w:bCs/>
          <w:sz w:val="20"/>
          <w:szCs w:val="20"/>
        </w:rPr>
        <w:fldChar w:fldCharType="begin"/>
      </w:r>
      <w:r>
        <w:instrText>SEQ Tablica \* ARABIC</w:instrText>
      </w:r>
      <w:r>
        <w:fldChar w:fldCharType="separate"/>
      </w:r>
      <w:r>
        <w:t>21</w:t>
      </w:r>
      <w:r>
        <w:fldChar w:fldCharType="end"/>
      </w:r>
      <w:bookmarkEnd w:id="220"/>
      <w:bookmarkEnd w:id="221"/>
      <w:bookmarkEnd w:id="222"/>
      <w:r>
        <w:rPr>
          <w:rFonts w:cs="Arial"/>
          <w:b/>
          <w:bCs/>
          <w:sz w:val="20"/>
          <w:szCs w:val="20"/>
        </w:rPr>
        <w:t>: Prikaz indeksa gospodarske snage županija i njegove sastavnice u 2017.god.</w:t>
      </w:r>
    </w:p>
    <w:p w:rsidR="008F0D85" w:rsidRDefault="00AE42A1">
      <w:pPr>
        <w:rPr>
          <w:sz w:val="20"/>
          <w:szCs w:val="20"/>
        </w:rPr>
      </w:pPr>
      <w:r>
        <w:rPr>
          <w:sz w:val="20"/>
          <w:szCs w:val="20"/>
        </w:rPr>
        <w:t>Izvor: Hrvatska gospodarska komora, HGK indeks gospodarske snage, srpanj 2017.go</w:t>
      </w:r>
      <w:r>
        <w:rPr>
          <w:sz w:val="20"/>
          <w:szCs w:val="20"/>
        </w:rPr>
        <w:t>d.</w:t>
      </w:r>
    </w:p>
    <w:p w:rsidR="008F0D85" w:rsidRDefault="00AE42A1">
      <w:pPr>
        <w:rPr>
          <w:szCs w:val="24"/>
        </w:rPr>
      </w:pPr>
      <w:r>
        <w:rPr>
          <w:szCs w:val="24"/>
        </w:rPr>
        <w:t>U odnosu na prošlogodišnji indeks, neke županije su promijenile svoju poziciju u ovogodišnjem izračunu, no većina tih promjena nije značajnija. Najveća promjena zabilježena je kod Osječko - baranjske županije koja je s petnaestog mjesta iz prošlogodišnj</w:t>
      </w:r>
      <w:r>
        <w:rPr>
          <w:szCs w:val="24"/>
        </w:rPr>
        <w:t>eg izračuna skočila na dvanaesto mjesto u ovogodišnjem izračunu. Tome je pridonijelo poboljšanje neto dobiti po zaposlenom, prihoda na inozemnom tržištu po zaposlenom, poboljšanje u trendovima demografskih kretanja, ali i pogoršanje indeksa gospodarske sna</w:t>
      </w:r>
      <w:r>
        <w:rPr>
          <w:szCs w:val="24"/>
        </w:rPr>
        <w:t>ge u nekim županijama koje su godinu prije bile iznad Osječko - baranjske.</w:t>
      </w:r>
    </w:p>
    <w:p w:rsidR="008F0D85" w:rsidRDefault="008F0D85">
      <w:pPr>
        <w:rPr>
          <w:szCs w:val="24"/>
        </w:rPr>
      </w:pPr>
    </w:p>
    <w:p w:rsidR="008F0D85" w:rsidRDefault="008F0D85">
      <w:pPr>
        <w:rPr>
          <w:szCs w:val="24"/>
        </w:rPr>
      </w:pPr>
    </w:p>
    <w:p w:rsidR="008F0D85" w:rsidRDefault="008F0D85">
      <w:pPr>
        <w:rPr>
          <w:szCs w:val="24"/>
        </w:rPr>
      </w:pPr>
    </w:p>
    <w:p w:rsidR="008F0D85" w:rsidRDefault="008F0D85">
      <w:pPr>
        <w:rPr>
          <w:szCs w:val="24"/>
        </w:rPr>
      </w:pPr>
    </w:p>
    <w:p w:rsidR="008F0D85" w:rsidRDefault="008F0D85">
      <w:pPr>
        <w:rPr>
          <w:szCs w:val="24"/>
        </w:rPr>
      </w:pPr>
    </w:p>
    <w:p w:rsidR="008F0D85" w:rsidRDefault="008F0D85">
      <w:pPr>
        <w:rPr>
          <w:szCs w:val="24"/>
        </w:rPr>
      </w:pPr>
    </w:p>
    <w:p w:rsidR="008F0D85" w:rsidRDefault="008F0D85">
      <w:pPr>
        <w:rPr>
          <w:szCs w:val="24"/>
        </w:rPr>
      </w:pPr>
    </w:p>
    <w:p w:rsidR="008F0D85" w:rsidRDefault="00AE42A1">
      <w:pPr>
        <w:jc w:val="center"/>
      </w:pPr>
      <w:r>
        <w:rPr>
          <w:noProof/>
        </w:rPr>
        <w:lastRenderedPageBreak/>
        <w:drawing>
          <wp:inline distT="0" distB="0" distL="0" distR="0">
            <wp:extent cx="3410585" cy="3096260"/>
            <wp:effectExtent l="0" t="0" r="0" b="0"/>
            <wp:docPr id="20"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11"/>
                    <pic:cNvPicPr>
                      <a:picLocks noChangeAspect="1" noChangeArrowheads="1"/>
                    </pic:cNvPicPr>
                  </pic:nvPicPr>
                  <pic:blipFill>
                    <a:blip r:embed="rId27"/>
                    <a:stretch>
                      <a:fillRect/>
                    </a:stretch>
                  </pic:blipFill>
                  <pic:spPr bwMode="auto">
                    <a:xfrm>
                      <a:off x="0" y="0"/>
                      <a:ext cx="3410585" cy="3096260"/>
                    </a:xfrm>
                    <a:prstGeom prst="rect">
                      <a:avLst/>
                    </a:prstGeom>
                  </pic:spPr>
                </pic:pic>
              </a:graphicData>
            </a:graphic>
          </wp:inline>
        </w:drawing>
      </w:r>
    </w:p>
    <w:p w:rsidR="008F0D85" w:rsidRDefault="00AE42A1">
      <w:pPr>
        <w:spacing w:after="0" w:line="360" w:lineRule="auto"/>
        <w:rPr>
          <w:rFonts w:cs="Arial"/>
          <w:b/>
          <w:bCs/>
          <w:sz w:val="20"/>
          <w:szCs w:val="20"/>
        </w:rPr>
      </w:pPr>
      <w:bookmarkStart w:id="223" w:name="_Toc512434715"/>
      <w:bookmarkStart w:id="224" w:name="_Toc514240309"/>
      <w:bookmarkStart w:id="225" w:name="_Toc516128391"/>
      <w:bookmarkStart w:id="226" w:name="_Toc527969504"/>
      <w:r>
        <w:rPr>
          <w:rFonts w:cs="Arial"/>
          <w:b/>
          <w:bCs/>
          <w:sz w:val="20"/>
          <w:szCs w:val="20"/>
        </w:rPr>
        <w:t xml:space="preserve">Tablica </w:t>
      </w:r>
      <w:r>
        <w:rPr>
          <w:rFonts w:cs="Arial"/>
          <w:b/>
          <w:bCs/>
          <w:sz w:val="20"/>
          <w:szCs w:val="20"/>
        </w:rPr>
        <w:fldChar w:fldCharType="begin"/>
      </w:r>
      <w:r>
        <w:instrText>SEQ Tablica \* ARABIC</w:instrText>
      </w:r>
      <w:r>
        <w:fldChar w:fldCharType="separate"/>
      </w:r>
      <w:r>
        <w:t>22</w:t>
      </w:r>
      <w:r>
        <w:fldChar w:fldCharType="end"/>
      </w:r>
      <w:bookmarkEnd w:id="223"/>
      <w:bookmarkEnd w:id="224"/>
      <w:bookmarkEnd w:id="225"/>
      <w:bookmarkEnd w:id="226"/>
      <w:r>
        <w:rPr>
          <w:rFonts w:cs="Arial"/>
          <w:b/>
          <w:bCs/>
          <w:sz w:val="20"/>
          <w:szCs w:val="20"/>
        </w:rPr>
        <w:t>: Prikaz promjene rangiranja županija prema HGK indeksu gospodarske snage u 2017.god. u odnosu na 2016.god.</w:t>
      </w:r>
    </w:p>
    <w:p w:rsidR="008F0D85" w:rsidRDefault="00AE42A1">
      <w:pPr>
        <w:rPr>
          <w:rFonts w:cs="Calibri"/>
          <w:sz w:val="20"/>
          <w:szCs w:val="20"/>
        </w:rPr>
      </w:pPr>
      <w:r>
        <w:rPr>
          <w:rFonts w:cs="Calibri"/>
          <w:sz w:val="20"/>
          <w:szCs w:val="20"/>
        </w:rPr>
        <w:t>Izvor: Hrvatska gospodarska ko</w:t>
      </w:r>
      <w:r>
        <w:rPr>
          <w:rFonts w:cs="Calibri"/>
          <w:sz w:val="20"/>
          <w:szCs w:val="20"/>
        </w:rPr>
        <w:t>mora, HGK indeks gospodarske snage, srpanj 2017.god.</w:t>
      </w:r>
    </w:p>
    <w:p w:rsidR="008F0D85" w:rsidRDefault="00AE42A1">
      <w:pPr>
        <w:rPr>
          <w:rFonts w:cs="Calibri"/>
          <w:szCs w:val="24"/>
        </w:rPr>
      </w:pPr>
      <w:r>
        <w:rPr>
          <w:rFonts w:cs="Calibri"/>
          <w:szCs w:val="24"/>
        </w:rPr>
        <w:t>Upravo u županijama s nižim indeksom gospodarske snage treba tražiti potencijal za gospodarski razvoj odnosno uočava se potreba ulaganja u njihov razvoj, s ciljem smanjivanja razvojnih razlika između žup</w:t>
      </w:r>
      <w:r>
        <w:rPr>
          <w:rFonts w:cs="Calibri"/>
          <w:szCs w:val="24"/>
        </w:rPr>
        <w:t xml:space="preserve">anija, ali i poticanja ukupnog gospodarskog rasta RH.  </w:t>
      </w:r>
    </w:p>
    <w:p w:rsidR="008F0D85" w:rsidRDefault="00AE42A1">
      <w:pPr>
        <w:rPr>
          <w:rFonts w:cs="Calibri"/>
          <w:szCs w:val="24"/>
        </w:rPr>
      </w:pPr>
      <w:r>
        <w:rPr>
          <w:rFonts w:cs="Calibri"/>
          <w:szCs w:val="24"/>
        </w:rPr>
        <w:t>Povećanjem regionalne konkurentnosti moguće je smanjiti vjerojatnost emigracije stanovništva koja će uz postojeće starenje stanovništva predstavljati problem u budućnosti. Smanjivanje broja radno spos</w:t>
      </w:r>
      <w:r>
        <w:rPr>
          <w:rFonts w:cs="Calibri"/>
          <w:szCs w:val="24"/>
        </w:rPr>
        <w:t>obnog stanovništva najviše će pogoditi mirovinski sustav u kojem, uz omjer osiguranika i umirovljenika od oko 1,22:1, situacija već danas nije zadovoljavajuća.</w:t>
      </w:r>
    </w:p>
    <w:p w:rsidR="008F0D85" w:rsidRDefault="00AE42A1">
      <w:pPr>
        <w:shd w:val="clear" w:color="auto" w:fill="FFFFFF"/>
        <w:spacing w:after="48"/>
        <w:textAlignment w:val="baseline"/>
        <w:rPr>
          <w:rFonts w:cs="Calibri"/>
          <w:szCs w:val="24"/>
          <w:lang w:eastAsia="hr-HR"/>
        </w:rPr>
      </w:pPr>
      <w:r>
        <w:rPr>
          <w:rFonts w:cs="Calibri"/>
          <w:szCs w:val="24"/>
          <w:lang w:eastAsia="hr-HR"/>
        </w:rPr>
        <w:t>Jedinice područne (regionalne) samouprave razvrstavaju se prema indeksu razvijenosti u:</w:t>
      </w:r>
    </w:p>
    <w:p w:rsidR="008F0D85" w:rsidRDefault="00AE42A1">
      <w:pPr>
        <w:numPr>
          <w:ilvl w:val="0"/>
          <w:numId w:val="4"/>
        </w:numPr>
        <w:shd w:val="clear" w:color="auto" w:fill="FFFFFF"/>
        <w:spacing w:after="48"/>
        <w:textAlignment w:val="baseline"/>
        <w:rPr>
          <w:rFonts w:cs="Calibri"/>
          <w:szCs w:val="24"/>
          <w:lang w:eastAsia="hr-HR"/>
        </w:rPr>
      </w:pPr>
      <w:r>
        <w:rPr>
          <w:rFonts w:cs="Calibri"/>
          <w:szCs w:val="24"/>
          <w:lang w:eastAsia="hr-HR"/>
        </w:rPr>
        <w:t>skupinu jedinica područne (regionalne) samouprave koje se prema vrijednosti indeksa nalaze u drugoj polovini ispodprosječno rangiranih jedinica područne (regionalne) samouprave: Bjelovarsko-bilogorska županija, Brodsko-posavska županija, Ličko-senjska župa</w:t>
      </w:r>
      <w:r>
        <w:rPr>
          <w:rFonts w:cs="Calibri"/>
          <w:szCs w:val="24"/>
          <w:lang w:eastAsia="hr-HR"/>
        </w:rPr>
        <w:t>nija, Sisačko-moslavačka županija, Virovitičko-podravska županija i Vukovarsko-srijemska županija</w:t>
      </w:r>
    </w:p>
    <w:p w:rsidR="008F0D85" w:rsidRDefault="00AE42A1">
      <w:pPr>
        <w:numPr>
          <w:ilvl w:val="0"/>
          <w:numId w:val="4"/>
        </w:numPr>
        <w:shd w:val="clear" w:color="auto" w:fill="FFFFFF"/>
        <w:spacing w:after="48"/>
        <w:textAlignment w:val="baseline"/>
        <w:rPr>
          <w:rFonts w:cs="Calibri"/>
          <w:szCs w:val="24"/>
          <w:lang w:eastAsia="hr-HR"/>
        </w:rPr>
      </w:pPr>
      <w:r>
        <w:rPr>
          <w:rFonts w:cs="Calibri"/>
          <w:szCs w:val="24"/>
          <w:lang w:eastAsia="hr-HR"/>
        </w:rPr>
        <w:t>II. skupinu jedinica područne (regionalne) samouprave koje se prema vrijednosti indeksa nalaze u prvoj polovini ispodprosječno rangiranih jedinica područne (r</w:t>
      </w:r>
      <w:r>
        <w:rPr>
          <w:rFonts w:cs="Calibri"/>
          <w:szCs w:val="24"/>
          <w:lang w:eastAsia="hr-HR"/>
        </w:rPr>
        <w:t>egionalne) samouprave: Karlovačka županija, Koprivničko-križevačka županija, Krapinsko-zagorska županija, Osječko-baranjska županija, Požeško-slavonska županija i Šibensko-kninska županija</w:t>
      </w:r>
    </w:p>
    <w:p w:rsidR="008F0D85" w:rsidRDefault="00AE42A1">
      <w:pPr>
        <w:numPr>
          <w:ilvl w:val="0"/>
          <w:numId w:val="4"/>
        </w:numPr>
        <w:shd w:val="clear" w:color="auto" w:fill="FFFFFF"/>
        <w:spacing w:after="48"/>
        <w:textAlignment w:val="baseline"/>
        <w:rPr>
          <w:rFonts w:cs="Calibri"/>
          <w:szCs w:val="24"/>
          <w:lang w:eastAsia="hr-HR"/>
        </w:rPr>
      </w:pPr>
      <w:r>
        <w:rPr>
          <w:rFonts w:cs="Calibri"/>
          <w:szCs w:val="24"/>
          <w:lang w:eastAsia="hr-HR"/>
        </w:rPr>
        <w:t>III. skupinu jedinica područne (regionalne) samouprave koje se prem</w:t>
      </w:r>
      <w:r>
        <w:rPr>
          <w:rFonts w:cs="Calibri"/>
          <w:szCs w:val="24"/>
          <w:lang w:eastAsia="hr-HR"/>
        </w:rPr>
        <w:t xml:space="preserve">a vrijednosti indeksa nalaze u drugoj polovini iznadprosječno rangiranih jedinica područne </w:t>
      </w:r>
      <w:r>
        <w:rPr>
          <w:rFonts w:cs="Calibri"/>
          <w:szCs w:val="24"/>
          <w:lang w:eastAsia="hr-HR"/>
        </w:rPr>
        <w:lastRenderedPageBreak/>
        <w:t>(regionalne) samouprave: Međimurska županija, Splitsko-dalmatinska županija, Varaždinska županija i Zadarska županija</w:t>
      </w:r>
    </w:p>
    <w:p w:rsidR="008F0D85" w:rsidRDefault="00AE42A1">
      <w:pPr>
        <w:numPr>
          <w:ilvl w:val="0"/>
          <w:numId w:val="4"/>
        </w:numPr>
        <w:shd w:val="clear" w:color="auto" w:fill="FFFFFF"/>
        <w:spacing w:after="48"/>
        <w:textAlignment w:val="baseline"/>
        <w:rPr>
          <w:rFonts w:cs="Calibri"/>
          <w:szCs w:val="24"/>
          <w:lang w:eastAsia="hr-HR"/>
        </w:rPr>
      </w:pPr>
      <w:r>
        <w:rPr>
          <w:rFonts w:cs="Calibri"/>
          <w:szCs w:val="24"/>
          <w:lang w:eastAsia="hr-HR"/>
        </w:rPr>
        <w:t>IV. skupinu jedinica područne (regionalne) samo</w:t>
      </w:r>
      <w:r>
        <w:rPr>
          <w:rFonts w:cs="Calibri"/>
          <w:szCs w:val="24"/>
          <w:lang w:eastAsia="hr-HR"/>
        </w:rPr>
        <w:t>uprave koje se prema vrijednosti indeksa nalaze u prvoj polovini iznadprosječno rangiranih jedinica područne (regionalne) samouprave: Dubrovačko-neretvanska županija, Grad Zagreb, Istarska županija, Primorsko-goranska županija i Zagrebačka županija.</w:t>
      </w:r>
    </w:p>
    <w:p w:rsidR="008F0D85" w:rsidRDefault="008F0D85">
      <w:pPr>
        <w:rPr>
          <w:rFonts w:cs="Calibri"/>
          <w:sz w:val="20"/>
          <w:szCs w:val="20"/>
        </w:rPr>
      </w:pPr>
    </w:p>
    <w:p w:rsidR="008F0D85" w:rsidRDefault="00AE42A1">
      <w:r>
        <w:t>Općin</w:t>
      </w:r>
      <w:r>
        <w:t>a je razvrstana u:</w:t>
      </w:r>
    </w:p>
    <w:p w:rsidR="008F0D85" w:rsidRDefault="00AE42A1">
      <w:pPr>
        <w:pStyle w:val="Odlomakpopisa"/>
        <w:numPr>
          <w:ilvl w:val="0"/>
          <w:numId w:val="25"/>
        </w:numPr>
        <w:jc w:val="both"/>
        <w:rPr>
          <w:rFonts w:cs="Calibri"/>
          <w:sz w:val="24"/>
          <w:szCs w:val="24"/>
        </w:rPr>
      </w:pPr>
      <w:r>
        <w:rPr>
          <w:rFonts w:cs="Calibri"/>
          <w:color w:val="231F20"/>
          <w:sz w:val="24"/>
          <w:szCs w:val="24"/>
          <w:shd w:val="clear" w:color="auto" w:fill="FFFFFF"/>
        </w:rPr>
        <w:t xml:space="preserve">II. skupinu jedinica lokalne samouprave koje se prema vrijednosti indeksa nalaze u trećoj četvrtini ispodprosječno rangiranih jedinica lokalne samouprave: Bebrina, Bogdanovci, Borovo, Bošnjaci, Brestovac, Cernik, Čačinci, Čaglin, Darda, </w:t>
      </w:r>
      <w:r>
        <w:rPr>
          <w:rFonts w:cs="Calibri"/>
          <w:color w:val="231F20"/>
          <w:sz w:val="24"/>
          <w:szCs w:val="24"/>
          <w:shd w:val="clear" w:color="auto" w:fill="FFFFFF"/>
        </w:rPr>
        <w:t xml:space="preserve">Davor, Desinić, Dragalić, Đurđenovac, Erdut, Farkaševac, Ferdinandovac, Generalski Stol, Gola, Gorjani, Gornja Rijeka, Gradište, Grubišno Polje, Gundinci, Hrvatska Kostajnica, Ivanska, Kaptol, </w:t>
      </w:r>
      <w:r>
        <w:rPr>
          <w:rFonts w:cs="Calibri"/>
          <w:b/>
          <w:color w:val="231F20"/>
          <w:sz w:val="24"/>
          <w:szCs w:val="24"/>
          <w:shd w:val="clear" w:color="auto" w:fill="FFFFFF"/>
        </w:rPr>
        <w:t>Kloštar Podravski</w:t>
      </w:r>
      <w:r>
        <w:rPr>
          <w:rFonts w:cs="Calibri"/>
          <w:color w:val="231F20"/>
          <w:sz w:val="24"/>
          <w:szCs w:val="24"/>
          <w:shd w:val="clear" w:color="auto" w:fill="FFFFFF"/>
        </w:rPr>
        <w:t xml:space="preserve">, Kneževi Vinogradi, Končanica, Koška, </w:t>
      </w:r>
      <w:r>
        <w:rPr>
          <w:rFonts w:cs="Calibri"/>
          <w:color w:val="231F20"/>
          <w:sz w:val="24"/>
          <w:szCs w:val="24"/>
          <w:shd w:val="clear" w:color="auto" w:fill="FFFFFF"/>
        </w:rPr>
        <w:t>Legrad, Lišane Ostrovičke, Magadenovac, Marijanci, Martijanec, Martinska Ves, Nijemci, Nova Kapela, Novo Virje, Otok (Vukovarsko-srijemska županija), Perušić, Podbablje, Pojezerje, Preseka, Prgomet, Privlaka (Vukovarsko-srijemska županija), Punitovci, Reše</w:t>
      </w:r>
      <w:r>
        <w:rPr>
          <w:rFonts w:cs="Calibri"/>
          <w:color w:val="231F20"/>
          <w:sz w:val="24"/>
          <w:szCs w:val="24"/>
          <w:shd w:val="clear" w:color="auto" w:fill="FFFFFF"/>
        </w:rPr>
        <w:t>tari, Ribnik, Rovišće, Runovići, Ružić, Satnica Đakovačka, Semeljci, Sikirevci, Sirač, Skradin, Slavonski Šamac, Slunj, Sokolovac, Stari Jankovci, Strizivojna, Sveti Petar Orehovec, Šandrovac, Šestanovac, Štefanje, Topusko, Tounj, Velika Kopanica, Velika T</w:t>
      </w:r>
      <w:r>
        <w:rPr>
          <w:rFonts w:cs="Calibri"/>
          <w:color w:val="231F20"/>
          <w:sz w:val="24"/>
          <w:szCs w:val="24"/>
          <w:shd w:val="clear" w:color="auto" w:fill="FFFFFF"/>
        </w:rPr>
        <w:t>rnovitica, Veliki Grđevac, Veliko Trojstvo, Viškovci, Vladislavci, Vrbanja i Zdenci.</w:t>
      </w:r>
    </w:p>
    <w:p w:rsidR="008F0D85" w:rsidRDefault="008F0D85">
      <w:pPr>
        <w:rPr>
          <w:rFonts w:cs="Calibri"/>
          <w:szCs w:val="24"/>
        </w:rPr>
      </w:pPr>
    </w:p>
    <w:p w:rsidR="008F0D85" w:rsidRDefault="00AE42A1">
      <w:pPr>
        <w:pStyle w:val="Naslov3"/>
      </w:pPr>
      <w:bookmarkStart w:id="227" w:name="_Toc516128236"/>
      <w:bookmarkStart w:id="228" w:name="_Toc527969346"/>
      <w:bookmarkEnd w:id="227"/>
      <w:bookmarkEnd w:id="228"/>
      <w:r>
        <w:t>2.9.5. Objekti kritične infrastrukture</w:t>
      </w:r>
    </w:p>
    <w:p w:rsidR="008F0D85" w:rsidRDefault="008F0D85">
      <w:pPr>
        <w:rPr>
          <w:rFonts w:cs="Calibri"/>
          <w:b/>
          <w:szCs w:val="24"/>
        </w:rPr>
      </w:pPr>
    </w:p>
    <w:p w:rsidR="008F0D85" w:rsidRDefault="00AE42A1">
      <w:pPr>
        <w:pStyle w:val="Odlomakpopisa"/>
        <w:numPr>
          <w:ilvl w:val="0"/>
          <w:numId w:val="26"/>
        </w:numPr>
        <w:rPr>
          <w:rFonts w:cs="Calibri"/>
          <w:b/>
          <w:sz w:val="24"/>
          <w:szCs w:val="24"/>
        </w:rPr>
      </w:pPr>
      <w:r>
        <w:rPr>
          <w:rFonts w:cs="Calibri"/>
          <w:b/>
          <w:sz w:val="24"/>
          <w:szCs w:val="24"/>
        </w:rPr>
        <w:t>Pošta</w:t>
      </w:r>
    </w:p>
    <w:p w:rsidR="008F0D85" w:rsidRDefault="00AE42A1">
      <w:pPr>
        <w:spacing w:after="0"/>
        <w:rPr>
          <w:rFonts w:cs="Calibri"/>
          <w:color w:val="000000"/>
          <w:szCs w:val="24"/>
        </w:rPr>
      </w:pPr>
      <w:r>
        <w:rPr>
          <w:rFonts w:cs="Calibri"/>
          <w:color w:val="000000"/>
          <w:szCs w:val="24"/>
        </w:rPr>
        <w:t>Poštanski ured 48362 Kloštar Podravski dostavlja poštu u naselja: Budančevica, Kozarevac, Prugovac, Veseli brijeg (zaselak K</w:t>
      </w:r>
      <w:r>
        <w:rPr>
          <w:rFonts w:cs="Calibri"/>
          <w:color w:val="000000"/>
          <w:szCs w:val="24"/>
        </w:rPr>
        <w:t xml:space="preserve">loštra Podravskog), Kloštar Podravski. </w:t>
      </w:r>
    </w:p>
    <w:p w:rsidR="008F0D85" w:rsidRDefault="008F0D85">
      <w:pPr>
        <w:rPr>
          <w:szCs w:val="24"/>
        </w:rPr>
      </w:pPr>
    </w:p>
    <w:p w:rsidR="008F0D85" w:rsidRDefault="00AE42A1">
      <w:pPr>
        <w:pStyle w:val="Odlomakpopisa"/>
        <w:numPr>
          <w:ilvl w:val="0"/>
          <w:numId w:val="26"/>
        </w:numPr>
        <w:rPr>
          <w:b/>
          <w:sz w:val="24"/>
          <w:szCs w:val="24"/>
        </w:rPr>
      </w:pPr>
      <w:r>
        <w:rPr>
          <w:b/>
          <w:sz w:val="24"/>
          <w:szCs w:val="24"/>
        </w:rPr>
        <w:t>Telekomunikacije</w:t>
      </w:r>
    </w:p>
    <w:p w:rsidR="008F0D85" w:rsidRDefault="00AE42A1">
      <w:pPr>
        <w:rPr>
          <w:rFonts w:cs="Calibri"/>
          <w:szCs w:val="24"/>
        </w:rPr>
      </w:pPr>
      <w:r>
        <w:rPr>
          <w:rFonts w:cs="Calibri"/>
          <w:szCs w:val="24"/>
        </w:rPr>
        <w:t>Na području Općine kao i na području Koprivničko-križevačke županije te Republike Hrvatske koncesiju za obavljanje usluga u nepokretnoj mreži imaju Hrvatske telekomunikacije d. d. (HT). Hrvatske tel</w:t>
      </w:r>
      <w:r>
        <w:rPr>
          <w:rFonts w:cs="Calibri"/>
          <w:szCs w:val="24"/>
        </w:rPr>
        <w:t>ekomunikacije su organizirane po principu teritorijalnog ustroja, pa na području Općine Kloštar Podravski kao i na području Koprivničko-križevačke županije, usluge u nepokretnoj mreži pruža Telekomunikacijski centar Koprivnica.</w:t>
      </w:r>
    </w:p>
    <w:p w:rsidR="008F0D85" w:rsidRDefault="00AE42A1">
      <w:pPr>
        <w:spacing w:after="0"/>
        <w:rPr>
          <w:rFonts w:cs="Calibri"/>
          <w:szCs w:val="24"/>
        </w:rPr>
      </w:pPr>
      <w:r>
        <w:rPr>
          <w:rFonts w:cs="Calibri"/>
          <w:szCs w:val="24"/>
        </w:rPr>
        <w:t>Područje Općine pokriveno je</w:t>
      </w:r>
      <w:r>
        <w:rPr>
          <w:rFonts w:cs="Calibri"/>
          <w:szCs w:val="24"/>
        </w:rPr>
        <w:t xml:space="preserve"> s HT-baznom stanicom u Kloštru Podravskom i Kozarevcu. Pokrivenost signalom je zadovoljavajuće kvalitete. Instalirani kapaciteti dostatni su za </w:t>
      </w:r>
      <w:r>
        <w:rPr>
          <w:rFonts w:cs="Calibri"/>
          <w:szCs w:val="24"/>
        </w:rPr>
        <w:lastRenderedPageBreak/>
        <w:t>trenutni TK promet, a prema potrebi postoji mogućnost širenja kapaciteta. Na području Općine  VIPnet nema posto</w:t>
      </w:r>
      <w:r>
        <w:rPr>
          <w:rFonts w:cs="Calibri"/>
          <w:szCs w:val="24"/>
        </w:rPr>
        <w:t>jećih baznih stanica, ali postoji mogućnost proširenja mreže i izgradnje baznih stanica.</w:t>
      </w:r>
    </w:p>
    <w:p w:rsidR="008F0D85" w:rsidRDefault="00AE42A1">
      <w:pPr>
        <w:spacing w:after="0"/>
        <w:rPr>
          <w:rFonts w:cs="Calibri"/>
          <w:szCs w:val="24"/>
        </w:rPr>
      </w:pPr>
      <w:r>
        <w:rPr>
          <w:rFonts w:cs="Calibri"/>
          <w:szCs w:val="24"/>
        </w:rPr>
        <w:t>Koprivničko-križevačka županija ustrojena je kao jedna mrežna skupina sa TC/PC centralama (tranzitno-pristupne centrale) u Koprivnici, Đurđevcu i Križevcima. TC/PC cen</w:t>
      </w:r>
      <w:r>
        <w:rPr>
          <w:rFonts w:cs="Calibri"/>
          <w:szCs w:val="24"/>
        </w:rPr>
        <w:t>trale s UPS-ovima (udaljenim pretplatničkim stupnjevima) u Kozarevcu, Prugovcu i Kloštru Podravskom pokrivaju područje Općine Kloštar Podravski. Fiksnom mrežom pokrivena su sva mjesta na području Općine, a broj TF priključaka na 100 stanovnika iznosi 27,6.</w:t>
      </w:r>
      <w:r>
        <w:rPr>
          <w:rFonts w:cs="Calibri"/>
          <w:szCs w:val="24"/>
        </w:rPr>
        <w:t xml:space="preserve"> Na području Općine komutacijski kapaciteti zadovoljavaju sadašnje potrebe, a postoji mogućnost proširenja kapaciteta. </w:t>
      </w:r>
    </w:p>
    <w:p w:rsidR="008F0D85" w:rsidRDefault="008F0D85">
      <w:pPr>
        <w:spacing w:after="0"/>
        <w:rPr>
          <w:rFonts w:cs="Calibri"/>
          <w:szCs w:val="24"/>
        </w:rPr>
      </w:pPr>
    </w:p>
    <w:p w:rsidR="008F0D85" w:rsidRDefault="00AE42A1">
      <w:pPr>
        <w:pStyle w:val="Odlomakpopisa"/>
        <w:numPr>
          <w:ilvl w:val="0"/>
          <w:numId w:val="26"/>
        </w:numPr>
        <w:rPr>
          <w:rFonts w:cs="Calibri"/>
          <w:b/>
          <w:sz w:val="24"/>
          <w:szCs w:val="24"/>
        </w:rPr>
      </w:pPr>
      <w:r>
        <w:rPr>
          <w:rFonts w:cs="Calibri"/>
          <w:b/>
          <w:sz w:val="24"/>
          <w:szCs w:val="24"/>
        </w:rPr>
        <w:t>Vodoopskrba i odvodnja</w:t>
      </w:r>
    </w:p>
    <w:p w:rsidR="008F0D85" w:rsidRDefault="00AE42A1">
      <w:pPr>
        <w:rPr>
          <w:rFonts w:cs="Calibri"/>
          <w:szCs w:val="24"/>
        </w:rPr>
      </w:pPr>
      <w:r>
        <w:rPr>
          <w:rFonts w:cs="Calibri"/>
          <w:szCs w:val="24"/>
        </w:rPr>
        <w:t>Izgrađene su vodovodne mreže naselja Kloštar Podravski i Budančevica koje će se vezati na magistralni vodovod Ko</w:t>
      </w:r>
      <w:r>
        <w:rPr>
          <w:rFonts w:cs="Calibri"/>
          <w:szCs w:val="24"/>
        </w:rPr>
        <w:t>privničko-križevačke županije. U Kloštru Podravskom nemaju sve ulice izgrađenu vodovodnu mrežu, a lokalna mreža u ostalim naseljima je dotrajala i treba je rekonstruirati.</w:t>
      </w:r>
    </w:p>
    <w:p w:rsidR="008F0D85" w:rsidRDefault="00AE42A1">
      <w:pPr>
        <w:rPr>
          <w:rFonts w:cs="Calibri"/>
          <w:szCs w:val="24"/>
        </w:rPr>
      </w:pPr>
      <w:r>
        <w:rPr>
          <w:rFonts w:cs="Calibri"/>
          <w:szCs w:val="24"/>
        </w:rPr>
        <w:t>Problem odvodnje otpadnih voda na području Općine nije adekvatno neriješeno. Odvodnj</w:t>
      </w:r>
      <w:r>
        <w:rPr>
          <w:rFonts w:cs="Calibri"/>
          <w:szCs w:val="24"/>
        </w:rPr>
        <w:t xml:space="preserve">a oborinske vode vrši se otvorenim kanalima u vodotoke, dok je odvodnja fekalnih voda riješena je izgradnjom septičkih jama i gnojnica. </w:t>
      </w:r>
    </w:p>
    <w:p w:rsidR="008F0D85" w:rsidRDefault="00AE42A1">
      <w:pPr>
        <w:pStyle w:val="Odlomakpopisa"/>
        <w:numPr>
          <w:ilvl w:val="0"/>
          <w:numId w:val="26"/>
        </w:numPr>
        <w:rPr>
          <w:rFonts w:cs="Calibri"/>
          <w:b/>
          <w:sz w:val="24"/>
          <w:szCs w:val="24"/>
        </w:rPr>
      </w:pPr>
      <w:r>
        <w:rPr>
          <w:rFonts w:cs="Calibri"/>
          <w:b/>
          <w:sz w:val="24"/>
          <w:szCs w:val="24"/>
        </w:rPr>
        <w:t>Mostovi, vijadukti i tuneli</w:t>
      </w:r>
    </w:p>
    <w:p w:rsidR="008F0D85" w:rsidRDefault="00AE42A1">
      <w:pPr>
        <w:rPr>
          <w:rFonts w:cs="Calibri"/>
          <w:szCs w:val="24"/>
        </w:rPr>
      </w:pPr>
      <w:r>
        <w:rPr>
          <w:rFonts w:cs="Calibri"/>
          <w:szCs w:val="24"/>
        </w:rPr>
        <w:t>Na predmetnom području mostovi se nalaze na:</w:t>
      </w:r>
    </w:p>
    <w:p w:rsidR="008F0D85" w:rsidRDefault="00AE42A1">
      <w:pPr>
        <w:pStyle w:val="Odlomakpopisa"/>
        <w:numPr>
          <w:ilvl w:val="0"/>
          <w:numId w:val="27"/>
        </w:numPr>
        <w:rPr>
          <w:rFonts w:cs="Calibri"/>
          <w:sz w:val="24"/>
          <w:szCs w:val="24"/>
        </w:rPr>
      </w:pPr>
      <w:r>
        <w:rPr>
          <w:rFonts w:cs="Calibri"/>
          <w:sz w:val="24"/>
          <w:szCs w:val="24"/>
        </w:rPr>
        <w:t>Vodotok Kopanjek – Budančevica,</w:t>
      </w:r>
    </w:p>
    <w:p w:rsidR="008F0D85" w:rsidRDefault="00AE42A1">
      <w:pPr>
        <w:pStyle w:val="Odlomakpopisa"/>
        <w:numPr>
          <w:ilvl w:val="0"/>
          <w:numId w:val="27"/>
        </w:numPr>
        <w:rPr>
          <w:rFonts w:cs="Calibri"/>
          <w:sz w:val="24"/>
          <w:szCs w:val="24"/>
        </w:rPr>
      </w:pPr>
      <w:r>
        <w:rPr>
          <w:rFonts w:cs="Calibri"/>
          <w:sz w:val="24"/>
          <w:szCs w:val="24"/>
        </w:rPr>
        <w:t xml:space="preserve">Vodotok </w:t>
      </w:r>
      <w:r>
        <w:rPr>
          <w:rFonts w:cs="Calibri"/>
          <w:sz w:val="24"/>
          <w:szCs w:val="24"/>
        </w:rPr>
        <w:t>Kopanjek (ulica Pridvorje) – Kloštar Podravski,</w:t>
      </w:r>
    </w:p>
    <w:p w:rsidR="008F0D85" w:rsidRDefault="00AE42A1">
      <w:pPr>
        <w:pStyle w:val="Odlomakpopisa"/>
        <w:numPr>
          <w:ilvl w:val="0"/>
          <w:numId w:val="27"/>
        </w:numPr>
        <w:rPr>
          <w:rFonts w:cs="Calibri"/>
          <w:sz w:val="24"/>
          <w:szCs w:val="24"/>
        </w:rPr>
      </w:pPr>
      <w:r>
        <w:rPr>
          <w:rFonts w:cs="Calibri"/>
          <w:sz w:val="24"/>
          <w:szCs w:val="24"/>
        </w:rPr>
        <w:t>Vodotok Kramarica (Zagrebačka ulica) – Kozarevac,</w:t>
      </w:r>
    </w:p>
    <w:p w:rsidR="008F0D85" w:rsidRDefault="00AE42A1">
      <w:pPr>
        <w:pStyle w:val="Odlomakpopisa"/>
        <w:numPr>
          <w:ilvl w:val="0"/>
          <w:numId w:val="27"/>
        </w:numPr>
        <w:rPr>
          <w:rFonts w:cs="Calibri"/>
          <w:sz w:val="24"/>
          <w:szCs w:val="24"/>
        </w:rPr>
      </w:pPr>
      <w:r>
        <w:rPr>
          <w:rFonts w:cs="Calibri"/>
          <w:sz w:val="24"/>
          <w:szCs w:val="24"/>
        </w:rPr>
        <w:t>Vodotok Kozarevac ( Suhopoljska ulica) – Kozarevac.</w:t>
      </w:r>
    </w:p>
    <w:p w:rsidR="008F0D85" w:rsidRDefault="008F0D85">
      <w:pPr>
        <w:pStyle w:val="Odlomakpopisa"/>
        <w:rPr>
          <w:rFonts w:cs="Calibri"/>
          <w:sz w:val="24"/>
          <w:szCs w:val="24"/>
        </w:rPr>
      </w:pPr>
    </w:p>
    <w:p w:rsidR="008F0D85" w:rsidRDefault="00AE42A1">
      <w:pPr>
        <w:pStyle w:val="Odlomakpopisa"/>
        <w:numPr>
          <w:ilvl w:val="0"/>
          <w:numId w:val="26"/>
        </w:numPr>
        <w:rPr>
          <w:rFonts w:cs="Calibri"/>
          <w:b/>
          <w:sz w:val="24"/>
          <w:szCs w:val="24"/>
        </w:rPr>
      </w:pPr>
      <w:r>
        <w:rPr>
          <w:rFonts w:cs="Calibri"/>
          <w:b/>
          <w:sz w:val="24"/>
          <w:szCs w:val="24"/>
        </w:rPr>
        <w:t>Elektroopskrba</w:t>
      </w:r>
    </w:p>
    <w:p w:rsidR="008F0D85" w:rsidRDefault="00AE42A1">
      <w:pPr>
        <w:rPr>
          <w:rFonts w:cs="Calibri"/>
          <w:szCs w:val="24"/>
        </w:rPr>
      </w:pPr>
      <w:r>
        <w:rPr>
          <w:rFonts w:cs="Calibri"/>
          <w:szCs w:val="24"/>
        </w:rPr>
        <w:t>Napajanje električnom energijom područje Općine Kloštar Podravski provodi se iz distributi</w:t>
      </w:r>
      <w:r>
        <w:rPr>
          <w:rFonts w:cs="Calibri"/>
          <w:szCs w:val="24"/>
        </w:rPr>
        <w:t>vnih trafostanica 10/0,4 kV. Mreža se napaja iz dvije glavne spojne točke: TS 35/10kV Pitomača i TS 35/10 kV Đurđevac. Navedene trafostanice međusobno su povezane 35 kV dalekovodom.</w:t>
      </w:r>
    </w:p>
    <w:p w:rsidR="008F0D85" w:rsidRDefault="00AE42A1">
      <w:pPr>
        <w:rPr>
          <w:rFonts w:cs="Calibri"/>
          <w:szCs w:val="24"/>
        </w:rPr>
      </w:pPr>
      <w:r>
        <w:rPr>
          <w:rFonts w:cs="Calibri"/>
          <w:szCs w:val="24"/>
        </w:rPr>
        <w:t>Na području Općine nalaze se sljedeće trafostanice:</w:t>
      </w:r>
    </w:p>
    <w:p w:rsidR="008F0D85" w:rsidRDefault="00AE42A1">
      <w:pPr>
        <w:pStyle w:val="Odlomakpopisa"/>
        <w:numPr>
          <w:ilvl w:val="0"/>
          <w:numId w:val="28"/>
        </w:numPr>
        <w:rPr>
          <w:rFonts w:cs="Calibri"/>
          <w:sz w:val="24"/>
          <w:szCs w:val="24"/>
        </w:rPr>
      </w:pPr>
      <w:r>
        <w:rPr>
          <w:rFonts w:cs="Calibri"/>
          <w:sz w:val="24"/>
          <w:szCs w:val="24"/>
        </w:rPr>
        <w:t xml:space="preserve">TS 10 kV </w:t>
      </w:r>
      <w:r>
        <w:rPr>
          <w:rFonts w:cs="Calibri"/>
          <w:sz w:val="24"/>
          <w:szCs w:val="24"/>
        </w:rPr>
        <w:t>Limbuš,</w:t>
      </w:r>
    </w:p>
    <w:p w:rsidR="008F0D85" w:rsidRDefault="00AE42A1">
      <w:pPr>
        <w:pStyle w:val="Odlomakpopisa"/>
        <w:numPr>
          <w:ilvl w:val="0"/>
          <w:numId w:val="28"/>
        </w:numPr>
        <w:rPr>
          <w:rFonts w:cs="Calibri"/>
          <w:sz w:val="24"/>
          <w:szCs w:val="24"/>
        </w:rPr>
      </w:pPr>
      <w:r>
        <w:rPr>
          <w:rFonts w:cs="Calibri"/>
          <w:sz w:val="24"/>
          <w:szCs w:val="24"/>
        </w:rPr>
        <w:t xml:space="preserve">TS 10kV Kloštar 5, </w:t>
      </w:r>
    </w:p>
    <w:p w:rsidR="008F0D85" w:rsidRDefault="00AE42A1">
      <w:pPr>
        <w:pStyle w:val="Odlomakpopisa"/>
        <w:numPr>
          <w:ilvl w:val="0"/>
          <w:numId w:val="28"/>
        </w:numPr>
        <w:rPr>
          <w:rFonts w:cs="Calibri"/>
          <w:sz w:val="24"/>
          <w:szCs w:val="24"/>
        </w:rPr>
      </w:pPr>
      <w:r>
        <w:rPr>
          <w:rFonts w:cs="Calibri"/>
          <w:sz w:val="24"/>
          <w:szCs w:val="24"/>
        </w:rPr>
        <w:t>TS 10kV Preradovićeva 1,</w:t>
      </w:r>
    </w:p>
    <w:p w:rsidR="008F0D85" w:rsidRDefault="00AE42A1">
      <w:pPr>
        <w:pStyle w:val="Odlomakpopisa"/>
        <w:numPr>
          <w:ilvl w:val="0"/>
          <w:numId w:val="28"/>
        </w:numPr>
        <w:rPr>
          <w:rFonts w:cs="Calibri"/>
          <w:sz w:val="24"/>
          <w:szCs w:val="24"/>
        </w:rPr>
      </w:pPr>
      <w:r>
        <w:rPr>
          <w:rFonts w:cs="Calibri"/>
          <w:sz w:val="24"/>
          <w:szCs w:val="24"/>
        </w:rPr>
        <w:t>TS 10kV  Preradovićeva 2,</w:t>
      </w:r>
    </w:p>
    <w:p w:rsidR="008F0D85" w:rsidRDefault="00AE42A1">
      <w:pPr>
        <w:pStyle w:val="Odlomakpopisa"/>
        <w:numPr>
          <w:ilvl w:val="0"/>
          <w:numId w:val="28"/>
        </w:numPr>
        <w:rPr>
          <w:rFonts w:cs="Calibri"/>
          <w:sz w:val="24"/>
          <w:szCs w:val="24"/>
        </w:rPr>
      </w:pPr>
      <w:r>
        <w:rPr>
          <w:rFonts w:cs="Calibri"/>
          <w:sz w:val="24"/>
          <w:szCs w:val="24"/>
        </w:rPr>
        <w:lastRenderedPageBreak/>
        <w:t>TS 10kV  Gajeva,</w:t>
      </w:r>
    </w:p>
    <w:p w:rsidR="008F0D85" w:rsidRDefault="00AE42A1">
      <w:pPr>
        <w:pStyle w:val="Odlomakpopisa"/>
        <w:numPr>
          <w:ilvl w:val="0"/>
          <w:numId w:val="28"/>
        </w:numPr>
        <w:rPr>
          <w:rFonts w:cs="Calibri"/>
          <w:sz w:val="24"/>
          <w:szCs w:val="24"/>
        </w:rPr>
      </w:pPr>
      <w:r>
        <w:rPr>
          <w:rFonts w:cs="Calibri"/>
          <w:sz w:val="24"/>
          <w:szCs w:val="24"/>
        </w:rPr>
        <w:t>TS 10kV  Škola,</w:t>
      </w:r>
    </w:p>
    <w:p w:rsidR="008F0D85" w:rsidRDefault="00AE42A1">
      <w:pPr>
        <w:pStyle w:val="Odlomakpopisa"/>
        <w:numPr>
          <w:ilvl w:val="0"/>
          <w:numId w:val="28"/>
        </w:numPr>
        <w:rPr>
          <w:rFonts w:cs="Calibri"/>
          <w:sz w:val="24"/>
          <w:szCs w:val="24"/>
        </w:rPr>
      </w:pPr>
      <w:r>
        <w:rPr>
          <w:rFonts w:cs="Calibri"/>
          <w:sz w:val="24"/>
          <w:szCs w:val="24"/>
        </w:rPr>
        <w:t xml:space="preserve">TS 10kV  Budančevica 1, </w:t>
      </w:r>
    </w:p>
    <w:p w:rsidR="008F0D85" w:rsidRDefault="00AE42A1">
      <w:pPr>
        <w:pStyle w:val="Odlomakpopisa"/>
        <w:numPr>
          <w:ilvl w:val="0"/>
          <w:numId w:val="28"/>
        </w:numPr>
        <w:rPr>
          <w:rFonts w:cs="Calibri"/>
          <w:sz w:val="24"/>
          <w:szCs w:val="24"/>
        </w:rPr>
      </w:pPr>
      <w:r>
        <w:rPr>
          <w:rFonts w:cs="Calibri"/>
          <w:sz w:val="24"/>
          <w:szCs w:val="24"/>
        </w:rPr>
        <w:t>TS 10/04 kV  Budančevica 2,</w:t>
      </w:r>
    </w:p>
    <w:p w:rsidR="008F0D85" w:rsidRDefault="00AE42A1">
      <w:pPr>
        <w:pStyle w:val="Odlomakpopisa"/>
        <w:numPr>
          <w:ilvl w:val="0"/>
          <w:numId w:val="28"/>
        </w:numPr>
        <w:rPr>
          <w:rFonts w:cs="Calibri"/>
          <w:sz w:val="24"/>
          <w:szCs w:val="24"/>
        </w:rPr>
      </w:pPr>
      <w:r>
        <w:rPr>
          <w:rFonts w:cs="Calibri"/>
          <w:sz w:val="24"/>
          <w:szCs w:val="24"/>
        </w:rPr>
        <w:t>TS 10/04 kV Budančevica (Prodex),</w:t>
      </w:r>
    </w:p>
    <w:p w:rsidR="008F0D85" w:rsidRDefault="00AE42A1">
      <w:pPr>
        <w:pStyle w:val="Odlomakpopisa"/>
        <w:numPr>
          <w:ilvl w:val="0"/>
          <w:numId w:val="28"/>
        </w:numPr>
        <w:rPr>
          <w:rFonts w:cs="Calibri"/>
          <w:sz w:val="24"/>
          <w:szCs w:val="24"/>
        </w:rPr>
      </w:pPr>
      <w:r>
        <w:rPr>
          <w:rFonts w:cs="Calibri"/>
          <w:sz w:val="24"/>
          <w:szCs w:val="24"/>
        </w:rPr>
        <w:t>TS 10/04 kV Prugovac 1,</w:t>
      </w:r>
    </w:p>
    <w:p w:rsidR="008F0D85" w:rsidRDefault="00AE42A1">
      <w:pPr>
        <w:pStyle w:val="Odlomakpopisa"/>
        <w:numPr>
          <w:ilvl w:val="0"/>
          <w:numId w:val="28"/>
        </w:numPr>
        <w:rPr>
          <w:rFonts w:cs="Calibri"/>
          <w:sz w:val="24"/>
          <w:szCs w:val="24"/>
        </w:rPr>
      </w:pPr>
      <w:r>
        <w:rPr>
          <w:rFonts w:cs="Calibri"/>
          <w:sz w:val="24"/>
          <w:szCs w:val="24"/>
        </w:rPr>
        <w:t>TS 10/04 kV Prugovac 2,</w:t>
      </w:r>
    </w:p>
    <w:p w:rsidR="008F0D85" w:rsidRDefault="00AE42A1">
      <w:pPr>
        <w:pStyle w:val="Odlomakpopisa"/>
        <w:numPr>
          <w:ilvl w:val="0"/>
          <w:numId w:val="28"/>
        </w:numPr>
        <w:rPr>
          <w:rFonts w:cs="Calibri"/>
          <w:sz w:val="24"/>
          <w:szCs w:val="24"/>
        </w:rPr>
      </w:pPr>
      <w:r>
        <w:rPr>
          <w:rFonts w:cs="Calibri"/>
          <w:sz w:val="24"/>
          <w:szCs w:val="24"/>
        </w:rPr>
        <w:t xml:space="preserve">TS 10/04 </w:t>
      </w:r>
      <w:r>
        <w:rPr>
          <w:rFonts w:cs="Calibri"/>
          <w:sz w:val="24"/>
          <w:szCs w:val="24"/>
        </w:rPr>
        <w:t>kV Kozarevac 1,</w:t>
      </w:r>
    </w:p>
    <w:p w:rsidR="008F0D85" w:rsidRDefault="00AE42A1">
      <w:pPr>
        <w:pStyle w:val="Odlomakpopisa"/>
        <w:numPr>
          <w:ilvl w:val="0"/>
          <w:numId w:val="28"/>
        </w:numPr>
        <w:rPr>
          <w:rFonts w:cs="Calibri"/>
          <w:sz w:val="24"/>
          <w:szCs w:val="24"/>
        </w:rPr>
      </w:pPr>
      <w:r>
        <w:rPr>
          <w:rFonts w:cs="Calibri"/>
          <w:sz w:val="24"/>
          <w:szCs w:val="24"/>
        </w:rPr>
        <w:t>TS 10/04 kV Kozarevac 2,</w:t>
      </w:r>
    </w:p>
    <w:p w:rsidR="008F0D85" w:rsidRDefault="00AE42A1">
      <w:pPr>
        <w:pStyle w:val="Odlomakpopisa"/>
        <w:numPr>
          <w:ilvl w:val="0"/>
          <w:numId w:val="28"/>
        </w:numPr>
        <w:rPr>
          <w:rFonts w:cs="Calibri"/>
          <w:sz w:val="24"/>
          <w:szCs w:val="24"/>
        </w:rPr>
      </w:pPr>
      <w:r>
        <w:rPr>
          <w:rFonts w:cs="Calibri"/>
          <w:sz w:val="24"/>
          <w:szCs w:val="24"/>
        </w:rPr>
        <w:t>TS 10/04 kV Kozarevac 3,</w:t>
      </w:r>
    </w:p>
    <w:p w:rsidR="008F0D85" w:rsidRDefault="00AE42A1">
      <w:pPr>
        <w:pStyle w:val="Odlomakpopisa"/>
        <w:numPr>
          <w:ilvl w:val="0"/>
          <w:numId w:val="28"/>
        </w:numPr>
        <w:rPr>
          <w:rFonts w:cs="Calibri"/>
          <w:sz w:val="24"/>
          <w:szCs w:val="24"/>
        </w:rPr>
      </w:pPr>
      <w:r>
        <w:rPr>
          <w:rFonts w:cs="Calibri"/>
          <w:sz w:val="24"/>
          <w:szCs w:val="24"/>
        </w:rPr>
        <w:t>TS 10/04 kV Kozarevac 4,</w:t>
      </w:r>
    </w:p>
    <w:p w:rsidR="008F0D85" w:rsidRDefault="00AE42A1">
      <w:pPr>
        <w:pStyle w:val="Odlomakpopisa"/>
        <w:numPr>
          <w:ilvl w:val="0"/>
          <w:numId w:val="28"/>
        </w:numPr>
        <w:rPr>
          <w:rFonts w:cs="Calibri"/>
          <w:sz w:val="24"/>
          <w:szCs w:val="24"/>
        </w:rPr>
      </w:pPr>
      <w:r>
        <w:rPr>
          <w:rFonts w:cs="Calibri"/>
          <w:sz w:val="24"/>
          <w:szCs w:val="24"/>
        </w:rPr>
        <w:t>TS 10/04 kV Veseli Breg,</w:t>
      </w:r>
    </w:p>
    <w:p w:rsidR="008F0D85" w:rsidRDefault="00AE42A1">
      <w:pPr>
        <w:pStyle w:val="Odlomakpopisa"/>
        <w:numPr>
          <w:ilvl w:val="0"/>
          <w:numId w:val="28"/>
        </w:numPr>
        <w:rPr>
          <w:rFonts w:cs="Calibri"/>
          <w:sz w:val="24"/>
          <w:szCs w:val="24"/>
        </w:rPr>
      </w:pPr>
      <w:r>
        <w:rPr>
          <w:rFonts w:cs="Calibri"/>
          <w:sz w:val="24"/>
          <w:szCs w:val="24"/>
        </w:rPr>
        <w:t>TS 10 kV Industrijska zona,</w:t>
      </w:r>
    </w:p>
    <w:p w:rsidR="008F0D85" w:rsidRDefault="00AE42A1">
      <w:pPr>
        <w:pStyle w:val="Odlomakpopisa"/>
        <w:numPr>
          <w:ilvl w:val="0"/>
          <w:numId w:val="28"/>
        </w:numPr>
        <w:rPr>
          <w:rFonts w:cs="Calibri"/>
          <w:sz w:val="24"/>
          <w:szCs w:val="24"/>
        </w:rPr>
      </w:pPr>
      <w:r>
        <w:rPr>
          <w:rFonts w:cs="Calibri"/>
          <w:sz w:val="24"/>
          <w:szCs w:val="24"/>
        </w:rPr>
        <w:t xml:space="preserve">TS 10 kV Prerada bilja, </w:t>
      </w:r>
    </w:p>
    <w:p w:rsidR="008F0D85" w:rsidRDefault="00AE42A1">
      <w:pPr>
        <w:pStyle w:val="Odlomakpopisa"/>
        <w:numPr>
          <w:ilvl w:val="0"/>
          <w:numId w:val="28"/>
        </w:numPr>
        <w:rPr>
          <w:rFonts w:cs="Calibri"/>
          <w:sz w:val="24"/>
          <w:szCs w:val="24"/>
        </w:rPr>
      </w:pPr>
      <w:r>
        <w:rPr>
          <w:rFonts w:cs="Calibri"/>
          <w:sz w:val="24"/>
          <w:szCs w:val="24"/>
        </w:rPr>
        <w:t>TS 10/04 kV Prugovac 3.</w:t>
      </w:r>
    </w:p>
    <w:p w:rsidR="008F0D85" w:rsidRDefault="00AE42A1">
      <w:pPr>
        <w:rPr>
          <w:rFonts w:cs="Calibri"/>
          <w:szCs w:val="24"/>
        </w:rPr>
      </w:pPr>
      <w:r>
        <w:rPr>
          <w:rFonts w:cs="Calibri"/>
          <w:szCs w:val="24"/>
        </w:rPr>
        <w:t xml:space="preserve">Napajanje područja Općine provodi se 10(20) kV </w:t>
      </w:r>
      <w:r>
        <w:rPr>
          <w:rFonts w:cs="Calibri"/>
          <w:szCs w:val="24"/>
        </w:rPr>
        <w:t>dalekovodima koji dolaze iz ovih trafostanica, te je razvijena 10 kV mreža koja povezuje postojeće distributivne trafo-postaje. Postojeća 10kV mreža izvedena je uglavnom drvenim jelovim stupovima, a tako je  izvedena i niskonaponska mreža u naseljima. Elek</w:t>
      </w:r>
      <w:r>
        <w:rPr>
          <w:rFonts w:cs="Calibri"/>
          <w:szCs w:val="24"/>
        </w:rPr>
        <w:t>trifikacija je provedena u svim naseljima i priključena na 10 kV mrežu. Na području Općine Kloštar Podravski potrebno je povećati broj trafostanica.</w:t>
      </w:r>
    </w:p>
    <w:p w:rsidR="008F0D85" w:rsidRDefault="00AE42A1">
      <w:pPr>
        <w:pStyle w:val="Odlomakpopisa"/>
        <w:numPr>
          <w:ilvl w:val="0"/>
          <w:numId w:val="26"/>
        </w:numPr>
        <w:rPr>
          <w:rFonts w:cs="Calibri"/>
          <w:b/>
          <w:sz w:val="24"/>
          <w:szCs w:val="24"/>
        </w:rPr>
      </w:pPr>
      <w:r>
        <w:rPr>
          <w:rFonts w:cs="Calibri"/>
          <w:b/>
          <w:sz w:val="24"/>
          <w:szCs w:val="24"/>
        </w:rPr>
        <w:t>Plinoopskrba</w:t>
      </w:r>
    </w:p>
    <w:p w:rsidR="008F0D85" w:rsidRDefault="00AE42A1">
      <w:pPr>
        <w:rPr>
          <w:rFonts w:cs="Calibri"/>
          <w:szCs w:val="24"/>
        </w:rPr>
      </w:pPr>
      <w:r>
        <w:rPr>
          <w:rFonts w:cs="Calibri"/>
          <w:szCs w:val="24"/>
        </w:rPr>
        <w:t>Na području Općine izgrađena je plinska mreža spojena na magistralni plinovod koji prolazi pod</w:t>
      </w:r>
      <w:r>
        <w:rPr>
          <w:rFonts w:cs="Calibri"/>
          <w:szCs w:val="24"/>
        </w:rPr>
        <w:t>ručjem Općine južno od pruge. U Općini izvršena je plinofikacija svih naselja. Opskrba zemnim plinom vrši se preko MRS Kloštar Podravski, koja je smještena u blizini središta naselja i priključena je na visokotlačni plinovod. Plinovodi su izvedeni od polie</w:t>
      </w:r>
      <w:r>
        <w:rPr>
          <w:rFonts w:cs="Calibri"/>
          <w:szCs w:val="24"/>
        </w:rPr>
        <w:t>tilenskih cijevi. Od mjerno-redukcijske stanice (MRS) Kloštar Podravski plin se distribuira uličnim plinovodima, promjera od 40 do 80 mm, ovisno o broju potrošača. U plinskoj mreži radni je tlak 3 bara, koji se na priključnim mjestima kućanstava reducira n</w:t>
      </w:r>
      <w:r>
        <w:rPr>
          <w:rFonts w:cs="Calibri"/>
          <w:szCs w:val="24"/>
        </w:rPr>
        <w:t>a radni tlak, koji je potreban za kućanska trošila.</w:t>
      </w:r>
    </w:p>
    <w:p w:rsidR="008F0D85" w:rsidRDefault="00AE42A1">
      <w:pPr>
        <w:pStyle w:val="Odlomakpopisa"/>
        <w:numPr>
          <w:ilvl w:val="0"/>
          <w:numId w:val="26"/>
        </w:numPr>
        <w:rPr>
          <w:rFonts w:cs="Calibri"/>
          <w:b/>
          <w:sz w:val="24"/>
          <w:szCs w:val="24"/>
        </w:rPr>
      </w:pPr>
      <w:r>
        <w:rPr>
          <w:rFonts w:cs="Calibri"/>
          <w:b/>
          <w:sz w:val="24"/>
          <w:szCs w:val="24"/>
        </w:rPr>
        <w:t>Energetski sustavi</w:t>
      </w:r>
    </w:p>
    <w:p w:rsidR="008F0D85" w:rsidRDefault="00AE42A1">
      <w:pPr>
        <w:rPr>
          <w:rFonts w:cs="Calibri"/>
          <w:szCs w:val="24"/>
        </w:rPr>
      </w:pPr>
      <w:r>
        <w:rPr>
          <w:rFonts w:cs="Calibri"/>
          <w:szCs w:val="24"/>
        </w:rPr>
        <w:t>Na području Općine nema izgrađenih termoelektrana, hidroelektrana ni drugih energetskih sustava odnosno objekata.</w:t>
      </w:r>
    </w:p>
    <w:p w:rsidR="008F0D85" w:rsidRDefault="008F0D85">
      <w:pPr>
        <w:rPr>
          <w:rFonts w:cs="Calibri"/>
          <w:szCs w:val="24"/>
        </w:rPr>
      </w:pPr>
    </w:p>
    <w:p w:rsidR="008F0D85" w:rsidRDefault="008F0D85">
      <w:pPr>
        <w:rPr>
          <w:rFonts w:cs="Calibri"/>
          <w:szCs w:val="24"/>
        </w:rPr>
      </w:pPr>
    </w:p>
    <w:p w:rsidR="008F0D85" w:rsidRDefault="00AE42A1">
      <w:pPr>
        <w:pStyle w:val="Odlomakpopisa"/>
        <w:numPr>
          <w:ilvl w:val="0"/>
          <w:numId w:val="26"/>
        </w:numPr>
        <w:rPr>
          <w:rFonts w:cs="Calibri"/>
          <w:b/>
          <w:sz w:val="24"/>
          <w:szCs w:val="24"/>
        </w:rPr>
      </w:pPr>
      <w:r>
        <w:rPr>
          <w:rFonts w:cs="Calibri"/>
          <w:b/>
          <w:sz w:val="24"/>
          <w:szCs w:val="24"/>
        </w:rPr>
        <w:t>Hidrotehnički sustavi</w:t>
      </w:r>
    </w:p>
    <w:p w:rsidR="008F0D85" w:rsidRDefault="00AE42A1">
      <w:pPr>
        <w:rPr>
          <w:rFonts w:cs="Calibri"/>
          <w:szCs w:val="24"/>
        </w:rPr>
      </w:pPr>
      <w:r>
        <w:rPr>
          <w:rFonts w:cs="Calibri"/>
          <w:szCs w:val="24"/>
        </w:rPr>
        <w:lastRenderedPageBreak/>
        <w:t>Na području Općine  nema izgrađenih hidrotehnič</w:t>
      </w:r>
      <w:r>
        <w:rPr>
          <w:rFonts w:cs="Calibri"/>
          <w:szCs w:val="24"/>
        </w:rPr>
        <w:t>kih sustava.</w:t>
      </w:r>
    </w:p>
    <w:p w:rsidR="008F0D85" w:rsidRDefault="008F0D85">
      <w:pPr>
        <w:rPr>
          <w:rFonts w:cs="Calibri"/>
          <w:szCs w:val="24"/>
        </w:rPr>
      </w:pPr>
    </w:p>
    <w:p w:rsidR="008F0D85" w:rsidRDefault="00AE42A1">
      <w:pPr>
        <w:pStyle w:val="Naslov2"/>
      </w:pPr>
      <w:bookmarkStart w:id="229" w:name="_Toc512434579"/>
      <w:bookmarkStart w:id="230" w:name="_Toc514240134"/>
      <w:bookmarkStart w:id="231" w:name="_Toc516128237"/>
      <w:bookmarkStart w:id="232" w:name="_Toc527969347"/>
      <w:bookmarkEnd w:id="229"/>
      <w:bookmarkEnd w:id="230"/>
      <w:bookmarkEnd w:id="231"/>
      <w:bookmarkEnd w:id="232"/>
      <w:r>
        <w:t>2.10. Prirodno – kulturni pokazatelji na području Općine</w:t>
      </w:r>
    </w:p>
    <w:p w:rsidR="008F0D85" w:rsidRDefault="008F0D85"/>
    <w:p w:rsidR="008F0D85" w:rsidRDefault="00AE42A1">
      <w:pPr>
        <w:rPr>
          <w:rFonts w:cs="Calibri"/>
          <w:color w:val="000000"/>
          <w:szCs w:val="24"/>
          <w:highlight w:val="white"/>
        </w:rPr>
      </w:pPr>
      <w:r>
        <w:rPr>
          <w:rFonts w:cs="Calibri"/>
          <w:color w:val="000000"/>
          <w:szCs w:val="24"/>
          <w:shd w:val="clear" w:color="auto" w:fill="FFFFFF"/>
        </w:rPr>
        <w:t>Kloštar Podravski bio je jedno od značajnijih naselja i utvrda na ovom prostoru u srednjem vijeku. Nekada se zvao Gorbonog i pod tim se imenom spominje u popisima župa Zagrebačke župan</w:t>
      </w:r>
      <w:r>
        <w:rPr>
          <w:rFonts w:cs="Calibri"/>
          <w:color w:val="000000"/>
          <w:szCs w:val="24"/>
          <w:shd w:val="clear" w:color="auto" w:fill="FFFFFF"/>
        </w:rPr>
        <w:t>ije iz 1334. i 1501. godine. U prvom popisu navodi se i crkva sv. Adrijana. Ona se nalazila u dijelu Kloštra koji se po njoj danas zove Oderjan. Ovdje se spominje i franjevački samostan, koji je djelovao od 1292. do 1552. godine, prema njemu je naselje Klo</w:t>
      </w:r>
      <w:r>
        <w:rPr>
          <w:rFonts w:cs="Calibri"/>
          <w:color w:val="000000"/>
          <w:szCs w:val="24"/>
          <w:shd w:val="clear" w:color="auto" w:fill="FFFFFF"/>
        </w:rPr>
        <w:t>štar dobilo svoje ime. Južno od Kloštra, u popisu župa iz 1334. godine spominje se župa Prugovac sa župnom crkvom sv. Nikole. Današnje naselje Kloštar Podravski nastaje potkraj 17. stoljeća. Obnovom župe sv. Benedikta 1702. godine Kloštru su pripadala i na</w:t>
      </w:r>
      <w:r>
        <w:rPr>
          <w:rFonts w:cs="Calibri"/>
          <w:color w:val="000000"/>
          <w:szCs w:val="24"/>
          <w:shd w:val="clear" w:color="auto" w:fill="FFFFFF"/>
        </w:rPr>
        <w:t>selja Oderjan, Prugovac i Kozarevac. Naselje Kloštar Podravski razvijalo se od mjesta današnje župne crkve prema cesti. Sa svojim funkcijama i brojem stanovnika Kloštar Podravski ima status područnog središta.</w:t>
      </w:r>
    </w:p>
    <w:p w:rsidR="008F0D85" w:rsidRDefault="00AE42A1">
      <w:pPr>
        <w:rPr>
          <w:rFonts w:cs="Calibri"/>
          <w:color w:val="000000"/>
          <w:szCs w:val="24"/>
          <w:highlight w:val="white"/>
        </w:rPr>
      </w:pPr>
      <w:r>
        <w:rPr>
          <w:rFonts w:cs="Calibri"/>
          <w:color w:val="000000"/>
          <w:szCs w:val="24"/>
          <w:shd w:val="clear" w:color="auto" w:fill="FFFFFF"/>
        </w:rPr>
        <w:t>Prugovac je s obzirom na svoju veličinu razvoj</w:t>
      </w:r>
      <w:r>
        <w:rPr>
          <w:rFonts w:cs="Calibri"/>
          <w:color w:val="000000"/>
          <w:szCs w:val="24"/>
          <w:shd w:val="clear" w:color="auto" w:fill="FFFFFF"/>
        </w:rPr>
        <w:t>no središte. Nastao je na uzvišenoj terasi iznad nekad poplavnog područja čiji ostaci su vidljivi na ulazu u naselje. Prugovac svojim rasterom ulica i parkovima poprima urbane karakteristike. U središtu naselja je kontinuirana izgrađenost dok se uz prometn</w:t>
      </w:r>
      <w:r>
        <w:rPr>
          <w:rFonts w:cs="Calibri"/>
          <w:color w:val="000000"/>
          <w:szCs w:val="24"/>
          <w:shd w:val="clear" w:color="auto" w:fill="FFFFFF"/>
        </w:rPr>
        <w:t>ice naselje diskontinuirano širi i ima velike neizgrađene površine. U zadnjem među popisnom razdoblju uočljivo je smanjeno opadanje broja stanovnika.</w:t>
      </w:r>
    </w:p>
    <w:p w:rsidR="008F0D85" w:rsidRDefault="00AE42A1">
      <w:pPr>
        <w:rPr>
          <w:rFonts w:cs="Calibri"/>
          <w:color w:val="000000"/>
          <w:szCs w:val="24"/>
          <w:highlight w:val="white"/>
        </w:rPr>
      </w:pPr>
      <w:r>
        <w:rPr>
          <w:rFonts w:cs="Calibri"/>
          <w:color w:val="000000"/>
          <w:szCs w:val="24"/>
          <w:shd w:val="clear" w:color="auto" w:fill="FFFFFF"/>
        </w:rPr>
        <w:t>Budančevica je karakteristično nizinsko naselje koje se pruža duž prometnice (državna cesta), kao nastavak</w:t>
      </w:r>
      <w:r>
        <w:rPr>
          <w:rFonts w:cs="Calibri"/>
          <w:color w:val="000000"/>
          <w:szCs w:val="24"/>
          <w:shd w:val="clear" w:color="auto" w:fill="FFFFFF"/>
        </w:rPr>
        <w:t xml:space="preserve"> naselja Kloštar Podravski s kojim čini cjelinu. Budančevica je na istoku odvojena vodotokom Kozarevac od naselja Kloštar Podravski, na zapadu i sjeveru je omeđena vodotokom Suha Katalena, a na jugu željezničkom prugom Osijek - Varaždin. Usprkos tim fizičk</w:t>
      </w:r>
      <w:r>
        <w:rPr>
          <w:rFonts w:cs="Calibri"/>
          <w:color w:val="000000"/>
          <w:szCs w:val="24"/>
          <w:shd w:val="clear" w:color="auto" w:fill="FFFFFF"/>
        </w:rPr>
        <w:t>im preprekama nekoliko stambenih jedinica nastalo je izvan njih. Intencija je ovog Plana da se naselje Budančevica razvija unutar navedenih granica, s iznimkom poduzetničke zone Zapad koja je smještena južno od pruge. Urbanu strukturu naselja čine četiri u</w:t>
      </w:r>
      <w:r>
        <w:rPr>
          <w:rFonts w:cs="Calibri"/>
          <w:color w:val="000000"/>
          <w:szCs w:val="24"/>
          <w:shd w:val="clear" w:color="auto" w:fill="FFFFFF"/>
        </w:rPr>
        <w:t>lice i nekoliko izdvojenih manjih cjelina. Glavna ulica pruža se uz državnu cestu, paralelno uz nju je druga ulica u nastajanju, na jug se pruža ulica prema željezničkoj stanici i Prugovcu, a uz vodotok Kozarevac prema sjeveru pruža se dio naselja. Svega n</w:t>
      </w:r>
      <w:r>
        <w:rPr>
          <w:rFonts w:cs="Calibri"/>
          <w:color w:val="000000"/>
          <w:szCs w:val="24"/>
          <w:shd w:val="clear" w:color="auto" w:fill="FFFFFF"/>
        </w:rPr>
        <w:t>ekoliko stambenih objekata je napušteno (rubovi naselja). Budančevica u razvoju stagnira, ali zbog svojeg položaja i povoljnijeg dobno-spolnog sastava stanovništva u odnosu na ostala naselja Podravine ima povoljne uvjete za razvoj.</w:t>
      </w:r>
    </w:p>
    <w:p w:rsidR="008F0D85" w:rsidRDefault="00AE42A1">
      <w:pPr>
        <w:rPr>
          <w:rFonts w:cs="Calibri"/>
          <w:color w:val="000000"/>
          <w:szCs w:val="24"/>
          <w:highlight w:val="white"/>
        </w:rPr>
      </w:pPr>
      <w:r>
        <w:rPr>
          <w:rFonts w:cs="Calibri"/>
          <w:color w:val="000000"/>
          <w:szCs w:val="24"/>
          <w:shd w:val="clear" w:color="auto" w:fill="FFFFFF"/>
        </w:rPr>
        <w:t>Župa Kozarevac zbog veli</w:t>
      </w:r>
      <w:r>
        <w:rPr>
          <w:rFonts w:cs="Calibri"/>
          <w:color w:val="000000"/>
          <w:szCs w:val="24"/>
          <w:shd w:val="clear" w:color="auto" w:fill="FFFFFF"/>
        </w:rPr>
        <w:t>kog je broja vjernika ustaljena 1819. godine. To je izduženo naselje nastalo uz prometnicu. Struktura naselja sastoji se od dvije ulice. Naselje je kontinuirano izgrađeno.</w:t>
      </w:r>
    </w:p>
    <w:p w:rsidR="008F0D85" w:rsidRDefault="00AE42A1">
      <w:pPr>
        <w:pStyle w:val="Naslov3"/>
      </w:pPr>
      <w:bookmarkStart w:id="233" w:name="_Toc512434580"/>
      <w:bookmarkStart w:id="234" w:name="_Toc514240135"/>
      <w:bookmarkStart w:id="235" w:name="_Toc516128238"/>
      <w:bookmarkStart w:id="236" w:name="_Toc527969348"/>
      <w:bookmarkEnd w:id="233"/>
      <w:bookmarkEnd w:id="234"/>
      <w:bookmarkEnd w:id="235"/>
      <w:bookmarkEnd w:id="236"/>
      <w:r>
        <w:lastRenderedPageBreak/>
        <w:t>2.10.1. Prirodna obilježja</w:t>
      </w:r>
    </w:p>
    <w:p w:rsidR="008F0D85" w:rsidRDefault="008F0D85">
      <w:pPr>
        <w:rPr>
          <w:rFonts w:cs="Calibri"/>
          <w:szCs w:val="24"/>
        </w:rPr>
      </w:pPr>
    </w:p>
    <w:p w:rsidR="008F0D85" w:rsidRDefault="00AE42A1">
      <w:pPr>
        <w:spacing w:after="0"/>
        <w:rPr>
          <w:rFonts w:cs="Calibri"/>
          <w:color w:val="000000"/>
          <w:szCs w:val="24"/>
        </w:rPr>
      </w:pPr>
      <w:r>
        <w:rPr>
          <w:rFonts w:cs="Calibri"/>
          <w:color w:val="000000"/>
          <w:szCs w:val="24"/>
        </w:rPr>
        <w:t xml:space="preserve">Na području Općine  nema dijelova prirode koji su zaštićeni na temelju Zakona o zaštiti prirode. </w:t>
      </w:r>
    </w:p>
    <w:p w:rsidR="008F0D85" w:rsidRDefault="00AE42A1">
      <w:pPr>
        <w:spacing w:after="0"/>
        <w:rPr>
          <w:rFonts w:cs="Calibri"/>
          <w:color w:val="000000"/>
          <w:szCs w:val="24"/>
        </w:rPr>
      </w:pPr>
      <w:r>
        <w:rPr>
          <w:rFonts w:cs="Calibri"/>
          <w:color w:val="000000"/>
          <w:szCs w:val="24"/>
        </w:rPr>
        <w:t>Klimatske osobine područja Općine odgovaraju šumama hrasta kitnjaka i običnog graba. Izuzetak čine područja naplavnih ravni, pijeska i najviših dijelova bilog</w:t>
      </w:r>
      <w:r>
        <w:rPr>
          <w:rFonts w:cs="Calibri"/>
          <w:color w:val="000000"/>
          <w:szCs w:val="24"/>
        </w:rPr>
        <w:t>ore. Naplavne ravni u svom izvornom obliku pokrivene su šumama hrasta lužnjaka, crne i bijele topole, raznih vrsta vrba i bijele johe. Najniži dijelovi naplavne ravni pretežno su pod močvarnom vegetacijom, šašom, rogozom, trskom i busenima oštre i tvrde tr</w:t>
      </w:r>
      <w:r>
        <w:rPr>
          <w:rFonts w:cs="Calibri"/>
          <w:color w:val="000000"/>
          <w:szCs w:val="24"/>
        </w:rPr>
        <w:t>ave. Na pijescima je razvijeno oko 300 vrsta biljaka, uz pješčarke , intervencijom čovjeka na zaustavljanju živih pijesaka, zasađene su šume bagrema, crnog i bijelog bora i topole, te divlji lovor. Šume hrasta kitnjaka i običnog graba koje su dominirale na</w:t>
      </w:r>
      <w:r>
        <w:rPr>
          <w:rFonts w:cs="Calibri"/>
          <w:color w:val="000000"/>
          <w:szCs w:val="24"/>
        </w:rPr>
        <w:t xml:space="preserve"> terasama i nižim dijelovima bilogore uglavnom su već iskrčene pa tu prevladava otvoreni agrarni pejzaž pod poljodjelskim kulturama (žito, kukuruz, duhan, itd.). Viši dijelovi Bilogore koji nisu iskrčeni, pokriveni su šumama bukve . </w:t>
      </w:r>
    </w:p>
    <w:p w:rsidR="008F0D85" w:rsidRDefault="00AE42A1">
      <w:pPr>
        <w:rPr>
          <w:rFonts w:cs="Calibri"/>
          <w:szCs w:val="24"/>
        </w:rPr>
      </w:pPr>
      <w:r>
        <w:rPr>
          <w:rFonts w:cs="Calibri"/>
          <w:color w:val="000000"/>
          <w:szCs w:val="24"/>
        </w:rPr>
        <w:t>Na prostoru Općine pri</w:t>
      </w:r>
      <w:r>
        <w:rPr>
          <w:rFonts w:cs="Calibri"/>
          <w:color w:val="000000"/>
          <w:szCs w:val="24"/>
        </w:rPr>
        <w:t xml:space="preserve">sutni su vlažni (berečni) biotopi novijeg postanka. Oni su posljedica </w:t>
      </w:r>
      <w:r>
        <w:rPr>
          <w:rFonts w:cs="Calibri"/>
          <w:szCs w:val="24"/>
        </w:rPr>
        <w:t xml:space="preserve">iskopa šljunka i stvaranja otvorenih vodenih površina. Takve površine nalazimo u naseljima Kloštar Podravski, Budančevica i Prugovac. One su izložene procesu eutrofikacije i ugrožene su </w:t>
      </w:r>
      <w:r>
        <w:rPr>
          <w:rFonts w:cs="Calibri"/>
          <w:szCs w:val="24"/>
        </w:rPr>
        <w:t>nelegalnim odlaganjem otpada od strane nesavjesnih pojedinaca.</w:t>
      </w:r>
    </w:p>
    <w:p w:rsidR="008F0D85" w:rsidRDefault="00AE42A1">
      <w:pPr>
        <w:rPr>
          <w:rFonts w:cs="Calibri"/>
          <w:szCs w:val="24"/>
        </w:rPr>
      </w:pPr>
      <w:r>
        <w:rPr>
          <w:rFonts w:cs="Calibri"/>
          <w:szCs w:val="24"/>
        </w:rPr>
        <w:t>Od 12,9 km</w:t>
      </w:r>
      <w:r>
        <w:rPr>
          <w:rFonts w:cs="Calibri"/>
          <w:szCs w:val="24"/>
          <w:vertAlign w:val="superscript"/>
        </w:rPr>
        <w:t>2</w:t>
      </w:r>
      <w:r>
        <w:rPr>
          <w:rFonts w:cs="Calibri"/>
          <w:szCs w:val="24"/>
        </w:rPr>
        <w:t xml:space="preserve"> šumskih površina u vlasništvu fizičkih osoba je 692 ha, a 602 ha je u vlasništvu države kojima gospodare Hrvatske šume - Šumarija Kloštar Podravski. Šume se nalaze na obroncima Bilo</w:t>
      </w:r>
      <w:r>
        <w:rPr>
          <w:rFonts w:cs="Calibri"/>
          <w:szCs w:val="24"/>
        </w:rPr>
        <w:t>gore, dok je šuma Limbuš smještena na naplavnoj ravni.</w:t>
      </w:r>
    </w:p>
    <w:p w:rsidR="008F0D85" w:rsidRDefault="00AE42A1">
      <w:pPr>
        <w:jc w:val="center"/>
        <w:rPr>
          <w:rFonts w:cs="Calibri"/>
          <w:szCs w:val="24"/>
        </w:rPr>
      </w:pPr>
      <w:r>
        <w:rPr>
          <w:noProof/>
        </w:rPr>
        <w:lastRenderedPageBreak/>
        <w:drawing>
          <wp:inline distT="0" distB="0" distL="0" distR="0">
            <wp:extent cx="3801110" cy="5744210"/>
            <wp:effectExtent l="0" t="0" r="0" b="0"/>
            <wp:docPr id="21"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3"/>
                    <pic:cNvPicPr>
                      <a:picLocks noChangeAspect="1" noChangeArrowheads="1"/>
                    </pic:cNvPicPr>
                  </pic:nvPicPr>
                  <pic:blipFill>
                    <a:blip r:embed="rId28"/>
                    <a:stretch>
                      <a:fillRect/>
                    </a:stretch>
                  </pic:blipFill>
                  <pic:spPr bwMode="auto">
                    <a:xfrm>
                      <a:off x="0" y="0"/>
                      <a:ext cx="3801110" cy="5744210"/>
                    </a:xfrm>
                    <a:prstGeom prst="rect">
                      <a:avLst/>
                    </a:prstGeom>
                  </pic:spPr>
                </pic:pic>
              </a:graphicData>
            </a:graphic>
          </wp:inline>
        </w:drawing>
      </w:r>
    </w:p>
    <w:p w:rsidR="008F0D85" w:rsidRDefault="00AE42A1">
      <w:pPr>
        <w:spacing w:after="0" w:line="360" w:lineRule="auto"/>
        <w:rPr>
          <w:rFonts w:cs="Arial"/>
          <w:b/>
          <w:bCs/>
          <w:sz w:val="20"/>
          <w:szCs w:val="20"/>
        </w:rPr>
      </w:pPr>
      <w:bookmarkStart w:id="237" w:name="_Toc516128477"/>
      <w:bookmarkStart w:id="238" w:name="_Toc527969579"/>
      <w:r>
        <w:rPr>
          <w:rFonts w:cs="Arial"/>
          <w:b/>
          <w:bCs/>
          <w:sz w:val="20"/>
          <w:szCs w:val="20"/>
        </w:rPr>
        <w:t xml:space="preserve">Slika </w:t>
      </w:r>
      <w:r>
        <w:rPr>
          <w:rFonts w:cs="Arial"/>
          <w:b/>
          <w:bCs/>
          <w:sz w:val="20"/>
          <w:szCs w:val="20"/>
        </w:rPr>
        <w:fldChar w:fldCharType="begin"/>
      </w:r>
      <w:r>
        <w:instrText>SEQ Slika \* ARABIC</w:instrText>
      </w:r>
      <w:r>
        <w:fldChar w:fldCharType="separate"/>
      </w:r>
      <w:r>
        <w:t>7</w:t>
      </w:r>
      <w:r>
        <w:fldChar w:fldCharType="end"/>
      </w:r>
      <w:bookmarkEnd w:id="237"/>
      <w:bookmarkEnd w:id="238"/>
      <w:r>
        <w:rPr>
          <w:rFonts w:cs="Arial"/>
          <w:b/>
          <w:bCs/>
          <w:sz w:val="20"/>
          <w:szCs w:val="20"/>
        </w:rPr>
        <w:t>: Prikaz šumskih površina na području Općine</w:t>
      </w:r>
    </w:p>
    <w:p w:rsidR="008F0D85" w:rsidRDefault="00AE42A1">
      <w:pPr>
        <w:rPr>
          <w:sz w:val="20"/>
          <w:szCs w:val="20"/>
        </w:rPr>
      </w:pPr>
      <w:r>
        <w:rPr>
          <w:sz w:val="20"/>
          <w:szCs w:val="20"/>
        </w:rPr>
        <w:t>Izvor: Geoportal, DGU, 2018.god.</w:t>
      </w:r>
    </w:p>
    <w:p w:rsidR="008F0D85" w:rsidRDefault="008F0D85">
      <w:pPr>
        <w:rPr>
          <w:sz w:val="20"/>
          <w:szCs w:val="20"/>
        </w:rPr>
      </w:pPr>
    </w:p>
    <w:p w:rsidR="008F0D85" w:rsidRDefault="00AE42A1">
      <w:pPr>
        <w:pStyle w:val="Naslov3"/>
      </w:pPr>
      <w:bookmarkStart w:id="239" w:name="_Toc516128239"/>
      <w:bookmarkStart w:id="240" w:name="_Toc527969349"/>
      <w:bookmarkEnd w:id="239"/>
      <w:bookmarkEnd w:id="240"/>
      <w:r>
        <w:t>2.10.2. Kulturna obilježja</w:t>
      </w:r>
    </w:p>
    <w:p w:rsidR="008F0D85" w:rsidRDefault="008F0D85">
      <w:pPr>
        <w:rPr>
          <w:sz w:val="20"/>
          <w:szCs w:val="20"/>
        </w:rPr>
      </w:pPr>
    </w:p>
    <w:p w:rsidR="008F0D85" w:rsidRDefault="00AE42A1">
      <w:pPr>
        <w:spacing w:after="0"/>
        <w:rPr>
          <w:rFonts w:cs="Calibri"/>
          <w:color w:val="000000"/>
          <w:szCs w:val="24"/>
        </w:rPr>
      </w:pPr>
      <w:r>
        <w:rPr>
          <w:rFonts w:cs="Calibri"/>
          <w:color w:val="000000"/>
          <w:szCs w:val="24"/>
        </w:rPr>
        <w:t xml:space="preserve">Kulturna, odnosno graditeljska spomenička baština odnosi se na mali broj spomenika kulturne baštine, a to su: </w:t>
      </w:r>
    </w:p>
    <w:p w:rsidR="008F0D85" w:rsidRDefault="00AE42A1">
      <w:pPr>
        <w:pStyle w:val="Odlomakpopisa"/>
        <w:numPr>
          <w:ilvl w:val="0"/>
          <w:numId w:val="29"/>
        </w:numPr>
        <w:spacing w:after="0"/>
        <w:rPr>
          <w:rFonts w:cs="Calibri"/>
          <w:color w:val="000000"/>
          <w:sz w:val="24"/>
          <w:szCs w:val="24"/>
        </w:rPr>
      </w:pPr>
      <w:r>
        <w:rPr>
          <w:rFonts w:cs="Calibri"/>
          <w:color w:val="000000"/>
          <w:sz w:val="24"/>
          <w:szCs w:val="24"/>
        </w:rPr>
        <w:t xml:space="preserve">Crkva sv. Benedikta, Kloštar Podravski </w:t>
      </w:r>
    </w:p>
    <w:p w:rsidR="008F0D85" w:rsidRDefault="00AE42A1">
      <w:pPr>
        <w:pStyle w:val="Odlomakpopisa"/>
        <w:numPr>
          <w:ilvl w:val="0"/>
          <w:numId w:val="29"/>
        </w:numPr>
        <w:spacing w:after="0"/>
        <w:rPr>
          <w:rFonts w:cs="Calibri"/>
          <w:color w:val="000000"/>
          <w:sz w:val="24"/>
          <w:szCs w:val="24"/>
        </w:rPr>
      </w:pPr>
      <w:r>
        <w:rPr>
          <w:rFonts w:cs="Calibri"/>
          <w:color w:val="000000"/>
          <w:sz w:val="24"/>
          <w:szCs w:val="24"/>
        </w:rPr>
        <w:t xml:space="preserve">Crkva sv. Barbare, Prugovac </w:t>
      </w:r>
    </w:p>
    <w:p w:rsidR="008F0D85" w:rsidRDefault="00AE42A1">
      <w:pPr>
        <w:pStyle w:val="Odlomakpopisa"/>
        <w:numPr>
          <w:ilvl w:val="0"/>
          <w:numId w:val="29"/>
        </w:numPr>
        <w:spacing w:after="0"/>
        <w:rPr>
          <w:rFonts w:cs="Calibri"/>
          <w:color w:val="000000"/>
          <w:sz w:val="24"/>
          <w:szCs w:val="24"/>
        </w:rPr>
      </w:pPr>
      <w:r>
        <w:rPr>
          <w:rFonts w:cs="Calibri"/>
          <w:color w:val="000000"/>
          <w:sz w:val="24"/>
          <w:szCs w:val="24"/>
        </w:rPr>
        <w:t xml:space="preserve">Crkva sv. Franje Ksaverskog, Kozarevac </w:t>
      </w:r>
    </w:p>
    <w:p w:rsidR="008F0D85" w:rsidRDefault="00AE42A1">
      <w:pPr>
        <w:pStyle w:val="Odlomakpopisa"/>
        <w:numPr>
          <w:ilvl w:val="0"/>
          <w:numId w:val="29"/>
        </w:numPr>
        <w:spacing w:after="0"/>
        <w:rPr>
          <w:rFonts w:cs="Calibri"/>
          <w:color w:val="000000"/>
          <w:sz w:val="24"/>
          <w:szCs w:val="24"/>
        </w:rPr>
      </w:pPr>
      <w:r>
        <w:rPr>
          <w:rFonts w:cs="Calibri"/>
          <w:color w:val="000000"/>
          <w:sz w:val="24"/>
          <w:szCs w:val="24"/>
        </w:rPr>
        <w:t>Kapela sv. Ivana Evanđeliste, Prugov</w:t>
      </w:r>
      <w:r>
        <w:rPr>
          <w:rFonts w:cs="Calibri"/>
          <w:color w:val="000000"/>
          <w:sz w:val="24"/>
          <w:szCs w:val="24"/>
        </w:rPr>
        <w:t xml:space="preserve">ac </w:t>
      </w:r>
    </w:p>
    <w:p w:rsidR="008F0D85" w:rsidRDefault="00AE42A1">
      <w:pPr>
        <w:pStyle w:val="Odlomakpopisa"/>
        <w:numPr>
          <w:ilvl w:val="0"/>
          <w:numId w:val="29"/>
        </w:numPr>
        <w:spacing w:after="0"/>
        <w:rPr>
          <w:rFonts w:cs="Calibri"/>
          <w:color w:val="000000"/>
          <w:sz w:val="24"/>
          <w:szCs w:val="24"/>
        </w:rPr>
      </w:pPr>
      <w:r>
        <w:rPr>
          <w:rFonts w:cs="Calibri"/>
          <w:color w:val="000000"/>
          <w:sz w:val="24"/>
          <w:szCs w:val="24"/>
        </w:rPr>
        <w:t xml:space="preserve">Kapela Gospe Lurdske, Budančevica </w:t>
      </w:r>
    </w:p>
    <w:p w:rsidR="008F0D85" w:rsidRDefault="00AE42A1">
      <w:pPr>
        <w:pStyle w:val="Odlomakpopisa"/>
        <w:numPr>
          <w:ilvl w:val="0"/>
          <w:numId w:val="29"/>
        </w:numPr>
        <w:spacing w:after="0"/>
        <w:rPr>
          <w:rFonts w:cs="Calibri"/>
          <w:color w:val="000000"/>
          <w:sz w:val="24"/>
          <w:szCs w:val="24"/>
        </w:rPr>
      </w:pPr>
      <w:r>
        <w:rPr>
          <w:rFonts w:cs="Calibri"/>
          <w:color w:val="000000"/>
          <w:sz w:val="24"/>
          <w:szCs w:val="24"/>
        </w:rPr>
        <w:lastRenderedPageBreak/>
        <w:t xml:space="preserve">Kapela Trpećeg Krista, Budančevica </w:t>
      </w:r>
    </w:p>
    <w:p w:rsidR="008F0D85" w:rsidRDefault="00AE42A1">
      <w:pPr>
        <w:pStyle w:val="Odlomakpopisa"/>
        <w:numPr>
          <w:ilvl w:val="0"/>
          <w:numId w:val="29"/>
        </w:numPr>
        <w:spacing w:after="0"/>
        <w:rPr>
          <w:rFonts w:cs="Calibri"/>
          <w:color w:val="000000"/>
          <w:sz w:val="24"/>
          <w:szCs w:val="24"/>
        </w:rPr>
      </w:pPr>
      <w:r>
        <w:rPr>
          <w:rFonts w:cs="Calibri"/>
          <w:color w:val="000000"/>
          <w:sz w:val="24"/>
          <w:szCs w:val="24"/>
        </w:rPr>
        <w:t xml:space="preserve">Kapela sv. Križa, Kozarevac </w:t>
      </w:r>
    </w:p>
    <w:p w:rsidR="008F0D85" w:rsidRDefault="00AE42A1">
      <w:pPr>
        <w:pStyle w:val="Odlomakpopisa"/>
        <w:numPr>
          <w:ilvl w:val="0"/>
          <w:numId w:val="29"/>
        </w:numPr>
        <w:spacing w:after="0"/>
        <w:rPr>
          <w:rFonts w:cs="Calibri"/>
          <w:color w:val="000000"/>
          <w:sz w:val="24"/>
          <w:szCs w:val="24"/>
        </w:rPr>
      </w:pPr>
      <w:r>
        <w:rPr>
          <w:rFonts w:cs="Calibri"/>
          <w:color w:val="000000"/>
          <w:sz w:val="24"/>
          <w:szCs w:val="24"/>
        </w:rPr>
        <w:t xml:space="preserve">Kapela sv. Florijana, Kloštar Podravski </w:t>
      </w:r>
    </w:p>
    <w:p w:rsidR="008F0D85" w:rsidRDefault="00AE42A1">
      <w:pPr>
        <w:pStyle w:val="Odlomakpopisa"/>
        <w:numPr>
          <w:ilvl w:val="0"/>
          <w:numId w:val="29"/>
        </w:numPr>
        <w:spacing w:after="0"/>
        <w:rPr>
          <w:rFonts w:cs="Calibri"/>
          <w:color w:val="000000"/>
          <w:sz w:val="24"/>
          <w:szCs w:val="24"/>
        </w:rPr>
      </w:pPr>
      <w:r>
        <w:rPr>
          <w:rFonts w:cs="Calibri"/>
          <w:color w:val="000000"/>
          <w:sz w:val="24"/>
          <w:szCs w:val="24"/>
        </w:rPr>
        <w:t xml:space="preserve">Kapela sv. Josipa, Kloštar Podravski </w:t>
      </w:r>
    </w:p>
    <w:p w:rsidR="008F0D85" w:rsidRDefault="00AE42A1">
      <w:pPr>
        <w:pStyle w:val="Odlomakpopisa"/>
        <w:numPr>
          <w:ilvl w:val="0"/>
          <w:numId w:val="29"/>
        </w:numPr>
        <w:rPr>
          <w:rFonts w:cs="Calibri"/>
          <w:sz w:val="24"/>
          <w:szCs w:val="24"/>
        </w:rPr>
      </w:pPr>
      <w:r>
        <w:rPr>
          <w:rFonts w:cs="Calibri"/>
          <w:color w:val="000000"/>
          <w:sz w:val="24"/>
          <w:szCs w:val="24"/>
        </w:rPr>
        <w:t>Pil sa skulpturom „Bijegom u Egipat“, Kloštar Podravski.</w:t>
      </w:r>
    </w:p>
    <w:p w:rsidR="008F0D85" w:rsidRDefault="008F0D85">
      <w:pPr>
        <w:pStyle w:val="Odlomakpopisa"/>
        <w:rPr>
          <w:rFonts w:cs="Calibri"/>
          <w:sz w:val="24"/>
          <w:szCs w:val="24"/>
        </w:rPr>
      </w:pPr>
    </w:p>
    <w:p w:rsidR="008F0D85" w:rsidRDefault="00AE42A1">
      <w:pPr>
        <w:spacing w:after="0" w:line="360" w:lineRule="auto"/>
        <w:jc w:val="center"/>
        <w:rPr>
          <w:rFonts w:cs="Calibri"/>
          <w:b/>
          <w:bCs/>
          <w:sz w:val="20"/>
          <w:szCs w:val="24"/>
        </w:rPr>
      </w:pPr>
      <w:bookmarkStart w:id="241" w:name="_Toc512434716"/>
      <w:bookmarkStart w:id="242" w:name="_Toc514240310"/>
      <w:bookmarkStart w:id="243" w:name="_Toc516128395"/>
      <w:bookmarkStart w:id="244" w:name="_Toc527969505"/>
      <w:r>
        <w:rPr>
          <w:rFonts w:cs="Arial"/>
          <w:b/>
          <w:bCs/>
          <w:sz w:val="20"/>
          <w:szCs w:val="20"/>
        </w:rPr>
        <w:t xml:space="preserve">Tablica </w:t>
      </w:r>
      <w:r>
        <w:rPr>
          <w:rFonts w:cs="Arial"/>
          <w:b/>
          <w:bCs/>
          <w:sz w:val="20"/>
          <w:szCs w:val="20"/>
        </w:rPr>
        <w:fldChar w:fldCharType="begin"/>
      </w:r>
      <w:r>
        <w:instrText xml:space="preserve">SEQ </w:instrText>
      </w:r>
      <w:r>
        <w:instrText>Tablica \* ARABIC</w:instrText>
      </w:r>
      <w:r>
        <w:fldChar w:fldCharType="separate"/>
      </w:r>
      <w:r>
        <w:t>23</w:t>
      </w:r>
      <w:r>
        <w:fldChar w:fldCharType="end"/>
      </w:r>
      <w:bookmarkEnd w:id="241"/>
      <w:bookmarkEnd w:id="242"/>
      <w:bookmarkEnd w:id="243"/>
      <w:bookmarkEnd w:id="244"/>
      <w:r>
        <w:rPr>
          <w:rFonts w:cs="Arial"/>
          <w:b/>
          <w:bCs/>
          <w:sz w:val="20"/>
          <w:szCs w:val="20"/>
        </w:rPr>
        <w:t>: Prikaz kulturnih dobara na području Općine upisanih u Registar kulturnih dobara RH</w:t>
      </w:r>
    </w:p>
    <w:tbl>
      <w:tblPr>
        <w:tblW w:w="9286"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1405"/>
        <w:gridCol w:w="1002"/>
        <w:gridCol w:w="3232"/>
        <w:gridCol w:w="3647"/>
      </w:tblGrid>
      <w:tr w:rsidR="008F0D85">
        <w:tc>
          <w:tcPr>
            <w:tcW w:w="1404"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lang w:eastAsia="hr-HR"/>
              </w:rPr>
            </w:pPr>
            <w:r>
              <w:rPr>
                <w:rFonts w:cs="Calibri"/>
                <w:b/>
                <w:sz w:val="20"/>
                <w:szCs w:val="20"/>
                <w:lang w:eastAsia="hr-HR"/>
              </w:rPr>
              <w:t>Oznaka dobra</w:t>
            </w:r>
          </w:p>
        </w:tc>
        <w:tc>
          <w:tcPr>
            <w:tcW w:w="100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lang w:eastAsia="hr-HR"/>
              </w:rPr>
            </w:pPr>
            <w:r>
              <w:rPr>
                <w:rFonts w:cs="Calibri"/>
                <w:b/>
                <w:sz w:val="20"/>
                <w:szCs w:val="20"/>
                <w:lang w:eastAsia="hr-HR"/>
              </w:rPr>
              <w:t>Mjesto</w:t>
            </w:r>
          </w:p>
        </w:tc>
        <w:tc>
          <w:tcPr>
            <w:tcW w:w="323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lang w:eastAsia="hr-HR"/>
              </w:rPr>
            </w:pPr>
            <w:r>
              <w:rPr>
                <w:rFonts w:cs="Calibri"/>
                <w:b/>
                <w:sz w:val="20"/>
                <w:szCs w:val="20"/>
                <w:lang w:eastAsia="hr-HR"/>
              </w:rPr>
              <w:t>Naziv</w:t>
            </w:r>
          </w:p>
        </w:tc>
        <w:tc>
          <w:tcPr>
            <w:tcW w:w="3647"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lang w:eastAsia="hr-HR"/>
              </w:rPr>
            </w:pPr>
            <w:r>
              <w:rPr>
                <w:rFonts w:cs="Calibri"/>
                <w:b/>
                <w:sz w:val="20"/>
                <w:szCs w:val="20"/>
                <w:lang w:eastAsia="hr-HR"/>
              </w:rPr>
              <w:t>Vrsta kulturnog dobra</w:t>
            </w:r>
          </w:p>
        </w:tc>
      </w:tr>
      <w:tr w:rsidR="008F0D85">
        <w:tc>
          <w:tcPr>
            <w:tcW w:w="140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lang w:eastAsia="hr-HR"/>
              </w:rPr>
            </w:pPr>
            <w:r>
              <w:rPr>
                <w:rFonts w:cs="Calibri"/>
                <w:sz w:val="20"/>
                <w:szCs w:val="20"/>
                <w:lang w:eastAsia="hr-HR"/>
              </w:rPr>
              <w:t>Z - 3166</w:t>
            </w:r>
          </w:p>
        </w:tc>
        <w:tc>
          <w:tcPr>
            <w:tcW w:w="100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lang w:eastAsia="hr-HR"/>
              </w:rPr>
            </w:pPr>
            <w:r>
              <w:rPr>
                <w:rFonts w:cs="Calibri"/>
                <w:sz w:val="20"/>
                <w:szCs w:val="20"/>
                <w:lang w:eastAsia="hr-HR"/>
              </w:rPr>
              <w:t>Kloštar Podravski</w:t>
            </w:r>
          </w:p>
        </w:tc>
        <w:tc>
          <w:tcPr>
            <w:tcW w:w="323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lang w:eastAsia="hr-HR"/>
              </w:rPr>
            </w:pPr>
            <w:r>
              <w:rPr>
                <w:rFonts w:cs="Calibri"/>
                <w:sz w:val="20"/>
                <w:szCs w:val="20"/>
                <w:lang w:eastAsia="hr-HR"/>
              </w:rPr>
              <w:t>Crkva Sv. Benedikta i Žalosne Gospe</w:t>
            </w:r>
          </w:p>
        </w:tc>
        <w:tc>
          <w:tcPr>
            <w:tcW w:w="364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lang w:eastAsia="hr-HR"/>
              </w:rPr>
            </w:pPr>
            <w:r>
              <w:rPr>
                <w:rFonts w:cs="Calibri"/>
                <w:sz w:val="20"/>
                <w:szCs w:val="20"/>
                <w:lang w:eastAsia="hr-HR"/>
              </w:rPr>
              <w:t xml:space="preserve">Nepokretno kulturno dobro – </w:t>
            </w:r>
            <w:r>
              <w:rPr>
                <w:rFonts w:cs="Calibri"/>
                <w:sz w:val="20"/>
                <w:szCs w:val="20"/>
                <w:lang w:eastAsia="hr-HR"/>
              </w:rPr>
              <w:t>pojedinačno</w:t>
            </w:r>
          </w:p>
        </w:tc>
      </w:tr>
      <w:tr w:rsidR="008F0D85">
        <w:tc>
          <w:tcPr>
            <w:tcW w:w="140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lang w:eastAsia="hr-HR"/>
              </w:rPr>
            </w:pPr>
            <w:r>
              <w:rPr>
                <w:rFonts w:cs="Calibri"/>
                <w:sz w:val="20"/>
                <w:szCs w:val="20"/>
                <w:lang w:eastAsia="hr-HR"/>
              </w:rPr>
              <w:t>RZG – 0519 – 1969.</w:t>
            </w:r>
          </w:p>
        </w:tc>
        <w:tc>
          <w:tcPr>
            <w:tcW w:w="100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lang w:eastAsia="hr-HR"/>
              </w:rPr>
            </w:pPr>
            <w:r>
              <w:rPr>
                <w:rFonts w:cs="Calibri"/>
                <w:sz w:val="20"/>
                <w:szCs w:val="20"/>
                <w:lang w:eastAsia="hr-HR"/>
              </w:rPr>
              <w:t>Prugovac</w:t>
            </w:r>
          </w:p>
        </w:tc>
        <w:tc>
          <w:tcPr>
            <w:tcW w:w="323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lang w:eastAsia="hr-HR"/>
              </w:rPr>
            </w:pPr>
            <w:r>
              <w:rPr>
                <w:rFonts w:cs="Calibri"/>
                <w:sz w:val="20"/>
                <w:szCs w:val="20"/>
                <w:lang w:eastAsia="hr-HR"/>
              </w:rPr>
              <w:t>Crkva Sv. Barbare</w:t>
            </w:r>
          </w:p>
        </w:tc>
        <w:tc>
          <w:tcPr>
            <w:tcW w:w="364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lang w:eastAsia="hr-HR"/>
              </w:rPr>
            </w:pPr>
            <w:r>
              <w:rPr>
                <w:rFonts w:cs="Calibri"/>
                <w:sz w:val="20"/>
                <w:szCs w:val="20"/>
                <w:lang w:eastAsia="hr-HR"/>
              </w:rPr>
              <w:t>Nepokretno kulturno dobro - pojedinačno</w:t>
            </w:r>
          </w:p>
        </w:tc>
      </w:tr>
    </w:tbl>
    <w:p w:rsidR="008F0D85" w:rsidRDefault="00AE42A1">
      <w:pPr>
        <w:shd w:val="clear" w:color="auto" w:fill="FFFFFF"/>
        <w:spacing w:after="150"/>
        <w:jc w:val="center"/>
        <w:rPr>
          <w:rFonts w:cs="Calibri"/>
          <w:sz w:val="20"/>
          <w:szCs w:val="20"/>
          <w:lang w:eastAsia="hr-HR"/>
        </w:rPr>
      </w:pPr>
      <w:r>
        <w:rPr>
          <w:rFonts w:cs="Calibri"/>
          <w:sz w:val="20"/>
          <w:szCs w:val="20"/>
          <w:lang w:eastAsia="hr-HR"/>
        </w:rPr>
        <w:t>Izvor: Registar kulturnih dobara RH, 2018.god.</w:t>
      </w:r>
    </w:p>
    <w:p w:rsidR="008F0D85" w:rsidRDefault="008F0D85">
      <w:pPr>
        <w:shd w:val="clear" w:color="auto" w:fill="FFFFFF"/>
        <w:spacing w:after="150"/>
        <w:rPr>
          <w:rFonts w:cs="Calibri"/>
          <w:sz w:val="20"/>
          <w:szCs w:val="20"/>
          <w:lang w:eastAsia="hr-HR"/>
        </w:rPr>
      </w:pPr>
    </w:p>
    <w:p w:rsidR="008F0D85" w:rsidRDefault="00AE42A1">
      <w:pPr>
        <w:pStyle w:val="Naslov2"/>
      </w:pPr>
      <w:bookmarkStart w:id="245" w:name="_Toc512434582"/>
      <w:bookmarkStart w:id="246" w:name="_Toc514240137"/>
      <w:bookmarkStart w:id="247" w:name="_Toc516128240"/>
      <w:bookmarkStart w:id="248" w:name="_Toc527969350"/>
      <w:bookmarkEnd w:id="245"/>
      <w:bookmarkEnd w:id="246"/>
      <w:bookmarkEnd w:id="247"/>
      <w:bookmarkEnd w:id="248"/>
      <w:r>
        <w:t>2.11. Povijesni pokazatelji na području Općine</w:t>
      </w:r>
    </w:p>
    <w:p w:rsidR="008F0D85" w:rsidRDefault="008F0D85"/>
    <w:p w:rsidR="008F0D85" w:rsidRDefault="00AE42A1">
      <w:pPr>
        <w:rPr>
          <w:szCs w:val="24"/>
        </w:rPr>
      </w:pPr>
      <w:r>
        <w:rPr>
          <w:szCs w:val="24"/>
        </w:rPr>
        <w:t xml:space="preserve">SUŠA: Elementarna nepogoda od suše za područje Općine </w:t>
      </w:r>
      <w:r>
        <w:rPr>
          <w:szCs w:val="24"/>
        </w:rPr>
        <w:t>proglašena je:</w:t>
      </w:r>
    </w:p>
    <w:p w:rsidR="008F0D85" w:rsidRDefault="00AE42A1">
      <w:pPr>
        <w:pStyle w:val="Odlomakpopisa"/>
        <w:numPr>
          <w:ilvl w:val="0"/>
          <w:numId w:val="30"/>
        </w:numPr>
        <w:spacing w:after="160"/>
        <w:jc w:val="both"/>
        <w:rPr>
          <w:sz w:val="24"/>
          <w:szCs w:val="24"/>
        </w:rPr>
      </w:pPr>
      <w:r>
        <w:rPr>
          <w:sz w:val="24"/>
          <w:szCs w:val="24"/>
        </w:rPr>
        <w:t>Zaključkom o proglašenju elementarne nepogodne na području Koprivničko – križevačke županije (KLASA: 920-11/00-01/09, URBROJ: 2137-12-00-2, Koprivnica, 21.08.2000.god.)</w:t>
      </w:r>
    </w:p>
    <w:p w:rsidR="008F0D85" w:rsidRDefault="00AE42A1">
      <w:pPr>
        <w:pStyle w:val="Odlomakpopisa"/>
        <w:numPr>
          <w:ilvl w:val="0"/>
          <w:numId w:val="30"/>
        </w:numPr>
        <w:spacing w:after="160"/>
        <w:jc w:val="both"/>
        <w:rPr>
          <w:sz w:val="24"/>
          <w:szCs w:val="24"/>
        </w:rPr>
      </w:pPr>
      <w:r>
        <w:rPr>
          <w:sz w:val="24"/>
          <w:szCs w:val="24"/>
        </w:rPr>
        <w:t xml:space="preserve">Zaključkom o proglašenju elementarne nepogode na dijelu područja </w:t>
      </w:r>
      <w:r>
        <w:rPr>
          <w:sz w:val="24"/>
          <w:szCs w:val="24"/>
        </w:rPr>
        <w:t>Koprivničko – križevačke županije (KLASA: 920-11/06-01/12, URBROJ: 2137-12-06-13, Koprivnica, 09.08.2006.god.)</w:t>
      </w:r>
    </w:p>
    <w:p w:rsidR="008F0D85" w:rsidRDefault="00AE42A1">
      <w:pPr>
        <w:pStyle w:val="Odlomakpopisa"/>
        <w:numPr>
          <w:ilvl w:val="0"/>
          <w:numId w:val="30"/>
        </w:numPr>
        <w:spacing w:after="160"/>
        <w:jc w:val="both"/>
        <w:rPr>
          <w:sz w:val="24"/>
          <w:szCs w:val="24"/>
        </w:rPr>
      </w:pPr>
      <w:r>
        <w:rPr>
          <w:sz w:val="24"/>
          <w:szCs w:val="24"/>
        </w:rPr>
        <w:t>Zaključkom o proglašenju elementarne nepogode na području Koprivničko – križevačke županije (KLASA: 920-11/07-01/2, URBROJ: 2137-12-07-04, Kopriv</w:t>
      </w:r>
      <w:r>
        <w:rPr>
          <w:sz w:val="24"/>
          <w:szCs w:val="24"/>
        </w:rPr>
        <w:t>nica, 02.07.2007.god.)</w:t>
      </w:r>
    </w:p>
    <w:p w:rsidR="008F0D85" w:rsidRDefault="00AE42A1">
      <w:pPr>
        <w:pStyle w:val="Odlomakpopisa"/>
        <w:numPr>
          <w:ilvl w:val="0"/>
          <w:numId w:val="30"/>
        </w:numPr>
        <w:spacing w:after="160"/>
        <w:jc w:val="both"/>
        <w:rPr>
          <w:sz w:val="24"/>
          <w:szCs w:val="24"/>
        </w:rPr>
      </w:pPr>
      <w:r>
        <w:rPr>
          <w:sz w:val="24"/>
          <w:szCs w:val="24"/>
        </w:rPr>
        <w:t>Zaključkom o proglašenju elementarne nepogode na dijelu područja Koprivničko – križevačke županije (KLASA: 920-11/11-01/23, URBROJ: 2137/01-05/06-11-1, 27.07.2011.god.)</w:t>
      </w:r>
    </w:p>
    <w:p w:rsidR="008F0D85" w:rsidRDefault="00AE42A1">
      <w:pPr>
        <w:pStyle w:val="Odlomakpopisa"/>
        <w:numPr>
          <w:ilvl w:val="0"/>
          <w:numId w:val="30"/>
        </w:numPr>
        <w:spacing w:after="160"/>
        <w:jc w:val="both"/>
        <w:rPr>
          <w:sz w:val="24"/>
          <w:szCs w:val="24"/>
        </w:rPr>
      </w:pPr>
      <w:r>
        <w:rPr>
          <w:sz w:val="24"/>
          <w:szCs w:val="24"/>
        </w:rPr>
        <w:t>Odlukom o proglašenju elementarne nepogode suša na području Grad</w:t>
      </w:r>
      <w:r>
        <w:rPr>
          <w:sz w:val="24"/>
          <w:szCs w:val="24"/>
        </w:rPr>
        <w:t>a Đurđevca, Općine Gola, Općine Kloštar Podravski, Općine Koprivnički Ivanec, Općine Legrad, Općine Molve, Općine Novigrad Podravski, Općine Sveti Ivan Žabno, Općine Virje i Općine Podravske Sesvete (KLASA: 920-11/17-01-6, URBROJ: 2137/1-04/11-17-23, Kopri</w:t>
      </w:r>
      <w:r>
        <w:rPr>
          <w:sz w:val="24"/>
          <w:szCs w:val="24"/>
        </w:rPr>
        <w:t>vnica, 16.08.2017.god.)</w:t>
      </w:r>
    </w:p>
    <w:p w:rsidR="008F0D85" w:rsidRDefault="00AE42A1">
      <w:pPr>
        <w:rPr>
          <w:szCs w:val="24"/>
        </w:rPr>
      </w:pPr>
      <w:r>
        <w:rPr>
          <w:szCs w:val="24"/>
        </w:rPr>
        <w:t>MRAZ: Elementarna nepogoda od mraza za područje Općine proglašena je:</w:t>
      </w:r>
    </w:p>
    <w:p w:rsidR="008F0D85" w:rsidRDefault="00AE42A1">
      <w:pPr>
        <w:pStyle w:val="Odlomakpopisa"/>
        <w:numPr>
          <w:ilvl w:val="0"/>
          <w:numId w:val="31"/>
        </w:numPr>
        <w:spacing w:after="160"/>
        <w:jc w:val="both"/>
        <w:rPr>
          <w:sz w:val="24"/>
          <w:szCs w:val="24"/>
        </w:rPr>
      </w:pPr>
      <w:r>
        <w:rPr>
          <w:sz w:val="24"/>
          <w:szCs w:val="24"/>
        </w:rPr>
        <w:t>Zaključkom o proglašenju elementarne nepogode na dijelu područja Koprivničko – križevačke županije (KLASA: 920-11/01-01/05, URBROJ: 2137-12-01-02, Koprivnica, 08.</w:t>
      </w:r>
      <w:r>
        <w:rPr>
          <w:sz w:val="24"/>
          <w:szCs w:val="24"/>
        </w:rPr>
        <w:t>05.2001.god.)</w:t>
      </w:r>
    </w:p>
    <w:p w:rsidR="008F0D85" w:rsidRDefault="00AE42A1">
      <w:pPr>
        <w:pStyle w:val="Odlomakpopisa"/>
        <w:numPr>
          <w:ilvl w:val="0"/>
          <w:numId w:val="31"/>
        </w:numPr>
        <w:spacing w:after="160"/>
        <w:jc w:val="both"/>
        <w:rPr>
          <w:sz w:val="24"/>
          <w:szCs w:val="24"/>
        </w:rPr>
      </w:pPr>
      <w:r>
        <w:rPr>
          <w:sz w:val="24"/>
          <w:szCs w:val="24"/>
        </w:rPr>
        <w:lastRenderedPageBreak/>
        <w:t>Zaključkom o proglašenju elementarne nepogode na području Koprivničko – križevačke županije (KLASA: 920-11/02-01/03, URBROJ: 2137-12-02-4, Koprivnica, 15.04.2012.god.)</w:t>
      </w:r>
    </w:p>
    <w:p w:rsidR="008F0D85" w:rsidRDefault="00AE42A1">
      <w:pPr>
        <w:pStyle w:val="Odlomakpopisa"/>
        <w:numPr>
          <w:ilvl w:val="0"/>
          <w:numId w:val="31"/>
        </w:numPr>
        <w:spacing w:after="160"/>
        <w:jc w:val="both"/>
        <w:rPr>
          <w:sz w:val="24"/>
          <w:szCs w:val="24"/>
        </w:rPr>
      </w:pPr>
      <w:r>
        <w:rPr>
          <w:sz w:val="24"/>
          <w:szCs w:val="24"/>
        </w:rPr>
        <w:t>Zaključkom o proglašenju elementarne nepogode na području Koprivničko – kr</w:t>
      </w:r>
      <w:r>
        <w:rPr>
          <w:sz w:val="24"/>
          <w:szCs w:val="24"/>
        </w:rPr>
        <w:t>iževačke županije (KLASA: 920-11/12-01/35, URBROJ: 2137/01-05/06-12-3, Koprivnica, 20.04.2012.god.)</w:t>
      </w:r>
    </w:p>
    <w:p w:rsidR="008F0D85" w:rsidRDefault="00AE42A1">
      <w:pPr>
        <w:rPr>
          <w:szCs w:val="24"/>
        </w:rPr>
      </w:pPr>
      <w:r>
        <w:rPr>
          <w:szCs w:val="24"/>
        </w:rPr>
        <w:t xml:space="preserve">TUČA: Elementarna nepogoda od tuče za područje Općine proglašena je: </w:t>
      </w:r>
    </w:p>
    <w:p w:rsidR="008F0D85" w:rsidRDefault="00AE42A1">
      <w:pPr>
        <w:pStyle w:val="Odlomakpopisa"/>
        <w:numPr>
          <w:ilvl w:val="0"/>
          <w:numId w:val="32"/>
        </w:numPr>
        <w:spacing w:after="160"/>
        <w:jc w:val="both"/>
        <w:rPr>
          <w:sz w:val="24"/>
          <w:szCs w:val="24"/>
        </w:rPr>
      </w:pPr>
      <w:r>
        <w:rPr>
          <w:sz w:val="24"/>
          <w:szCs w:val="24"/>
        </w:rPr>
        <w:t xml:space="preserve">Zaključkom o proglašenju elementarne nepogode na dijelu područja </w:t>
      </w:r>
      <w:r>
        <w:rPr>
          <w:sz w:val="24"/>
          <w:szCs w:val="24"/>
        </w:rPr>
        <w:t>Koprivničko – križevačke županije (KLASA: 920-11/04-01/02, URBROJ: 2137-12-04-02, Koprivnica, 18.06.2004.god.)</w:t>
      </w:r>
    </w:p>
    <w:p w:rsidR="008F0D85" w:rsidRDefault="00AE42A1">
      <w:pPr>
        <w:pStyle w:val="Odlomakpopisa"/>
        <w:numPr>
          <w:ilvl w:val="0"/>
          <w:numId w:val="32"/>
        </w:numPr>
        <w:spacing w:after="160"/>
        <w:jc w:val="both"/>
        <w:rPr>
          <w:sz w:val="24"/>
          <w:szCs w:val="24"/>
        </w:rPr>
      </w:pPr>
      <w:r>
        <w:rPr>
          <w:sz w:val="24"/>
          <w:szCs w:val="24"/>
        </w:rPr>
        <w:t>Zaključkom o proglašenju elementarne nepogode na dijelu područja Koprivničko – križevačke županije (KLASA: 920-11/09-01/17, URBROJ: 2137/1-05-09-</w:t>
      </w:r>
      <w:r>
        <w:rPr>
          <w:sz w:val="24"/>
          <w:szCs w:val="24"/>
        </w:rPr>
        <w:t>3, Koprivnica, 06.05.2009.god.)</w:t>
      </w:r>
    </w:p>
    <w:p w:rsidR="008F0D85" w:rsidRDefault="00AE42A1">
      <w:pPr>
        <w:rPr>
          <w:szCs w:val="24"/>
        </w:rPr>
      </w:pPr>
      <w:r>
        <w:rPr>
          <w:szCs w:val="24"/>
        </w:rPr>
        <w:t>KIŠA: Elementarna nepogoda od prekomjernih količina oborina za područje Općine proglašena je:</w:t>
      </w:r>
    </w:p>
    <w:p w:rsidR="008F0D85" w:rsidRDefault="00AE42A1">
      <w:pPr>
        <w:pStyle w:val="Odlomakpopisa"/>
        <w:numPr>
          <w:ilvl w:val="0"/>
          <w:numId w:val="33"/>
        </w:numPr>
        <w:spacing w:after="160"/>
        <w:jc w:val="both"/>
        <w:rPr>
          <w:sz w:val="24"/>
          <w:szCs w:val="24"/>
        </w:rPr>
      </w:pPr>
      <w:r>
        <w:rPr>
          <w:sz w:val="24"/>
          <w:szCs w:val="24"/>
        </w:rPr>
        <w:t>Zaključkom o proglašenju elementarne nepogode na dijelu područja koprivničko – križevačke županije (KLASA: 920-11/06-01/12, URBROJ</w:t>
      </w:r>
      <w:r>
        <w:rPr>
          <w:sz w:val="24"/>
          <w:szCs w:val="24"/>
        </w:rPr>
        <w:t>: 2137-12-06-13, Koprivnica, 09.08.2006.god.)</w:t>
      </w:r>
    </w:p>
    <w:p w:rsidR="008F0D85" w:rsidRDefault="00AE42A1">
      <w:pPr>
        <w:pStyle w:val="Odlomakpopisa"/>
        <w:numPr>
          <w:ilvl w:val="0"/>
          <w:numId w:val="33"/>
        </w:numPr>
        <w:spacing w:after="160"/>
        <w:jc w:val="both"/>
        <w:rPr>
          <w:sz w:val="24"/>
          <w:szCs w:val="24"/>
        </w:rPr>
      </w:pPr>
      <w:r>
        <w:rPr>
          <w:sz w:val="24"/>
          <w:szCs w:val="24"/>
        </w:rPr>
        <w:t>Zaključkom o proglašenju elementarne nepogode na dijelu područja Koprivničko - križevačke županije (KLASA: 920-11/10-01/10, URBROJ: 2137/01-05/06-10-8, Koprivnica, 08.06.2010.god.)</w:t>
      </w:r>
    </w:p>
    <w:p w:rsidR="008F0D85" w:rsidRDefault="00AE42A1">
      <w:pPr>
        <w:rPr>
          <w:szCs w:val="24"/>
        </w:rPr>
      </w:pPr>
      <w:r>
        <w:rPr>
          <w:szCs w:val="24"/>
        </w:rPr>
        <w:t>POPLAVA: Elementarna nepogoda</w:t>
      </w:r>
      <w:r>
        <w:rPr>
          <w:szCs w:val="24"/>
        </w:rPr>
        <w:t xml:space="preserve"> od poplave za područje Općine proglašena je:</w:t>
      </w:r>
    </w:p>
    <w:p w:rsidR="008F0D85" w:rsidRDefault="00AE42A1">
      <w:pPr>
        <w:pStyle w:val="Odlomakpopisa"/>
        <w:numPr>
          <w:ilvl w:val="0"/>
          <w:numId w:val="34"/>
        </w:numPr>
        <w:spacing w:after="160"/>
        <w:jc w:val="both"/>
        <w:rPr>
          <w:sz w:val="24"/>
          <w:szCs w:val="24"/>
        </w:rPr>
      </w:pPr>
      <w:r>
        <w:rPr>
          <w:sz w:val="24"/>
          <w:szCs w:val="24"/>
        </w:rPr>
        <w:t>Odlukom o proglašenju elementarne nepogode poplava na području Općine Drnje, Općine Ferdinandovac, Općine Gola,  Općine Hlebine, Općine Kloštar podravski, Općine koprivnički Bregi, Općine Koprivnički Ivanec, Op</w:t>
      </w:r>
      <w:r>
        <w:rPr>
          <w:sz w:val="24"/>
          <w:szCs w:val="24"/>
        </w:rPr>
        <w:t>ćine Legrad, Općine Molve, Općine Novigrad Podravski, Općine Peteranec, Općine Rasinja, Općine Virje, Općine Kalinovac, Općine Podravske Sesvete (KLASA: 920-11/14-01/7, URBROJ: 2137/1-03/17-14-4, Koprivnica, 22.09.2014.god.</w:t>
      </w:r>
    </w:p>
    <w:p w:rsidR="008F0D85" w:rsidRDefault="008F0D85">
      <w:bookmarkStart w:id="249" w:name="_Hlk525555568"/>
      <w:bookmarkEnd w:id="249"/>
    </w:p>
    <w:p w:rsidR="008F0D85" w:rsidRDefault="008F0D85"/>
    <w:p w:rsidR="008F0D85" w:rsidRDefault="008F0D85"/>
    <w:p w:rsidR="008F0D85" w:rsidRDefault="008F0D85"/>
    <w:p w:rsidR="008F0D85" w:rsidRDefault="008F0D85"/>
    <w:p w:rsidR="008F0D85" w:rsidRDefault="008F0D85"/>
    <w:p w:rsidR="008F0D85" w:rsidRDefault="00AE42A1">
      <w:pPr>
        <w:pStyle w:val="Naslov3"/>
      </w:pPr>
      <w:bookmarkStart w:id="250" w:name="_Toc512434583"/>
      <w:bookmarkStart w:id="251" w:name="_Toc514240138"/>
      <w:bookmarkStart w:id="252" w:name="_Toc516128241"/>
      <w:bookmarkStart w:id="253" w:name="_Toc527969351"/>
      <w:bookmarkEnd w:id="250"/>
      <w:bookmarkEnd w:id="251"/>
      <w:bookmarkEnd w:id="252"/>
      <w:bookmarkEnd w:id="253"/>
      <w:r>
        <w:lastRenderedPageBreak/>
        <w:t xml:space="preserve">2.11.1. Štete </w:t>
      </w:r>
      <w:r>
        <w:t>uslijed prijašnjih događaja</w:t>
      </w:r>
    </w:p>
    <w:p w:rsidR="008F0D85" w:rsidRDefault="008F0D85"/>
    <w:p w:rsidR="008F0D85" w:rsidRDefault="00AE42A1">
      <w:pPr>
        <w:spacing w:after="0" w:line="360" w:lineRule="auto"/>
        <w:jc w:val="center"/>
        <w:rPr>
          <w:rFonts w:cs="Arial"/>
          <w:b/>
          <w:bCs/>
          <w:sz w:val="20"/>
          <w:szCs w:val="20"/>
        </w:rPr>
      </w:pPr>
      <w:bookmarkStart w:id="254" w:name="_Toc512434717"/>
      <w:bookmarkStart w:id="255" w:name="_Toc514240311"/>
      <w:bookmarkStart w:id="256" w:name="_Toc516128396"/>
      <w:bookmarkStart w:id="257" w:name="_Toc527969506"/>
      <w:r>
        <w:rPr>
          <w:rFonts w:cs="Arial"/>
          <w:b/>
          <w:bCs/>
          <w:sz w:val="20"/>
          <w:szCs w:val="20"/>
        </w:rPr>
        <w:t xml:space="preserve">Tablica </w:t>
      </w:r>
      <w:r>
        <w:rPr>
          <w:rFonts w:cs="Arial"/>
          <w:b/>
          <w:bCs/>
          <w:sz w:val="20"/>
          <w:szCs w:val="20"/>
        </w:rPr>
        <w:fldChar w:fldCharType="begin"/>
      </w:r>
      <w:r>
        <w:instrText>SEQ Tablica \* ARABIC</w:instrText>
      </w:r>
      <w:r>
        <w:fldChar w:fldCharType="separate"/>
      </w:r>
      <w:r>
        <w:t>24</w:t>
      </w:r>
      <w:r>
        <w:fldChar w:fldCharType="end"/>
      </w:r>
      <w:bookmarkEnd w:id="254"/>
      <w:bookmarkEnd w:id="255"/>
      <w:bookmarkEnd w:id="256"/>
      <w:bookmarkEnd w:id="257"/>
      <w:r>
        <w:rPr>
          <w:rFonts w:cs="Arial"/>
          <w:b/>
          <w:bCs/>
          <w:sz w:val="20"/>
          <w:szCs w:val="20"/>
        </w:rPr>
        <w:t>: Prikaz šteta uslijed prijašnjih događaja (elementarne nepogode) na području Općine</w:t>
      </w:r>
    </w:p>
    <w:tbl>
      <w:tblPr>
        <w:tblW w:w="6656" w:type="dxa"/>
        <w:tblInd w:w="120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2263"/>
        <w:gridCol w:w="2123"/>
        <w:gridCol w:w="2270"/>
      </w:tblGrid>
      <w:tr w:rsidR="008F0D85">
        <w:tc>
          <w:tcPr>
            <w:tcW w:w="2263"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Godina</w:t>
            </w:r>
          </w:p>
        </w:tc>
        <w:tc>
          <w:tcPr>
            <w:tcW w:w="2123"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Prijetnja</w:t>
            </w:r>
          </w:p>
        </w:tc>
        <w:tc>
          <w:tcPr>
            <w:tcW w:w="2270"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Šteta (kn)</w:t>
            </w:r>
          </w:p>
        </w:tc>
      </w:tr>
      <w:tr w:rsidR="008F0D85">
        <w:tc>
          <w:tcPr>
            <w:tcW w:w="226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2000.</w:t>
            </w:r>
          </w:p>
        </w:tc>
        <w:tc>
          <w:tcPr>
            <w:tcW w:w="212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SUŠA</w:t>
            </w:r>
          </w:p>
        </w:tc>
        <w:tc>
          <w:tcPr>
            <w:tcW w:w="227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right"/>
              <w:rPr>
                <w:rFonts w:cs="Calibri"/>
                <w:sz w:val="20"/>
                <w:szCs w:val="20"/>
              </w:rPr>
            </w:pPr>
            <w:r>
              <w:rPr>
                <w:rFonts w:cs="Calibri"/>
                <w:sz w:val="20"/>
                <w:szCs w:val="20"/>
              </w:rPr>
              <w:t>2.524.286,99</w:t>
            </w:r>
          </w:p>
        </w:tc>
      </w:tr>
      <w:tr w:rsidR="008F0D85">
        <w:tc>
          <w:tcPr>
            <w:tcW w:w="226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2001.</w:t>
            </w:r>
          </w:p>
        </w:tc>
        <w:tc>
          <w:tcPr>
            <w:tcW w:w="212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MRAZ</w:t>
            </w:r>
          </w:p>
        </w:tc>
        <w:tc>
          <w:tcPr>
            <w:tcW w:w="227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right"/>
              <w:rPr>
                <w:rFonts w:cs="Calibri"/>
                <w:sz w:val="20"/>
                <w:szCs w:val="20"/>
              </w:rPr>
            </w:pPr>
            <w:r>
              <w:rPr>
                <w:rFonts w:cs="Calibri"/>
                <w:sz w:val="20"/>
                <w:szCs w:val="20"/>
              </w:rPr>
              <w:t>128.588,00</w:t>
            </w:r>
          </w:p>
        </w:tc>
      </w:tr>
      <w:tr w:rsidR="008F0D85">
        <w:tc>
          <w:tcPr>
            <w:tcW w:w="226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2002.</w:t>
            </w:r>
          </w:p>
        </w:tc>
        <w:tc>
          <w:tcPr>
            <w:tcW w:w="212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MRAZ</w:t>
            </w:r>
          </w:p>
        </w:tc>
        <w:tc>
          <w:tcPr>
            <w:tcW w:w="227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right"/>
              <w:rPr>
                <w:rFonts w:cs="Calibri"/>
                <w:sz w:val="20"/>
                <w:szCs w:val="20"/>
              </w:rPr>
            </w:pPr>
            <w:r>
              <w:rPr>
                <w:rFonts w:cs="Calibri"/>
                <w:sz w:val="20"/>
                <w:szCs w:val="20"/>
              </w:rPr>
              <w:t>132.223,94</w:t>
            </w:r>
          </w:p>
        </w:tc>
      </w:tr>
      <w:tr w:rsidR="008F0D85">
        <w:tc>
          <w:tcPr>
            <w:tcW w:w="226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2004.</w:t>
            </w:r>
          </w:p>
        </w:tc>
        <w:tc>
          <w:tcPr>
            <w:tcW w:w="212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TUČA</w:t>
            </w:r>
          </w:p>
        </w:tc>
        <w:tc>
          <w:tcPr>
            <w:tcW w:w="227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right"/>
              <w:rPr>
                <w:rFonts w:cs="Calibri"/>
                <w:sz w:val="20"/>
                <w:szCs w:val="20"/>
              </w:rPr>
            </w:pPr>
            <w:r>
              <w:rPr>
                <w:rFonts w:cs="Calibri"/>
                <w:sz w:val="20"/>
                <w:szCs w:val="20"/>
              </w:rPr>
              <w:t>1.351.913,50</w:t>
            </w:r>
          </w:p>
        </w:tc>
      </w:tr>
      <w:tr w:rsidR="008F0D85">
        <w:tc>
          <w:tcPr>
            <w:tcW w:w="226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2006.</w:t>
            </w:r>
          </w:p>
        </w:tc>
        <w:tc>
          <w:tcPr>
            <w:tcW w:w="212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KIŠA</w:t>
            </w:r>
          </w:p>
        </w:tc>
        <w:tc>
          <w:tcPr>
            <w:tcW w:w="227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right"/>
              <w:rPr>
                <w:rFonts w:cs="Calibri"/>
                <w:sz w:val="20"/>
                <w:szCs w:val="20"/>
              </w:rPr>
            </w:pPr>
            <w:r>
              <w:rPr>
                <w:rFonts w:cs="Calibri"/>
                <w:sz w:val="20"/>
                <w:szCs w:val="20"/>
              </w:rPr>
              <w:t>6.300,00</w:t>
            </w:r>
          </w:p>
        </w:tc>
      </w:tr>
      <w:tr w:rsidR="008F0D85">
        <w:tc>
          <w:tcPr>
            <w:tcW w:w="226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2006.</w:t>
            </w:r>
          </w:p>
        </w:tc>
        <w:tc>
          <w:tcPr>
            <w:tcW w:w="212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SUŠA</w:t>
            </w:r>
          </w:p>
        </w:tc>
        <w:tc>
          <w:tcPr>
            <w:tcW w:w="227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right"/>
              <w:rPr>
                <w:rFonts w:cs="Calibri"/>
                <w:sz w:val="20"/>
                <w:szCs w:val="20"/>
              </w:rPr>
            </w:pPr>
            <w:r>
              <w:rPr>
                <w:rFonts w:cs="Calibri"/>
                <w:sz w:val="20"/>
                <w:szCs w:val="20"/>
              </w:rPr>
              <w:t>1.325.109,00</w:t>
            </w:r>
          </w:p>
        </w:tc>
      </w:tr>
      <w:tr w:rsidR="008F0D85">
        <w:tc>
          <w:tcPr>
            <w:tcW w:w="226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2007.</w:t>
            </w:r>
          </w:p>
        </w:tc>
        <w:tc>
          <w:tcPr>
            <w:tcW w:w="212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SUŠA</w:t>
            </w:r>
          </w:p>
        </w:tc>
        <w:tc>
          <w:tcPr>
            <w:tcW w:w="227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right"/>
              <w:rPr>
                <w:rFonts w:cs="Calibri"/>
                <w:sz w:val="20"/>
                <w:szCs w:val="20"/>
              </w:rPr>
            </w:pPr>
            <w:r>
              <w:rPr>
                <w:rFonts w:cs="Calibri"/>
                <w:sz w:val="20"/>
                <w:szCs w:val="20"/>
              </w:rPr>
              <w:t>5.565.032,32</w:t>
            </w:r>
          </w:p>
        </w:tc>
      </w:tr>
      <w:tr w:rsidR="008F0D85">
        <w:tc>
          <w:tcPr>
            <w:tcW w:w="226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2009.</w:t>
            </w:r>
          </w:p>
        </w:tc>
        <w:tc>
          <w:tcPr>
            <w:tcW w:w="212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TUČA</w:t>
            </w:r>
          </w:p>
        </w:tc>
        <w:tc>
          <w:tcPr>
            <w:tcW w:w="227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right"/>
              <w:rPr>
                <w:rFonts w:cs="Calibri"/>
                <w:sz w:val="20"/>
                <w:szCs w:val="20"/>
              </w:rPr>
            </w:pPr>
            <w:r>
              <w:rPr>
                <w:rFonts w:cs="Calibri"/>
                <w:sz w:val="20"/>
                <w:szCs w:val="20"/>
              </w:rPr>
              <w:t>208.679,00</w:t>
            </w:r>
          </w:p>
        </w:tc>
      </w:tr>
      <w:tr w:rsidR="008F0D85">
        <w:tc>
          <w:tcPr>
            <w:tcW w:w="226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2011.</w:t>
            </w:r>
          </w:p>
        </w:tc>
        <w:tc>
          <w:tcPr>
            <w:tcW w:w="212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SUŠA</w:t>
            </w:r>
          </w:p>
        </w:tc>
        <w:tc>
          <w:tcPr>
            <w:tcW w:w="227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right"/>
              <w:rPr>
                <w:rFonts w:cs="Calibri"/>
                <w:sz w:val="20"/>
                <w:szCs w:val="20"/>
              </w:rPr>
            </w:pPr>
            <w:r>
              <w:rPr>
                <w:rFonts w:cs="Calibri"/>
                <w:sz w:val="20"/>
                <w:szCs w:val="20"/>
              </w:rPr>
              <w:t>7.924.341,67</w:t>
            </w:r>
          </w:p>
        </w:tc>
      </w:tr>
      <w:tr w:rsidR="008F0D85">
        <w:tc>
          <w:tcPr>
            <w:tcW w:w="226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2012.</w:t>
            </w:r>
          </w:p>
        </w:tc>
        <w:tc>
          <w:tcPr>
            <w:tcW w:w="212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MRAZ</w:t>
            </w:r>
          </w:p>
        </w:tc>
        <w:tc>
          <w:tcPr>
            <w:tcW w:w="227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right"/>
              <w:rPr>
                <w:rFonts w:cs="Calibri"/>
                <w:sz w:val="20"/>
                <w:szCs w:val="20"/>
              </w:rPr>
            </w:pPr>
            <w:r>
              <w:rPr>
                <w:rFonts w:cs="Calibri"/>
                <w:sz w:val="20"/>
                <w:szCs w:val="20"/>
              </w:rPr>
              <w:t>1.979.100,40</w:t>
            </w:r>
          </w:p>
        </w:tc>
      </w:tr>
      <w:tr w:rsidR="008F0D85">
        <w:tc>
          <w:tcPr>
            <w:tcW w:w="226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2014.</w:t>
            </w:r>
          </w:p>
        </w:tc>
        <w:tc>
          <w:tcPr>
            <w:tcW w:w="212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POPLAVA</w:t>
            </w:r>
          </w:p>
        </w:tc>
        <w:tc>
          <w:tcPr>
            <w:tcW w:w="227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right"/>
              <w:rPr>
                <w:rFonts w:cs="Calibri"/>
                <w:sz w:val="20"/>
                <w:szCs w:val="20"/>
              </w:rPr>
            </w:pPr>
            <w:r>
              <w:rPr>
                <w:rFonts w:cs="Calibri"/>
                <w:sz w:val="20"/>
                <w:szCs w:val="20"/>
              </w:rPr>
              <w:t>3.701.997,33</w:t>
            </w:r>
          </w:p>
        </w:tc>
      </w:tr>
      <w:tr w:rsidR="008F0D85">
        <w:tc>
          <w:tcPr>
            <w:tcW w:w="226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2016.</w:t>
            </w:r>
          </w:p>
        </w:tc>
        <w:tc>
          <w:tcPr>
            <w:tcW w:w="212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POPLAVA</w:t>
            </w:r>
          </w:p>
        </w:tc>
        <w:tc>
          <w:tcPr>
            <w:tcW w:w="227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right"/>
              <w:rPr>
                <w:rFonts w:cs="Calibri"/>
                <w:sz w:val="20"/>
                <w:szCs w:val="20"/>
              </w:rPr>
            </w:pPr>
            <w:r>
              <w:rPr>
                <w:rFonts w:cs="Calibri"/>
                <w:sz w:val="20"/>
                <w:szCs w:val="20"/>
              </w:rPr>
              <w:t>4.894.252,56</w:t>
            </w:r>
          </w:p>
        </w:tc>
      </w:tr>
      <w:tr w:rsidR="008F0D85">
        <w:tc>
          <w:tcPr>
            <w:tcW w:w="226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2017.</w:t>
            </w:r>
          </w:p>
        </w:tc>
        <w:tc>
          <w:tcPr>
            <w:tcW w:w="212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SUŠA</w:t>
            </w:r>
          </w:p>
        </w:tc>
        <w:tc>
          <w:tcPr>
            <w:tcW w:w="227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right"/>
              <w:rPr>
                <w:rFonts w:cs="Calibri"/>
                <w:sz w:val="20"/>
                <w:szCs w:val="20"/>
              </w:rPr>
            </w:pPr>
            <w:bookmarkStart w:id="258" w:name="_Hlk525555450"/>
            <w:bookmarkEnd w:id="258"/>
            <w:r>
              <w:rPr>
                <w:rFonts w:cs="Calibri"/>
                <w:sz w:val="20"/>
                <w:szCs w:val="20"/>
              </w:rPr>
              <w:t>7.687.210,99</w:t>
            </w:r>
          </w:p>
        </w:tc>
      </w:tr>
    </w:tbl>
    <w:p w:rsidR="008F0D85" w:rsidRDefault="008F0D85">
      <w:pPr>
        <w:keepNext/>
        <w:keepLines/>
        <w:spacing w:before="200" w:after="0"/>
        <w:outlineLvl w:val="2"/>
        <w:rPr>
          <w:b/>
          <w:bCs/>
          <w:sz w:val="20"/>
        </w:rPr>
      </w:pPr>
    </w:p>
    <w:p w:rsidR="008F0D85" w:rsidRDefault="00AE42A1">
      <w:pPr>
        <w:pStyle w:val="Naslov3"/>
      </w:pPr>
      <w:bookmarkStart w:id="259" w:name="_Toc514240139"/>
      <w:bookmarkStart w:id="260" w:name="_Toc516128242"/>
      <w:bookmarkStart w:id="261" w:name="_Toc527969352"/>
      <w:bookmarkEnd w:id="259"/>
      <w:bookmarkEnd w:id="260"/>
      <w:bookmarkEnd w:id="261"/>
      <w:r>
        <w:t>2.11.2. Uvedene mjere nakon događaja koji su uzrokovali veliku štetu</w:t>
      </w:r>
    </w:p>
    <w:p w:rsidR="008F0D85" w:rsidRDefault="008F0D85"/>
    <w:p w:rsidR="008F0D85" w:rsidRDefault="00AE42A1">
      <w:pPr>
        <w:rPr>
          <w:rFonts w:cs="Calibri"/>
          <w:szCs w:val="24"/>
        </w:rPr>
      </w:pPr>
      <w:r>
        <w:rPr>
          <w:rFonts w:cs="Calibri"/>
          <w:szCs w:val="24"/>
        </w:rPr>
        <w:t>U cilju održavanja poljoprivrednog zemljišta sposobnim za poljoprivrednu proizvodnju i sprečavanje nastanka štete na istom propisuju se sljedeće agrotehničke mjere:</w:t>
      </w:r>
    </w:p>
    <w:p w:rsidR="008F0D85" w:rsidRDefault="00AE42A1">
      <w:pPr>
        <w:numPr>
          <w:ilvl w:val="0"/>
          <w:numId w:val="11"/>
        </w:numPr>
        <w:spacing w:after="0"/>
        <w:contextualSpacing/>
        <w:rPr>
          <w:rFonts w:cs="Calibri"/>
          <w:szCs w:val="24"/>
          <w:lang w:val="en-US"/>
        </w:rPr>
      </w:pPr>
      <w:r>
        <w:rPr>
          <w:rFonts w:cs="Calibri"/>
          <w:szCs w:val="24"/>
          <w:lang w:val="en-US"/>
        </w:rPr>
        <w:t>minimalna razina obrade i održavanja poljoprivrednog zemljišta,</w:t>
      </w:r>
    </w:p>
    <w:p w:rsidR="008F0D85" w:rsidRDefault="00AE42A1">
      <w:pPr>
        <w:numPr>
          <w:ilvl w:val="0"/>
          <w:numId w:val="11"/>
        </w:numPr>
        <w:spacing w:after="0"/>
        <w:contextualSpacing/>
        <w:rPr>
          <w:rFonts w:cs="Calibri"/>
          <w:szCs w:val="24"/>
          <w:lang w:val="en-US"/>
        </w:rPr>
      </w:pPr>
      <w:r>
        <w:rPr>
          <w:rFonts w:cs="Calibri"/>
          <w:szCs w:val="24"/>
          <w:lang w:val="en-US"/>
        </w:rPr>
        <w:t>sprječavanje zakorovljenosti i obrastanja višegodišnjim raslinjem,</w:t>
      </w:r>
    </w:p>
    <w:p w:rsidR="008F0D85" w:rsidRDefault="00AE42A1">
      <w:pPr>
        <w:numPr>
          <w:ilvl w:val="0"/>
          <w:numId w:val="11"/>
        </w:numPr>
        <w:spacing w:after="0"/>
        <w:contextualSpacing/>
        <w:rPr>
          <w:rFonts w:cs="Calibri"/>
          <w:szCs w:val="24"/>
          <w:lang w:val="en-US"/>
        </w:rPr>
      </w:pPr>
      <w:r>
        <w:rPr>
          <w:rFonts w:cs="Calibri"/>
          <w:szCs w:val="24"/>
          <w:lang w:val="en-US"/>
        </w:rPr>
        <w:t>suzbijanje biljnih bolesti i štetnika,</w:t>
      </w:r>
    </w:p>
    <w:p w:rsidR="008F0D85" w:rsidRDefault="00AE42A1">
      <w:pPr>
        <w:numPr>
          <w:ilvl w:val="0"/>
          <w:numId w:val="11"/>
        </w:numPr>
        <w:spacing w:after="0"/>
        <w:contextualSpacing/>
        <w:rPr>
          <w:rFonts w:cs="Calibri"/>
          <w:szCs w:val="24"/>
          <w:lang w:val="en-US"/>
        </w:rPr>
      </w:pPr>
      <w:r>
        <w:rPr>
          <w:rFonts w:cs="Calibri"/>
          <w:szCs w:val="24"/>
          <w:lang w:val="en-US"/>
        </w:rPr>
        <w:t>korištenje i uništavanje biljnih ostataka,</w:t>
      </w:r>
    </w:p>
    <w:p w:rsidR="008F0D85" w:rsidRDefault="00AE42A1">
      <w:pPr>
        <w:numPr>
          <w:ilvl w:val="0"/>
          <w:numId w:val="11"/>
        </w:numPr>
        <w:spacing w:after="0"/>
        <w:contextualSpacing/>
        <w:rPr>
          <w:rFonts w:cs="Calibri"/>
          <w:szCs w:val="24"/>
          <w:lang w:val="en-US"/>
        </w:rPr>
      </w:pPr>
      <w:r>
        <w:rPr>
          <w:rFonts w:cs="Calibri"/>
          <w:szCs w:val="24"/>
          <w:lang w:val="en-US"/>
        </w:rPr>
        <w:t>održavanje organske tvari u tlu,</w:t>
      </w:r>
    </w:p>
    <w:p w:rsidR="008F0D85" w:rsidRDefault="00AE42A1">
      <w:pPr>
        <w:numPr>
          <w:ilvl w:val="0"/>
          <w:numId w:val="11"/>
        </w:numPr>
        <w:spacing w:after="0"/>
        <w:contextualSpacing/>
        <w:rPr>
          <w:rFonts w:cs="Calibri"/>
          <w:szCs w:val="24"/>
          <w:lang w:val="en-US"/>
        </w:rPr>
      </w:pPr>
      <w:r>
        <w:rPr>
          <w:rFonts w:cs="Calibri"/>
          <w:szCs w:val="24"/>
          <w:lang w:val="en-US"/>
        </w:rPr>
        <w:t>održavanje</w:t>
      </w:r>
      <w:r>
        <w:rPr>
          <w:rFonts w:cs="Calibri"/>
          <w:szCs w:val="24"/>
          <w:lang w:val="en-US"/>
        </w:rPr>
        <w:t xml:space="preserve"> povoljne strukture tla,</w:t>
      </w:r>
    </w:p>
    <w:p w:rsidR="008F0D85" w:rsidRDefault="00AE42A1">
      <w:pPr>
        <w:numPr>
          <w:ilvl w:val="0"/>
          <w:numId w:val="11"/>
        </w:numPr>
        <w:spacing w:after="0"/>
        <w:contextualSpacing/>
        <w:rPr>
          <w:rFonts w:cs="Calibri"/>
          <w:szCs w:val="24"/>
          <w:lang w:val="en-US"/>
        </w:rPr>
      </w:pPr>
      <w:r>
        <w:rPr>
          <w:rFonts w:cs="Calibri"/>
          <w:szCs w:val="24"/>
          <w:lang w:val="en-US"/>
        </w:rPr>
        <w:t>zaštita od erozije.</w:t>
      </w:r>
    </w:p>
    <w:p w:rsidR="008F0D85" w:rsidRDefault="008F0D85">
      <w:pPr>
        <w:spacing w:after="0"/>
        <w:contextualSpacing/>
        <w:rPr>
          <w:rFonts w:cs="Calibri"/>
          <w:szCs w:val="24"/>
          <w:lang w:val="en-US"/>
        </w:rPr>
      </w:pPr>
    </w:p>
    <w:p w:rsidR="008F0D85" w:rsidRDefault="008F0D85">
      <w:pPr>
        <w:spacing w:after="0"/>
        <w:contextualSpacing/>
        <w:rPr>
          <w:rFonts w:cs="Calibri"/>
          <w:szCs w:val="24"/>
          <w:lang w:val="en-US"/>
        </w:rPr>
      </w:pPr>
    </w:p>
    <w:p w:rsidR="008F0D85" w:rsidRDefault="008F0D85">
      <w:pPr>
        <w:spacing w:after="0"/>
        <w:contextualSpacing/>
        <w:rPr>
          <w:rFonts w:cs="Calibri"/>
          <w:szCs w:val="24"/>
          <w:lang w:val="en-US"/>
        </w:rPr>
      </w:pPr>
    </w:p>
    <w:p w:rsidR="008F0D85" w:rsidRDefault="008F0D85">
      <w:pPr>
        <w:spacing w:after="0"/>
        <w:contextualSpacing/>
        <w:rPr>
          <w:rFonts w:cs="Calibri"/>
          <w:szCs w:val="24"/>
          <w:lang w:val="en-US"/>
        </w:rPr>
      </w:pPr>
    </w:p>
    <w:p w:rsidR="008F0D85" w:rsidRDefault="008F0D85">
      <w:pPr>
        <w:spacing w:after="0"/>
        <w:contextualSpacing/>
        <w:rPr>
          <w:rFonts w:cs="Calibri"/>
          <w:szCs w:val="24"/>
          <w:lang w:val="en-US"/>
        </w:rPr>
      </w:pPr>
    </w:p>
    <w:p w:rsidR="008F0D85" w:rsidRDefault="008F0D85">
      <w:pPr>
        <w:spacing w:after="0"/>
        <w:contextualSpacing/>
        <w:rPr>
          <w:rFonts w:cs="Calibri"/>
          <w:szCs w:val="24"/>
          <w:lang w:val="en-US"/>
        </w:rPr>
      </w:pPr>
    </w:p>
    <w:p w:rsidR="008F0D85" w:rsidRDefault="008F0D85">
      <w:pPr>
        <w:spacing w:after="0"/>
        <w:contextualSpacing/>
        <w:rPr>
          <w:rFonts w:cs="Calibri"/>
          <w:szCs w:val="24"/>
          <w:lang w:val="en-US"/>
        </w:rPr>
      </w:pPr>
    </w:p>
    <w:p w:rsidR="008F0D85" w:rsidRDefault="008F0D85">
      <w:pPr>
        <w:spacing w:after="0"/>
        <w:contextualSpacing/>
        <w:rPr>
          <w:rFonts w:cs="Calibri"/>
          <w:szCs w:val="24"/>
          <w:lang w:val="en-US"/>
        </w:rPr>
      </w:pPr>
    </w:p>
    <w:p w:rsidR="008F0D85" w:rsidRDefault="008F0D85">
      <w:pPr>
        <w:spacing w:after="0"/>
        <w:contextualSpacing/>
        <w:rPr>
          <w:rFonts w:cs="Calibri"/>
          <w:szCs w:val="24"/>
          <w:lang w:val="en-US"/>
        </w:rPr>
      </w:pPr>
    </w:p>
    <w:p w:rsidR="008F0D85" w:rsidRDefault="008F0D85">
      <w:pPr>
        <w:spacing w:after="0"/>
        <w:contextualSpacing/>
        <w:rPr>
          <w:rFonts w:cs="Calibri"/>
          <w:szCs w:val="24"/>
          <w:lang w:val="en-US"/>
        </w:rPr>
      </w:pPr>
    </w:p>
    <w:p w:rsidR="008F0D85" w:rsidRDefault="00AE42A1">
      <w:pPr>
        <w:pStyle w:val="Naslov2"/>
      </w:pPr>
      <w:bookmarkStart w:id="262" w:name="_Toc512434585"/>
      <w:bookmarkStart w:id="263" w:name="_Toc514240140"/>
      <w:bookmarkStart w:id="264" w:name="_Toc516128243"/>
      <w:bookmarkStart w:id="265" w:name="_Toc527969353"/>
      <w:bookmarkEnd w:id="262"/>
      <w:bookmarkEnd w:id="263"/>
      <w:bookmarkEnd w:id="264"/>
      <w:bookmarkEnd w:id="265"/>
      <w:r>
        <w:lastRenderedPageBreak/>
        <w:t>2.12. Pokazatelji operativne sposobnosti na području Općine</w:t>
      </w:r>
    </w:p>
    <w:p w:rsidR="008F0D85" w:rsidRDefault="008F0D85"/>
    <w:p w:rsidR="008F0D85" w:rsidRDefault="00AE42A1">
      <w:pPr>
        <w:rPr>
          <w:rFonts w:cs="Calibri"/>
          <w:szCs w:val="24"/>
        </w:rPr>
      </w:pPr>
      <w:r>
        <w:rPr>
          <w:rFonts w:cs="Calibri"/>
          <w:szCs w:val="24"/>
        </w:rPr>
        <w:t xml:space="preserve">Operativne snage sustava civilne zaštite su svi prikladni i raspoloživi resursi operativnih snaga koji su namijenjeni provođenju mjera civilne zaštite. </w:t>
      </w:r>
    </w:p>
    <w:p w:rsidR="008F0D85" w:rsidRDefault="00AE42A1">
      <w:pPr>
        <w:rPr>
          <w:rFonts w:cs="Calibri"/>
          <w:szCs w:val="24"/>
        </w:rPr>
      </w:pPr>
      <w:r>
        <w:rPr>
          <w:rFonts w:cs="Calibri"/>
          <w:szCs w:val="24"/>
        </w:rPr>
        <w:t>Sukladno odredbama članka 20. stavka 1. Zakona o sustavu civilne zaštite („Narodne Novine“ br. 82/15) m</w:t>
      </w:r>
      <w:r>
        <w:rPr>
          <w:rFonts w:cs="Calibri"/>
          <w:szCs w:val="24"/>
        </w:rPr>
        <w:t xml:space="preserve">jere i aktivnosti u sustavu civilne zaštite provode sljedeće operativne snage sustava civilne zaštite: </w:t>
      </w:r>
    </w:p>
    <w:p w:rsidR="008F0D85" w:rsidRDefault="00AE42A1">
      <w:pPr>
        <w:numPr>
          <w:ilvl w:val="0"/>
          <w:numId w:val="12"/>
        </w:numPr>
        <w:contextualSpacing/>
        <w:rPr>
          <w:rFonts w:cs="Calibri"/>
          <w:szCs w:val="24"/>
          <w:lang w:val="en-US"/>
        </w:rPr>
      </w:pPr>
      <w:r>
        <w:rPr>
          <w:rFonts w:cs="Calibri"/>
          <w:szCs w:val="24"/>
          <w:lang w:val="en-US"/>
        </w:rPr>
        <w:t xml:space="preserve">stožeri civilne zaštite, </w:t>
      </w:r>
    </w:p>
    <w:p w:rsidR="008F0D85" w:rsidRDefault="00AE42A1">
      <w:pPr>
        <w:numPr>
          <w:ilvl w:val="0"/>
          <w:numId w:val="12"/>
        </w:numPr>
        <w:contextualSpacing/>
        <w:rPr>
          <w:rFonts w:cs="Calibri"/>
          <w:szCs w:val="24"/>
          <w:lang w:val="en-US"/>
        </w:rPr>
      </w:pPr>
      <w:r>
        <w:rPr>
          <w:rFonts w:cs="Calibri"/>
          <w:szCs w:val="24"/>
          <w:lang w:val="en-US"/>
        </w:rPr>
        <w:t xml:space="preserve">operativne snage vatrogastva, </w:t>
      </w:r>
    </w:p>
    <w:p w:rsidR="008F0D85" w:rsidRDefault="00AE42A1">
      <w:pPr>
        <w:numPr>
          <w:ilvl w:val="0"/>
          <w:numId w:val="12"/>
        </w:numPr>
        <w:contextualSpacing/>
        <w:rPr>
          <w:rFonts w:cs="Calibri"/>
          <w:szCs w:val="24"/>
          <w:lang w:val="en-US"/>
        </w:rPr>
      </w:pPr>
      <w:r>
        <w:rPr>
          <w:rFonts w:cs="Calibri"/>
          <w:szCs w:val="24"/>
          <w:lang w:val="en-US"/>
        </w:rPr>
        <w:t>operativne snage Hrvatskog Crvenog križa,</w:t>
      </w:r>
    </w:p>
    <w:p w:rsidR="008F0D85" w:rsidRDefault="00AE42A1">
      <w:pPr>
        <w:numPr>
          <w:ilvl w:val="0"/>
          <w:numId w:val="12"/>
        </w:numPr>
        <w:contextualSpacing/>
        <w:rPr>
          <w:rFonts w:cs="Calibri"/>
          <w:szCs w:val="24"/>
          <w:lang w:val="en-US"/>
        </w:rPr>
      </w:pPr>
      <w:r>
        <w:rPr>
          <w:rFonts w:cs="Calibri"/>
          <w:szCs w:val="24"/>
          <w:lang w:val="en-US"/>
        </w:rPr>
        <w:t xml:space="preserve">operativne snage Hrvatske gorske službe spašavanja, </w:t>
      </w:r>
    </w:p>
    <w:p w:rsidR="008F0D85" w:rsidRDefault="00AE42A1">
      <w:pPr>
        <w:numPr>
          <w:ilvl w:val="0"/>
          <w:numId w:val="12"/>
        </w:numPr>
        <w:contextualSpacing/>
        <w:rPr>
          <w:rFonts w:cs="Calibri"/>
          <w:szCs w:val="24"/>
          <w:lang w:val="en-US"/>
        </w:rPr>
      </w:pPr>
      <w:r>
        <w:rPr>
          <w:rFonts w:cs="Calibri"/>
          <w:szCs w:val="24"/>
          <w:lang w:val="en-US"/>
        </w:rPr>
        <w:t xml:space="preserve">udruge, </w:t>
      </w:r>
    </w:p>
    <w:p w:rsidR="008F0D85" w:rsidRDefault="00AE42A1">
      <w:pPr>
        <w:numPr>
          <w:ilvl w:val="0"/>
          <w:numId w:val="12"/>
        </w:numPr>
        <w:contextualSpacing/>
        <w:rPr>
          <w:rFonts w:cs="Calibri"/>
          <w:szCs w:val="24"/>
          <w:lang w:val="en-US"/>
        </w:rPr>
      </w:pPr>
      <w:r>
        <w:rPr>
          <w:rFonts w:cs="Calibri"/>
          <w:szCs w:val="24"/>
          <w:lang w:val="en-US"/>
        </w:rPr>
        <w:t xml:space="preserve">postrojbe i povjerenici civilne zaštite, </w:t>
      </w:r>
    </w:p>
    <w:p w:rsidR="008F0D85" w:rsidRDefault="00AE42A1">
      <w:pPr>
        <w:numPr>
          <w:ilvl w:val="0"/>
          <w:numId w:val="12"/>
        </w:numPr>
        <w:contextualSpacing/>
        <w:rPr>
          <w:rFonts w:cs="Calibri"/>
          <w:szCs w:val="24"/>
          <w:lang w:val="en-US"/>
        </w:rPr>
      </w:pPr>
      <w:r>
        <w:rPr>
          <w:rFonts w:cs="Calibri"/>
          <w:szCs w:val="24"/>
          <w:lang w:val="en-US"/>
        </w:rPr>
        <w:t xml:space="preserve">koordinatori na lokaciji, </w:t>
      </w:r>
    </w:p>
    <w:p w:rsidR="008F0D85" w:rsidRDefault="00AE42A1">
      <w:pPr>
        <w:numPr>
          <w:ilvl w:val="0"/>
          <w:numId w:val="12"/>
        </w:numPr>
        <w:contextualSpacing/>
        <w:rPr>
          <w:rFonts w:cs="Calibri"/>
          <w:szCs w:val="24"/>
          <w:lang w:val="en-US"/>
        </w:rPr>
      </w:pPr>
      <w:r>
        <w:rPr>
          <w:rFonts w:cs="Calibri"/>
          <w:szCs w:val="24"/>
          <w:lang w:val="en-US"/>
        </w:rPr>
        <w:t>pravne osobe u sustavu civilne zaštite.</w:t>
      </w:r>
    </w:p>
    <w:p w:rsidR="008F0D85" w:rsidRDefault="008F0D85">
      <w:pPr>
        <w:contextualSpacing/>
        <w:rPr>
          <w:rFonts w:cs="Calibri"/>
          <w:szCs w:val="24"/>
          <w:lang w:val="en-US"/>
        </w:rPr>
      </w:pPr>
    </w:p>
    <w:p w:rsidR="008F0D85" w:rsidRDefault="00AE42A1">
      <w:pPr>
        <w:contextualSpacing/>
        <w:rPr>
          <w:rFonts w:cs="Calibri"/>
          <w:szCs w:val="24"/>
          <w:lang w:val="en-US"/>
        </w:rPr>
      </w:pPr>
      <w:r>
        <w:rPr>
          <w:rFonts w:cs="Calibri"/>
          <w:szCs w:val="24"/>
          <w:lang w:val="en-US"/>
        </w:rPr>
        <w:t xml:space="preserve">Stožer civilne zaštite Općine Kloštar Podravski osnovan je Odlukom načelnika Općine (KLASA: 810-01/16-01/02, URBROJ: </w:t>
      </w:r>
      <w:r>
        <w:rPr>
          <w:rFonts w:cs="Calibri"/>
          <w:szCs w:val="24"/>
          <w:lang w:val="en-US"/>
        </w:rPr>
        <w:t>2137/16-16-1, Kloštar Podravski, 26.10.2016.god.) o osnivanju Stožera civilne zaštite Općine Kloštar Podravski.</w:t>
      </w:r>
    </w:p>
    <w:p w:rsidR="008F0D85" w:rsidRDefault="008F0D85">
      <w:pPr>
        <w:contextualSpacing/>
        <w:rPr>
          <w:rFonts w:cs="Calibri"/>
          <w:szCs w:val="24"/>
          <w:lang w:val="en-US"/>
        </w:rPr>
      </w:pPr>
    </w:p>
    <w:p w:rsidR="008F0D85" w:rsidRDefault="00AE42A1">
      <w:pPr>
        <w:contextualSpacing/>
        <w:rPr>
          <w:rFonts w:cs="Calibri"/>
          <w:szCs w:val="24"/>
          <w:lang w:val="en-US"/>
        </w:rPr>
      </w:pPr>
      <w:r>
        <w:rPr>
          <w:rFonts w:cs="Calibri"/>
          <w:szCs w:val="24"/>
          <w:lang w:val="en-US"/>
        </w:rPr>
        <w:t xml:space="preserve">Postrojba civilne zaštite Općine Kloštar Podravski osnovana je Odlukom Općinskog vijeća (KLASA: 810-05/11-01/01, URBROJ: 2137/16-11-1, Kloštar </w:t>
      </w:r>
      <w:r>
        <w:rPr>
          <w:rFonts w:cs="Calibri"/>
          <w:szCs w:val="24"/>
          <w:lang w:val="en-US"/>
        </w:rPr>
        <w:t>Podravski, 28.02.2011.god.) o osnivanju i ustroju postrojbi civilne zaštite Općine Kloštar Podravski.</w:t>
      </w:r>
    </w:p>
    <w:p w:rsidR="008F0D85" w:rsidRDefault="008F0D85">
      <w:pPr>
        <w:contextualSpacing/>
        <w:rPr>
          <w:rFonts w:cs="Calibri"/>
          <w:szCs w:val="24"/>
          <w:lang w:val="en-US"/>
        </w:rPr>
      </w:pPr>
    </w:p>
    <w:p w:rsidR="008F0D85" w:rsidRDefault="00AE42A1">
      <w:pPr>
        <w:contextualSpacing/>
        <w:rPr>
          <w:rFonts w:cs="Calibri"/>
          <w:szCs w:val="24"/>
          <w:lang w:val="en-US"/>
        </w:rPr>
      </w:pPr>
      <w:r>
        <w:rPr>
          <w:rFonts w:cs="Calibri"/>
          <w:szCs w:val="24"/>
          <w:lang w:val="en-US"/>
        </w:rPr>
        <w:t>Pravne osobe od interesa za sustav civilne zaštite Općine Kloštar Podravski određene su Odlukom Općinskog vijeća (KLASA: 361-02/16-01/01, URBROJ: 2137/16</w:t>
      </w:r>
      <w:r>
        <w:rPr>
          <w:rFonts w:cs="Calibri"/>
          <w:szCs w:val="24"/>
          <w:lang w:val="en-US"/>
        </w:rPr>
        <w:t>-16-4, Kloštar Podravski, 15.11.2016.god.) o određivanju operativnih snaga i pravnih osoba od interesa za sustav civilne zaštite na području Općine Kloštar Podravski.</w:t>
      </w:r>
    </w:p>
    <w:p w:rsidR="008F0D85" w:rsidRDefault="008F0D85">
      <w:pPr>
        <w:contextualSpacing/>
        <w:rPr>
          <w:rFonts w:cs="Calibri"/>
          <w:szCs w:val="24"/>
          <w:lang w:val="en-US"/>
        </w:rPr>
      </w:pPr>
    </w:p>
    <w:p w:rsidR="008F0D85" w:rsidRDefault="00AE42A1">
      <w:pPr>
        <w:spacing w:after="0"/>
        <w:contextualSpacing/>
        <w:rPr>
          <w:rFonts w:cs="Calibri"/>
          <w:szCs w:val="24"/>
          <w:lang w:val="en-US"/>
        </w:rPr>
      </w:pPr>
      <w:r>
        <w:rPr>
          <w:rFonts w:cs="Calibri"/>
          <w:szCs w:val="24"/>
          <w:lang w:val="en-US"/>
        </w:rPr>
        <w:t>Povjerenici civilne zaštite Općine Kloštar Podravski imenovani su Odlukom načelnika Opći</w:t>
      </w:r>
      <w:r>
        <w:rPr>
          <w:rFonts w:cs="Calibri"/>
          <w:szCs w:val="24"/>
          <w:lang w:val="en-US"/>
        </w:rPr>
        <w:t xml:space="preserve">ne (KLASA: 351-01/15-1/06, URBROJ: 2137/16-15-1, Kloštar Podravski, 02.07.2015.god.) o imenovanju povjerenika civilne zaštite na području Općine Kloštar Podravski. </w:t>
      </w:r>
    </w:p>
    <w:p w:rsidR="008F0D85" w:rsidRDefault="008F0D85">
      <w:pPr>
        <w:spacing w:after="0"/>
        <w:contextualSpacing/>
        <w:rPr>
          <w:rFonts w:cs="Calibri"/>
          <w:szCs w:val="24"/>
          <w:lang w:val="en-US"/>
        </w:rPr>
      </w:pPr>
    </w:p>
    <w:p w:rsidR="008F0D85" w:rsidRDefault="00AE42A1">
      <w:r>
        <w:t xml:space="preserve">Koordinatori na lokaciji za područje Općine nisu imenovani. </w:t>
      </w:r>
    </w:p>
    <w:p w:rsidR="008F0D85" w:rsidRDefault="008F0D85">
      <w:pPr>
        <w:contextualSpacing/>
        <w:rPr>
          <w:rFonts w:cs="Calibri"/>
          <w:szCs w:val="24"/>
          <w:lang w:val="en-US"/>
        </w:rPr>
      </w:pPr>
    </w:p>
    <w:p w:rsidR="008F0D85" w:rsidRDefault="008F0D85">
      <w:pPr>
        <w:spacing w:after="0"/>
        <w:contextualSpacing/>
        <w:rPr>
          <w:rFonts w:cs="Calibri"/>
          <w:szCs w:val="24"/>
          <w:lang w:val="en-US"/>
        </w:rPr>
      </w:pPr>
    </w:p>
    <w:p w:rsidR="008F0D85" w:rsidRDefault="008F0D85">
      <w:pPr>
        <w:spacing w:after="0"/>
        <w:contextualSpacing/>
        <w:rPr>
          <w:rFonts w:cs="Calibri"/>
          <w:szCs w:val="24"/>
          <w:lang w:val="en-US"/>
        </w:rPr>
      </w:pPr>
    </w:p>
    <w:p w:rsidR="008F0D85" w:rsidRDefault="008F0D85">
      <w:pPr>
        <w:spacing w:after="0"/>
        <w:contextualSpacing/>
        <w:rPr>
          <w:rFonts w:cs="Calibri"/>
          <w:szCs w:val="24"/>
          <w:lang w:val="en-US"/>
        </w:rPr>
      </w:pPr>
    </w:p>
    <w:p w:rsidR="008F0D85" w:rsidRDefault="00AE42A1">
      <w:pPr>
        <w:pStyle w:val="Naslov3"/>
      </w:pPr>
      <w:bookmarkStart w:id="266" w:name="_Toc512434586"/>
      <w:bookmarkStart w:id="267" w:name="_Toc514240141"/>
      <w:bookmarkStart w:id="268" w:name="_Toc516128244"/>
      <w:bookmarkStart w:id="269" w:name="_Toc527969354"/>
      <w:bookmarkEnd w:id="266"/>
      <w:bookmarkEnd w:id="267"/>
      <w:bookmarkEnd w:id="268"/>
      <w:bookmarkEnd w:id="269"/>
      <w:r>
        <w:lastRenderedPageBreak/>
        <w:t>2.12.1. Popis operativnih</w:t>
      </w:r>
      <w:r>
        <w:t xml:space="preserve"> snaga koje djeluju na području Općine</w:t>
      </w:r>
    </w:p>
    <w:p w:rsidR="008F0D85" w:rsidRDefault="008F0D85">
      <w:pPr>
        <w:rPr>
          <w:rFonts w:cs="Calibri"/>
          <w:szCs w:val="24"/>
        </w:rPr>
      </w:pPr>
    </w:p>
    <w:p w:rsidR="008F0D85" w:rsidRDefault="00AE42A1">
      <w:pPr>
        <w:numPr>
          <w:ilvl w:val="0"/>
          <w:numId w:val="13"/>
        </w:numPr>
        <w:contextualSpacing/>
        <w:rPr>
          <w:rFonts w:cs="Calibri"/>
          <w:szCs w:val="24"/>
          <w:lang w:val="en-US"/>
        </w:rPr>
      </w:pPr>
      <w:r>
        <w:rPr>
          <w:rFonts w:cs="Calibri"/>
          <w:szCs w:val="24"/>
          <w:lang w:val="en-US"/>
        </w:rPr>
        <w:t>Stožer civilne zaštite Općine Kloštar Podravski</w:t>
      </w:r>
    </w:p>
    <w:p w:rsidR="008F0D85" w:rsidRDefault="00AE42A1">
      <w:pPr>
        <w:numPr>
          <w:ilvl w:val="0"/>
          <w:numId w:val="13"/>
        </w:numPr>
        <w:contextualSpacing/>
        <w:rPr>
          <w:rFonts w:cs="Calibri"/>
          <w:szCs w:val="24"/>
          <w:lang w:val="en-US"/>
        </w:rPr>
      </w:pPr>
      <w:r>
        <w:rPr>
          <w:rFonts w:cs="Calibri"/>
          <w:szCs w:val="24"/>
          <w:lang w:val="en-US"/>
        </w:rPr>
        <w:t>Postrojba civilne zaštite opće namjene Općine Kloštar Podravski</w:t>
      </w:r>
    </w:p>
    <w:p w:rsidR="008F0D85" w:rsidRDefault="00AE42A1">
      <w:pPr>
        <w:numPr>
          <w:ilvl w:val="0"/>
          <w:numId w:val="13"/>
        </w:numPr>
        <w:contextualSpacing/>
        <w:rPr>
          <w:rFonts w:cs="Calibri"/>
          <w:szCs w:val="24"/>
          <w:lang w:val="en-US"/>
        </w:rPr>
      </w:pPr>
      <w:r>
        <w:rPr>
          <w:rFonts w:cs="Calibri"/>
          <w:szCs w:val="24"/>
          <w:lang w:val="en-US"/>
        </w:rPr>
        <w:t>Povjerenici civilne zaštite i njihovi zamjenici</w:t>
      </w:r>
    </w:p>
    <w:p w:rsidR="008F0D85" w:rsidRDefault="008F0D85">
      <w:pPr>
        <w:ind w:left="720"/>
        <w:contextualSpacing/>
        <w:rPr>
          <w:rFonts w:cs="Calibri"/>
          <w:szCs w:val="24"/>
          <w:lang w:val="en-US"/>
        </w:rPr>
      </w:pPr>
    </w:p>
    <w:p w:rsidR="008F0D85" w:rsidRDefault="00AE42A1">
      <w:pPr>
        <w:numPr>
          <w:ilvl w:val="0"/>
          <w:numId w:val="13"/>
        </w:numPr>
        <w:contextualSpacing/>
        <w:rPr>
          <w:rFonts w:cs="Calibri"/>
          <w:szCs w:val="24"/>
          <w:lang w:val="en-US"/>
        </w:rPr>
      </w:pPr>
      <w:r>
        <w:rPr>
          <w:rFonts w:cs="Calibri"/>
          <w:szCs w:val="24"/>
          <w:lang w:val="en-US"/>
        </w:rPr>
        <w:t>Pravne osobe od interesa za sustav civilne zaštite na p</w:t>
      </w:r>
      <w:r>
        <w:rPr>
          <w:rFonts w:cs="Calibri"/>
          <w:szCs w:val="24"/>
          <w:lang w:val="en-US"/>
        </w:rPr>
        <w:t>odručju Općine Kloštar Podravski</w:t>
      </w:r>
    </w:p>
    <w:p w:rsidR="008F0D85" w:rsidRDefault="00AE42A1">
      <w:pPr>
        <w:numPr>
          <w:ilvl w:val="0"/>
          <w:numId w:val="14"/>
        </w:numPr>
        <w:contextualSpacing/>
        <w:rPr>
          <w:rFonts w:cs="Calibri"/>
          <w:szCs w:val="24"/>
          <w:lang w:val="en-US"/>
        </w:rPr>
      </w:pPr>
      <w:r>
        <w:rPr>
          <w:rFonts w:cs="Calibri"/>
          <w:szCs w:val="24"/>
          <w:lang w:val="en-US"/>
        </w:rPr>
        <w:t>Stožer civilne zaštite Općine Kloštar Podravski</w:t>
      </w:r>
    </w:p>
    <w:p w:rsidR="008F0D85" w:rsidRDefault="00AE42A1">
      <w:pPr>
        <w:numPr>
          <w:ilvl w:val="0"/>
          <w:numId w:val="14"/>
        </w:numPr>
        <w:contextualSpacing/>
        <w:rPr>
          <w:rFonts w:cs="Calibri"/>
          <w:szCs w:val="24"/>
          <w:lang w:val="en-US"/>
        </w:rPr>
      </w:pPr>
      <w:r>
        <w:rPr>
          <w:rFonts w:cs="Calibri"/>
          <w:szCs w:val="24"/>
          <w:lang w:val="en-US"/>
        </w:rPr>
        <w:t>Postrojba civilne zaštite opće namjene Općine Kloštar Podravski</w:t>
      </w:r>
    </w:p>
    <w:p w:rsidR="008F0D85" w:rsidRDefault="00AE42A1">
      <w:pPr>
        <w:numPr>
          <w:ilvl w:val="0"/>
          <w:numId w:val="14"/>
        </w:numPr>
        <w:contextualSpacing/>
        <w:rPr>
          <w:rFonts w:cs="Calibri"/>
          <w:szCs w:val="24"/>
          <w:lang w:val="en-US"/>
        </w:rPr>
      </w:pPr>
      <w:r>
        <w:rPr>
          <w:rFonts w:cs="Calibri"/>
          <w:szCs w:val="24"/>
          <w:lang w:val="en-US"/>
        </w:rPr>
        <w:t>Vatrogasna zajednica Općine Kloštar Podravski</w:t>
      </w:r>
    </w:p>
    <w:p w:rsidR="008F0D85" w:rsidRDefault="00AE42A1">
      <w:pPr>
        <w:numPr>
          <w:ilvl w:val="0"/>
          <w:numId w:val="14"/>
        </w:numPr>
        <w:contextualSpacing/>
        <w:rPr>
          <w:rFonts w:cs="Calibri"/>
          <w:szCs w:val="24"/>
          <w:lang w:val="en-US"/>
        </w:rPr>
      </w:pPr>
      <w:r>
        <w:rPr>
          <w:rFonts w:cs="Calibri"/>
          <w:szCs w:val="24"/>
          <w:lang w:val="en-US"/>
        </w:rPr>
        <w:t>DVD Kloštar Podravski</w:t>
      </w:r>
    </w:p>
    <w:p w:rsidR="008F0D85" w:rsidRDefault="00AE42A1">
      <w:pPr>
        <w:numPr>
          <w:ilvl w:val="0"/>
          <w:numId w:val="14"/>
        </w:numPr>
        <w:contextualSpacing/>
        <w:rPr>
          <w:rFonts w:cs="Calibri"/>
          <w:szCs w:val="24"/>
          <w:lang w:val="en-US"/>
        </w:rPr>
      </w:pPr>
      <w:r>
        <w:rPr>
          <w:rFonts w:cs="Calibri"/>
          <w:szCs w:val="24"/>
          <w:lang w:val="en-US"/>
        </w:rPr>
        <w:t>DVD Prugovac</w:t>
      </w:r>
    </w:p>
    <w:p w:rsidR="008F0D85" w:rsidRDefault="00AE42A1">
      <w:pPr>
        <w:numPr>
          <w:ilvl w:val="0"/>
          <w:numId w:val="14"/>
        </w:numPr>
        <w:contextualSpacing/>
        <w:rPr>
          <w:rFonts w:cs="Calibri"/>
          <w:szCs w:val="24"/>
          <w:lang w:val="en-US"/>
        </w:rPr>
      </w:pPr>
      <w:r>
        <w:rPr>
          <w:rFonts w:cs="Calibri"/>
          <w:szCs w:val="24"/>
          <w:lang w:val="en-US"/>
        </w:rPr>
        <w:t>DVD Kozarevac</w:t>
      </w:r>
    </w:p>
    <w:p w:rsidR="008F0D85" w:rsidRDefault="00AE42A1">
      <w:pPr>
        <w:numPr>
          <w:ilvl w:val="0"/>
          <w:numId w:val="14"/>
        </w:numPr>
        <w:contextualSpacing/>
        <w:rPr>
          <w:rFonts w:cs="Calibri"/>
          <w:szCs w:val="24"/>
          <w:lang w:val="en-US"/>
        </w:rPr>
      </w:pPr>
      <w:r>
        <w:rPr>
          <w:rFonts w:cs="Calibri"/>
          <w:szCs w:val="24"/>
          <w:lang w:val="en-US"/>
        </w:rPr>
        <w:t xml:space="preserve">Hrvatska </w:t>
      </w:r>
      <w:r>
        <w:rPr>
          <w:rFonts w:cs="Calibri"/>
          <w:szCs w:val="24"/>
          <w:lang w:val="en-US"/>
        </w:rPr>
        <w:t>gorska služba spašavanja – Stanica Koprivnica</w:t>
      </w:r>
    </w:p>
    <w:p w:rsidR="008F0D85" w:rsidRDefault="00AE42A1">
      <w:pPr>
        <w:numPr>
          <w:ilvl w:val="0"/>
          <w:numId w:val="14"/>
        </w:numPr>
        <w:contextualSpacing/>
        <w:rPr>
          <w:rFonts w:cs="Calibri"/>
          <w:szCs w:val="24"/>
          <w:lang w:val="en-US"/>
        </w:rPr>
      </w:pPr>
      <w:r>
        <w:rPr>
          <w:rFonts w:cs="Calibri"/>
          <w:szCs w:val="24"/>
          <w:lang w:val="en-US"/>
        </w:rPr>
        <w:t>Hrvatski – crveni križ – Gradsko društvo Crvenog križa Đurđevac,</w:t>
      </w:r>
    </w:p>
    <w:p w:rsidR="008F0D85" w:rsidRDefault="00AE42A1">
      <w:pPr>
        <w:numPr>
          <w:ilvl w:val="0"/>
          <w:numId w:val="14"/>
        </w:numPr>
        <w:contextualSpacing/>
        <w:rPr>
          <w:rFonts w:cs="Calibri"/>
          <w:b/>
          <w:szCs w:val="24"/>
          <w:lang w:val="en-US"/>
        </w:rPr>
      </w:pPr>
      <w:r>
        <w:rPr>
          <w:rFonts w:cs="Calibri"/>
          <w:b/>
          <w:szCs w:val="24"/>
          <w:lang w:val="en-US"/>
        </w:rPr>
        <w:t>KOMUNALNO KP d.o.o.</w:t>
      </w:r>
    </w:p>
    <w:p w:rsidR="008F0D85" w:rsidRDefault="00AE42A1">
      <w:pPr>
        <w:numPr>
          <w:ilvl w:val="0"/>
          <w:numId w:val="14"/>
        </w:numPr>
        <w:contextualSpacing/>
        <w:rPr>
          <w:rFonts w:cs="Calibri"/>
          <w:szCs w:val="24"/>
          <w:lang w:val="en-US"/>
        </w:rPr>
      </w:pPr>
      <w:r>
        <w:rPr>
          <w:rFonts w:cs="Calibri"/>
          <w:szCs w:val="24"/>
          <w:lang w:val="en-US"/>
        </w:rPr>
        <w:t>Lovačko društvo “Vepar”, Prugovac</w:t>
      </w:r>
    </w:p>
    <w:p w:rsidR="008F0D85" w:rsidRDefault="00AE42A1">
      <w:pPr>
        <w:numPr>
          <w:ilvl w:val="0"/>
          <w:numId w:val="14"/>
        </w:numPr>
        <w:contextualSpacing/>
        <w:rPr>
          <w:rFonts w:cs="Calibri"/>
          <w:szCs w:val="24"/>
          <w:lang w:val="en-US"/>
        </w:rPr>
      </w:pPr>
      <w:r>
        <w:rPr>
          <w:rFonts w:cs="Calibri"/>
          <w:szCs w:val="24"/>
          <w:lang w:val="en-US"/>
        </w:rPr>
        <w:t>Lovačko društvo “Srndać”, Kloštar Podravski</w:t>
      </w:r>
    </w:p>
    <w:p w:rsidR="008F0D85" w:rsidRDefault="00AE42A1">
      <w:pPr>
        <w:contextualSpacing/>
        <w:rPr>
          <w:rFonts w:cs="Calibri"/>
          <w:szCs w:val="24"/>
          <w:lang w:val="en-US"/>
        </w:rPr>
      </w:pPr>
      <w:r>
        <w:rPr>
          <w:rFonts w:cs="Calibri"/>
          <w:szCs w:val="24"/>
          <w:lang w:val="en-US"/>
        </w:rPr>
        <w:t>(Odluka o određivanju operativnih snaga i pravn</w:t>
      </w:r>
      <w:r>
        <w:rPr>
          <w:rFonts w:cs="Calibri"/>
          <w:szCs w:val="24"/>
          <w:lang w:val="en-US"/>
        </w:rPr>
        <w:t>ih osoba od interesa za sustav civilne zaštite na području Općine Kloštar Podravski, KLASA: 810-01/16-01/03, URBROJ: 213/16-16-3, Kloštar Podravski, 15.11.2016.god.)</w:t>
      </w:r>
    </w:p>
    <w:p w:rsidR="008F0D85" w:rsidRDefault="008F0D85">
      <w:pPr>
        <w:ind w:left="1440"/>
        <w:contextualSpacing/>
        <w:rPr>
          <w:rFonts w:cs="Calibri"/>
          <w:szCs w:val="24"/>
          <w:lang w:val="en-US"/>
        </w:rPr>
      </w:pPr>
    </w:p>
    <w:p w:rsidR="008F0D85" w:rsidRDefault="00AE42A1">
      <w:pPr>
        <w:numPr>
          <w:ilvl w:val="0"/>
          <w:numId w:val="13"/>
        </w:numPr>
        <w:contextualSpacing/>
        <w:rPr>
          <w:rFonts w:cs="Calibri"/>
          <w:szCs w:val="24"/>
          <w:lang w:val="en-US"/>
        </w:rPr>
      </w:pPr>
      <w:r>
        <w:rPr>
          <w:rFonts w:cs="Calibri"/>
          <w:szCs w:val="24"/>
          <w:lang w:val="en-US"/>
        </w:rPr>
        <w:t>Hrvatska gorska služba spašavanja (HGSS) – Stanica Koprivnica, Hrvatske državnosti 7,  48</w:t>
      </w:r>
      <w:r>
        <w:rPr>
          <w:rFonts w:cs="Calibri"/>
          <w:szCs w:val="24"/>
          <w:lang w:val="en-US"/>
        </w:rPr>
        <w:t xml:space="preserve"> 000 Koprivnica</w:t>
      </w:r>
    </w:p>
    <w:p w:rsidR="008F0D85" w:rsidRDefault="008F0D85">
      <w:pPr>
        <w:ind w:left="720"/>
        <w:contextualSpacing/>
        <w:rPr>
          <w:rFonts w:cs="Calibri"/>
          <w:szCs w:val="24"/>
          <w:lang w:val="en-US"/>
        </w:rPr>
      </w:pPr>
    </w:p>
    <w:p w:rsidR="008F0D85" w:rsidRDefault="00AE42A1">
      <w:pPr>
        <w:numPr>
          <w:ilvl w:val="0"/>
          <w:numId w:val="13"/>
        </w:numPr>
        <w:contextualSpacing/>
        <w:rPr>
          <w:rFonts w:cs="Calibri"/>
          <w:szCs w:val="24"/>
          <w:lang w:val="en-US"/>
        </w:rPr>
      </w:pPr>
      <w:r>
        <w:rPr>
          <w:rFonts w:cs="Calibri"/>
          <w:szCs w:val="24"/>
          <w:lang w:val="en-US"/>
        </w:rPr>
        <w:t>Hrvatski Crveni križ – Gradsko društvo Crvenog križa Đurđevac, Trg svetog Jurja 5, 48 350 Đurđevac</w:t>
      </w:r>
    </w:p>
    <w:p w:rsidR="008F0D85" w:rsidRDefault="008F0D85">
      <w:pPr>
        <w:ind w:left="720"/>
        <w:contextualSpacing/>
        <w:rPr>
          <w:rFonts w:cs="Calibri"/>
          <w:szCs w:val="24"/>
          <w:lang w:val="en-US"/>
        </w:rPr>
      </w:pPr>
    </w:p>
    <w:p w:rsidR="008F0D85" w:rsidRDefault="00AE42A1">
      <w:pPr>
        <w:numPr>
          <w:ilvl w:val="0"/>
          <w:numId w:val="13"/>
        </w:numPr>
        <w:contextualSpacing/>
        <w:rPr>
          <w:rFonts w:cs="Calibri"/>
          <w:szCs w:val="24"/>
          <w:lang w:val="en-US"/>
        </w:rPr>
      </w:pPr>
      <w:r>
        <w:rPr>
          <w:rFonts w:cs="Calibri"/>
          <w:szCs w:val="24"/>
          <w:lang w:val="en-US"/>
        </w:rPr>
        <w:t>Operativne snage vatrogastva:</w:t>
      </w:r>
    </w:p>
    <w:p w:rsidR="008F0D85" w:rsidRDefault="00AE42A1">
      <w:pPr>
        <w:numPr>
          <w:ilvl w:val="0"/>
          <w:numId w:val="15"/>
        </w:numPr>
        <w:contextualSpacing/>
        <w:rPr>
          <w:rFonts w:cs="Calibri"/>
          <w:szCs w:val="24"/>
          <w:lang w:val="en-US"/>
        </w:rPr>
      </w:pPr>
      <w:r>
        <w:rPr>
          <w:rFonts w:cs="Calibri"/>
          <w:szCs w:val="24"/>
          <w:lang w:val="en-US"/>
        </w:rPr>
        <w:t>Vatrogasna zajednica Općine Kloštar Podravski</w:t>
      </w:r>
    </w:p>
    <w:p w:rsidR="008F0D85" w:rsidRDefault="00AE42A1">
      <w:pPr>
        <w:numPr>
          <w:ilvl w:val="0"/>
          <w:numId w:val="15"/>
        </w:numPr>
        <w:contextualSpacing/>
        <w:rPr>
          <w:rFonts w:cs="Calibri"/>
          <w:szCs w:val="24"/>
          <w:lang w:val="en-US"/>
        </w:rPr>
      </w:pPr>
      <w:r>
        <w:rPr>
          <w:rFonts w:cs="Calibri"/>
          <w:szCs w:val="24"/>
          <w:lang w:val="en-US"/>
        </w:rPr>
        <w:t>DVD Kloštar Podravski</w:t>
      </w:r>
    </w:p>
    <w:p w:rsidR="008F0D85" w:rsidRDefault="00AE42A1">
      <w:pPr>
        <w:numPr>
          <w:ilvl w:val="0"/>
          <w:numId w:val="15"/>
        </w:numPr>
        <w:contextualSpacing/>
        <w:rPr>
          <w:rFonts w:cs="Calibri"/>
          <w:szCs w:val="24"/>
          <w:lang w:val="en-US"/>
        </w:rPr>
      </w:pPr>
      <w:r>
        <w:rPr>
          <w:rFonts w:cs="Calibri"/>
          <w:szCs w:val="24"/>
          <w:lang w:val="en-US"/>
        </w:rPr>
        <w:t>DVD Prugovac</w:t>
      </w:r>
    </w:p>
    <w:p w:rsidR="008F0D85" w:rsidRDefault="00AE42A1">
      <w:pPr>
        <w:numPr>
          <w:ilvl w:val="0"/>
          <w:numId w:val="15"/>
        </w:numPr>
        <w:contextualSpacing/>
        <w:rPr>
          <w:rFonts w:cs="Calibri"/>
          <w:szCs w:val="24"/>
          <w:lang w:val="en-US"/>
        </w:rPr>
      </w:pPr>
      <w:r>
        <w:rPr>
          <w:rFonts w:cs="Calibri"/>
          <w:szCs w:val="24"/>
          <w:lang w:val="en-US"/>
        </w:rPr>
        <w:t>DVD Kozarevac</w:t>
      </w:r>
    </w:p>
    <w:p w:rsidR="008F0D85" w:rsidRDefault="008F0D85">
      <w:pPr>
        <w:ind w:left="1440"/>
        <w:contextualSpacing/>
        <w:rPr>
          <w:rFonts w:cs="Calibri"/>
          <w:szCs w:val="24"/>
          <w:lang w:val="en-US"/>
        </w:rPr>
      </w:pPr>
    </w:p>
    <w:p w:rsidR="008F0D85" w:rsidRDefault="00AE42A1">
      <w:pPr>
        <w:numPr>
          <w:ilvl w:val="0"/>
          <w:numId w:val="13"/>
        </w:numPr>
        <w:contextualSpacing/>
        <w:rPr>
          <w:rFonts w:cs="Calibri"/>
          <w:szCs w:val="24"/>
          <w:lang w:val="en-US"/>
        </w:rPr>
      </w:pPr>
      <w:r>
        <w:rPr>
          <w:rFonts w:cs="Calibri"/>
          <w:szCs w:val="24"/>
          <w:lang w:val="en-US"/>
        </w:rPr>
        <w:t xml:space="preserve">Udruge s </w:t>
      </w:r>
      <w:r>
        <w:rPr>
          <w:rFonts w:cs="Calibri"/>
          <w:szCs w:val="24"/>
          <w:lang w:val="en-US"/>
        </w:rPr>
        <w:t>područja Općine u sastavu civilne zaštite:</w:t>
      </w:r>
    </w:p>
    <w:p w:rsidR="008F0D85" w:rsidRDefault="00AE42A1">
      <w:pPr>
        <w:pStyle w:val="Odlomakpopisa"/>
        <w:numPr>
          <w:ilvl w:val="0"/>
          <w:numId w:val="35"/>
        </w:numPr>
        <w:jc w:val="both"/>
        <w:rPr>
          <w:rFonts w:cs="Calibri"/>
          <w:sz w:val="24"/>
          <w:szCs w:val="24"/>
        </w:rPr>
      </w:pPr>
      <w:r>
        <w:rPr>
          <w:rFonts w:cs="Calibri"/>
          <w:sz w:val="24"/>
          <w:szCs w:val="24"/>
        </w:rPr>
        <w:t>Lovačko društvo “Vepar”, Prugovac</w:t>
      </w:r>
    </w:p>
    <w:p w:rsidR="008F0D85" w:rsidRDefault="00AE42A1">
      <w:pPr>
        <w:pStyle w:val="Odlomakpopisa"/>
        <w:numPr>
          <w:ilvl w:val="0"/>
          <w:numId w:val="35"/>
        </w:numPr>
        <w:jc w:val="both"/>
        <w:rPr>
          <w:rFonts w:cs="Calibri"/>
          <w:sz w:val="24"/>
          <w:szCs w:val="24"/>
        </w:rPr>
      </w:pPr>
      <w:r>
        <w:rPr>
          <w:rFonts w:cs="Calibri"/>
          <w:sz w:val="24"/>
          <w:szCs w:val="24"/>
        </w:rPr>
        <w:t>Lovačko društvo “Srndać” Kloštar Podravski</w:t>
      </w:r>
    </w:p>
    <w:p w:rsidR="008F0D85" w:rsidRDefault="008F0D85">
      <w:pPr>
        <w:spacing w:after="0"/>
        <w:contextualSpacing/>
        <w:rPr>
          <w:rFonts w:cs="Calibri"/>
          <w:szCs w:val="24"/>
          <w:lang w:val="en-US"/>
        </w:rPr>
      </w:pPr>
    </w:p>
    <w:p w:rsidR="008F0D85" w:rsidRDefault="00AE42A1">
      <w:pPr>
        <w:pStyle w:val="Naslov1"/>
      </w:pPr>
      <w:bookmarkStart w:id="270" w:name="_Toc512434587"/>
      <w:bookmarkStart w:id="271" w:name="_Toc514240142"/>
      <w:bookmarkStart w:id="272" w:name="_Toc516128245"/>
      <w:bookmarkStart w:id="273" w:name="_Toc527969355"/>
      <w:bookmarkEnd w:id="270"/>
      <w:bookmarkEnd w:id="271"/>
      <w:bookmarkEnd w:id="272"/>
      <w:bookmarkEnd w:id="273"/>
      <w:r>
        <w:lastRenderedPageBreak/>
        <w:t>3. IDENTIFIKACIJA PRIJETNJI I RIZIKA NA PODRUČJU OPĆINE</w:t>
      </w:r>
    </w:p>
    <w:p w:rsidR="008F0D85" w:rsidRDefault="008F0D85"/>
    <w:p w:rsidR="008F0D85" w:rsidRDefault="00AE42A1">
      <w:pPr>
        <w:spacing w:after="0"/>
        <w:rPr>
          <w:rFonts w:cs="Calibri"/>
          <w:color w:val="000000"/>
          <w:szCs w:val="24"/>
        </w:rPr>
      </w:pPr>
      <w:r>
        <w:rPr>
          <w:rFonts w:cs="Calibri"/>
          <w:color w:val="000000"/>
          <w:szCs w:val="24"/>
        </w:rPr>
        <w:t>Identifikacija prijetnji jest početni korak u postupku izrade Procjene rizika. Prilikom identifikacije prijetnji potrebno je odrediti sljedeće: koje se sve prijetnje pojavljuju na području Općine, prostor na kojem se pojavljuju i način na koji mogu štetno,</w:t>
      </w:r>
      <w:r>
        <w:rPr>
          <w:rFonts w:cs="Calibri"/>
          <w:color w:val="000000"/>
          <w:szCs w:val="24"/>
        </w:rPr>
        <w:t xml:space="preserve"> odnosno negativno utjecati na okoliš. Po identifikaciji, prijetnje se prikazuju u zbirnoj tablici s osnovnim opisom scenarija te najbitnijim učincima na društvene vrijednosti. Prikazuju se preventivne mjere i mjere odgovora, točnije reagiranja na prijetnj</w:t>
      </w:r>
      <w:r>
        <w:rPr>
          <w:rFonts w:cs="Calibri"/>
          <w:color w:val="000000"/>
          <w:szCs w:val="24"/>
        </w:rPr>
        <w:t xml:space="preserve">u. </w:t>
      </w:r>
    </w:p>
    <w:p w:rsidR="008F0D85" w:rsidRDefault="008F0D85">
      <w:pPr>
        <w:spacing w:after="0"/>
        <w:rPr>
          <w:rFonts w:cs="Calibri"/>
          <w:color w:val="000000"/>
          <w:szCs w:val="24"/>
        </w:rPr>
      </w:pPr>
    </w:p>
    <w:p w:rsidR="008F0D85" w:rsidRDefault="00AE42A1">
      <w:pPr>
        <w:spacing w:after="0"/>
        <w:rPr>
          <w:rFonts w:cs="Calibri"/>
          <w:color w:val="000000"/>
          <w:szCs w:val="24"/>
        </w:rPr>
      </w:pPr>
      <w:r>
        <w:rPr>
          <w:rFonts w:cs="Calibri"/>
          <w:color w:val="000000"/>
          <w:szCs w:val="24"/>
        </w:rPr>
        <w:t>Kako bi se identificirale moguće prijetnje na području Općine korištena je Procjena rizika od katastrofa za Republiku Hrvatsku u kojoj se nalaze karte vjerojatnih rizika za zasebna područja, Smjernice za izradu procjene rizika od velikih nesreća za po</w:t>
      </w:r>
      <w:r>
        <w:rPr>
          <w:rFonts w:cs="Calibri"/>
          <w:color w:val="000000"/>
          <w:szCs w:val="24"/>
        </w:rPr>
        <w:t>dručje Koprivničko – križevačke županije u kojoj su navedene najvjerojatnije prijetnje koje mogu ugroziti područje i stanovništvo istog područja te Procjena ugroženosti stanovništva, materijalnih i kulturnih dobara i okoliša Općine Kloštar Podravski, 2015.</w:t>
      </w:r>
      <w:r>
        <w:rPr>
          <w:rFonts w:cs="Calibri"/>
          <w:color w:val="000000"/>
          <w:szCs w:val="24"/>
        </w:rPr>
        <w:t xml:space="preserve">god. </w:t>
      </w:r>
    </w:p>
    <w:p w:rsidR="008F0D85" w:rsidRDefault="008F0D85">
      <w:pPr>
        <w:spacing w:after="0"/>
        <w:rPr>
          <w:rFonts w:cs="Calibri"/>
          <w:color w:val="000000"/>
          <w:szCs w:val="24"/>
        </w:rPr>
      </w:pPr>
    </w:p>
    <w:p w:rsidR="008F0D85" w:rsidRDefault="00AE42A1">
      <w:pPr>
        <w:rPr>
          <w:rFonts w:cs="Calibri"/>
          <w:color w:val="000000"/>
          <w:szCs w:val="24"/>
        </w:rPr>
      </w:pPr>
      <w:r>
        <w:rPr>
          <w:rFonts w:cs="Calibri"/>
          <w:color w:val="000000"/>
          <w:szCs w:val="24"/>
        </w:rPr>
        <w:t>Procjena rizika od velikih nesreća je izrađena na temelju scenarija za svaki pojedini rizik.</w:t>
      </w:r>
    </w:p>
    <w:p w:rsidR="008F0D85" w:rsidRDefault="00AE42A1">
      <w:pPr>
        <w:pStyle w:val="Naslov2"/>
      </w:pPr>
      <w:bookmarkStart w:id="274" w:name="_Toc512434588"/>
      <w:bookmarkStart w:id="275" w:name="_Toc514240143"/>
      <w:bookmarkStart w:id="276" w:name="_Toc516128246"/>
      <w:bookmarkStart w:id="277" w:name="_Toc527969356"/>
      <w:bookmarkEnd w:id="274"/>
      <w:bookmarkEnd w:id="275"/>
      <w:bookmarkEnd w:id="276"/>
      <w:bookmarkEnd w:id="277"/>
      <w:r>
        <w:t>3.1. Popis identificiranih prijetnji i rizika na području Općine</w:t>
      </w:r>
    </w:p>
    <w:p w:rsidR="008F0D85" w:rsidRDefault="008F0D85"/>
    <w:p w:rsidR="008F0D85" w:rsidRDefault="00AE42A1">
      <w:pPr>
        <w:spacing w:after="0"/>
        <w:rPr>
          <w:rFonts w:cs="Calibri"/>
          <w:color w:val="000000"/>
          <w:szCs w:val="24"/>
        </w:rPr>
      </w:pPr>
      <w:r>
        <w:rPr>
          <w:rFonts w:cs="Calibri"/>
          <w:color w:val="000000"/>
          <w:szCs w:val="24"/>
        </w:rPr>
        <w:t>Na području Općine, Preliminarnom procjenom evidentirano je 6 grupa rizika koji predstavlj</w:t>
      </w:r>
      <w:r>
        <w:rPr>
          <w:rFonts w:cs="Calibri"/>
          <w:color w:val="000000"/>
          <w:szCs w:val="24"/>
        </w:rPr>
        <w:t xml:space="preserve">aju potencijalnu prijetnju za stanovništvo, materijalna i kulturna dobra te poljoprivrednu proizvodnju i to: </w:t>
      </w:r>
    </w:p>
    <w:p w:rsidR="008F0D85" w:rsidRDefault="008F0D85">
      <w:pPr>
        <w:spacing w:after="0"/>
        <w:rPr>
          <w:rFonts w:cs="Calibri"/>
          <w:color w:val="000000"/>
          <w:szCs w:val="24"/>
        </w:rPr>
      </w:pPr>
    </w:p>
    <w:p w:rsidR="008F0D85" w:rsidRDefault="00AE42A1">
      <w:pPr>
        <w:numPr>
          <w:ilvl w:val="0"/>
          <w:numId w:val="16"/>
        </w:numPr>
        <w:spacing w:after="80"/>
        <w:contextualSpacing/>
        <w:rPr>
          <w:rFonts w:cs="Calibri"/>
          <w:color w:val="000000"/>
          <w:szCs w:val="24"/>
          <w:lang w:val="en-US"/>
        </w:rPr>
      </w:pPr>
      <w:r>
        <w:rPr>
          <w:rFonts w:cs="Calibri"/>
          <w:color w:val="000000"/>
          <w:szCs w:val="24"/>
          <w:lang w:val="en-US"/>
        </w:rPr>
        <w:t xml:space="preserve">Epidemije i pandemije, </w:t>
      </w:r>
    </w:p>
    <w:p w:rsidR="008F0D85" w:rsidRDefault="00AE42A1">
      <w:pPr>
        <w:numPr>
          <w:ilvl w:val="0"/>
          <w:numId w:val="16"/>
        </w:numPr>
        <w:spacing w:after="80"/>
        <w:contextualSpacing/>
        <w:rPr>
          <w:rFonts w:cs="Calibri"/>
          <w:color w:val="000000"/>
          <w:szCs w:val="24"/>
          <w:lang w:val="en-US"/>
        </w:rPr>
      </w:pPr>
      <w:r>
        <w:rPr>
          <w:rFonts w:cs="Calibri"/>
          <w:color w:val="000000"/>
          <w:szCs w:val="24"/>
          <w:lang w:val="en-US"/>
        </w:rPr>
        <w:t xml:space="preserve">Ekstremne vremenske pojave: </w:t>
      </w:r>
    </w:p>
    <w:p w:rsidR="008F0D85" w:rsidRDefault="00AE42A1">
      <w:pPr>
        <w:numPr>
          <w:ilvl w:val="0"/>
          <w:numId w:val="17"/>
        </w:numPr>
        <w:spacing w:after="80"/>
        <w:contextualSpacing/>
        <w:rPr>
          <w:rFonts w:cs="Calibri"/>
          <w:color w:val="000000"/>
          <w:szCs w:val="24"/>
          <w:lang w:val="en-US"/>
        </w:rPr>
      </w:pPr>
      <w:r>
        <w:rPr>
          <w:rFonts w:cs="Calibri"/>
          <w:color w:val="000000"/>
          <w:szCs w:val="24"/>
          <w:lang w:val="en-US"/>
        </w:rPr>
        <w:t xml:space="preserve">Ekstremne temperature, </w:t>
      </w:r>
    </w:p>
    <w:p w:rsidR="008F0D85" w:rsidRDefault="00AE42A1">
      <w:pPr>
        <w:numPr>
          <w:ilvl w:val="0"/>
          <w:numId w:val="17"/>
        </w:numPr>
        <w:spacing w:after="80"/>
        <w:contextualSpacing/>
        <w:rPr>
          <w:rFonts w:cs="Calibri"/>
          <w:color w:val="000000"/>
          <w:szCs w:val="24"/>
          <w:lang w:val="en-US"/>
        </w:rPr>
      </w:pPr>
      <w:r>
        <w:rPr>
          <w:rFonts w:cs="Calibri"/>
          <w:color w:val="000000"/>
          <w:szCs w:val="24"/>
          <w:lang w:val="en-US"/>
        </w:rPr>
        <w:t>Padaline: Mraz,</w:t>
      </w:r>
    </w:p>
    <w:p w:rsidR="008F0D85" w:rsidRDefault="00AE42A1">
      <w:pPr>
        <w:numPr>
          <w:ilvl w:val="0"/>
          <w:numId w:val="17"/>
        </w:numPr>
        <w:spacing w:after="80"/>
        <w:contextualSpacing/>
        <w:rPr>
          <w:rFonts w:cs="Calibri"/>
          <w:color w:val="000000"/>
          <w:szCs w:val="24"/>
          <w:lang w:val="en-US"/>
        </w:rPr>
      </w:pPr>
      <w:r>
        <w:rPr>
          <w:rFonts w:cs="Calibri"/>
          <w:color w:val="000000"/>
          <w:szCs w:val="24"/>
          <w:lang w:val="en-US"/>
        </w:rPr>
        <w:t>Padaline: Kiša,</w:t>
      </w:r>
    </w:p>
    <w:p w:rsidR="008F0D85" w:rsidRDefault="00AE42A1">
      <w:pPr>
        <w:numPr>
          <w:ilvl w:val="0"/>
          <w:numId w:val="17"/>
        </w:numPr>
        <w:spacing w:after="80"/>
        <w:contextualSpacing/>
        <w:rPr>
          <w:rFonts w:cs="Calibri"/>
          <w:color w:val="000000"/>
          <w:szCs w:val="24"/>
          <w:lang w:val="en-US"/>
        </w:rPr>
      </w:pPr>
      <w:r>
        <w:rPr>
          <w:rFonts w:cs="Calibri"/>
          <w:color w:val="000000"/>
          <w:szCs w:val="24"/>
          <w:lang w:val="en-US"/>
        </w:rPr>
        <w:t xml:space="preserve">Padaline: Tuča, </w:t>
      </w:r>
    </w:p>
    <w:p w:rsidR="008F0D85" w:rsidRDefault="00AE42A1">
      <w:pPr>
        <w:numPr>
          <w:ilvl w:val="0"/>
          <w:numId w:val="18"/>
        </w:numPr>
        <w:spacing w:after="80"/>
        <w:contextualSpacing/>
        <w:rPr>
          <w:rFonts w:cs="Calibri"/>
          <w:color w:val="000000"/>
          <w:szCs w:val="24"/>
          <w:lang w:val="en-US"/>
        </w:rPr>
      </w:pPr>
      <w:r>
        <w:rPr>
          <w:rFonts w:cs="Calibri"/>
          <w:color w:val="000000"/>
          <w:szCs w:val="24"/>
          <w:lang w:val="en-US"/>
        </w:rPr>
        <w:t xml:space="preserve">Suša, </w:t>
      </w:r>
    </w:p>
    <w:p w:rsidR="008F0D85" w:rsidRDefault="00AE42A1">
      <w:pPr>
        <w:numPr>
          <w:ilvl w:val="0"/>
          <w:numId w:val="18"/>
        </w:numPr>
        <w:spacing w:after="80"/>
        <w:contextualSpacing/>
        <w:rPr>
          <w:rFonts w:cs="Calibri"/>
          <w:color w:val="000000"/>
          <w:szCs w:val="24"/>
          <w:lang w:val="en-US"/>
        </w:rPr>
      </w:pPr>
      <w:r>
        <w:rPr>
          <w:rFonts w:cs="Calibri"/>
          <w:color w:val="000000"/>
          <w:szCs w:val="24"/>
          <w:lang w:val="en-US"/>
        </w:rPr>
        <w:t xml:space="preserve">Poplava, </w:t>
      </w:r>
    </w:p>
    <w:p w:rsidR="008F0D85" w:rsidRDefault="00AE42A1">
      <w:pPr>
        <w:numPr>
          <w:ilvl w:val="0"/>
          <w:numId w:val="18"/>
        </w:numPr>
        <w:spacing w:after="80"/>
        <w:contextualSpacing/>
        <w:rPr>
          <w:rFonts w:cs="Calibri"/>
          <w:color w:val="000000"/>
          <w:szCs w:val="24"/>
          <w:lang w:val="en-US"/>
        </w:rPr>
      </w:pPr>
      <w:r>
        <w:rPr>
          <w:rFonts w:cs="Calibri"/>
          <w:color w:val="000000"/>
          <w:szCs w:val="24"/>
          <w:lang w:val="en-US"/>
        </w:rPr>
        <w:t>Po</w:t>
      </w:r>
      <w:r>
        <w:rPr>
          <w:rFonts w:cs="Calibri"/>
          <w:color w:val="000000"/>
          <w:szCs w:val="24"/>
          <w:lang w:val="en-US"/>
        </w:rPr>
        <w:t>tres,</w:t>
      </w:r>
    </w:p>
    <w:p w:rsidR="008F0D85" w:rsidRDefault="00AE42A1">
      <w:pPr>
        <w:numPr>
          <w:ilvl w:val="0"/>
          <w:numId w:val="18"/>
        </w:numPr>
        <w:spacing w:after="80"/>
        <w:contextualSpacing/>
        <w:rPr>
          <w:rFonts w:cs="Calibri"/>
          <w:color w:val="000000"/>
          <w:szCs w:val="24"/>
          <w:lang w:val="en-US"/>
        </w:rPr>
      </w:pPr>
      <w:r>
        <w:rPr>
          <w:rFonts w:cs="Calibri"/>
          <w:color w:val="000000"/>
          <w:szCs w:val="24"/>
          <w:lang w:val="en-US"/>
        </w:rPr>
        <w:t>Tehničko – tehnološke nesreće se opasnim tvarima</w:t>
      </w:r>
    </w:p>
    <w:p w:rsidR="008F0D85" w:rsidRDefault="00AE42A1">
      <w:pPr>
        <w:numPr>
          <w:ilvl w:val="0"/>
          <w:numId w:val="19"/>
        </w:numPr>
        <w:spacing w:after="80"/>
        <w:ind w:left="709" w:hanging="283"/>
        <w:contextualSpacing/>
        <w:rPr>
          <w:rFonts w:cs="Calibri"/>
          <w:color w:val="000000"/>
          <w:szCs w:val="24"/>
          <w:lang w:val="en-US"/>
        </w:rPr>
      </w:pPr>
      <w:r>
        <w:rPr>
          <w:rFonts w:cs="Calibri"/>
          <w:color w:val="000000"/>
          <w:szCs w:val="24"/>
          <w:lang w:val="en-US"/>
        </w:rPr>
        <w:t>Industrijske nesreće</w:t>
      </w:r>
    </w:p>
    <w:p w:rsidR="008F0D85" w:rsidRDefault="008F0D85">
      <w:pPr>
        <w:spacing w:after="80"/>
        <w:rPr>
          <w:rFonts w:cs="Calibri"/>
          <w:color w:val="000000"/>
          <w:szCs w:val="24"/>
          <w:highlight w:val="yellow"/>
        </w:rPr>
      </w:pPr>
    </w:p>
    <w:p w:rsidR="008F0D85" w:rsidRDefault="00AE42A1">
      <w:pPr>
        <w:rPr>
          <w:szCs w:val="24"/>
        </w:rPr>
        <w:sectPr w:rsidR="008F0D85">
          <w:headerReference w:type="default" r:id="rId29"/>
          <w:footerReference w:type="default" r:id="rId30"/>
          <w:pgSz w:w="11906" w:h="16838"/>
          <w:pgMar w:top="1418" w:right="1418" w:bottom="1418" w:left="1418" w:header="709" w:footer="709" w:gutter="0"/>
          <w:cols w:space="720"/>
          <w:formProt w:val="0"/>
          <w:docGrid w:linePitch="360"/>
        </w:sectPr>
      </w:pPr>
      <w:r>
        <w:rPr>
          <w:szCs w:val="24"/>
        </w:rPr>
        <w:t xml:space="preserve">U tablici 25. prikazan je </w:t>
      </w:r>
      <w:r>
        <w:rPr>
          <w:szCs w:val="24"/>
        </w:rPr>
        <w:t>registar rizika, odnosno potencijalnih prijetnji za područje Općine te u skladu s time u tablici su prikazane moguće posljedice te mjere odgovora na pr</w:t>
      </w:r>
      <w:bookmarkStart w:id="298" w:name="_Hlk512255618"/>
      <w:bookmarkEnd w:id="298"/>
      <w:r>
        <w:rPr>
          <w:szCs w:val="24"/>
        </w:rPr>
        <w:t>ijetnje.</w:t>
      </w:r>
    </w:p>
    <w:p w:rsidR="008F0D85" w:rsidRDefault="00AE42A1">
      <w:pPr>
        <w:spacing w:after="0" w:line="360" w:lineRule="auto"/>
        <w:jc w:val="center"/>
        <w:rPr>
          <w:rFonts w:cs="Arial"/>
          <w:b/>
          <w:bCs/>
          <w:sz w:val="20"/>
          <w:szCs w:val="20"/>
        </w:rPr>
      </w:pPr>
      <w:bookmarkStart w:id="299" w:name="_Toc512434718"/>
      <w:bookmarkStart w:id="300" w:name="_Toc514240312"/>
      <w:bookmarkStart w:id="301" w:name="_Toc516128397"/>
      <w:bookmarkStart w:id="302" w:name="_Toc527969507"/>
      <w:r>
        <w:rPr>
          <w:rFonts w:cs="Arial"/>
          <w:b/>
          <w:bCs/>
          <w:sz w:val="20"/>
          <w:szCs w:val="20"/>
        </w:rPr>
        <w:lastRenderedPageBreak/>
        <w:t xml:space="preserve">Tablica </w:t>
      </w:r>
      <w:r>
        <w:rPr>
          <w:rFonts w:cs="Arial"/>
          <w:b/>
          <w:bCs/>
          <w:sz w:val="20"/>
          <w:szCs w:val="20"/>
        </w:rPr>
        <w:fldChar w:fldCharType="begin"/>
      </w:r>
      <w:r>
        <w:instrText>SEQ Tablica \* ARABIC</w:instrText>
      </w:r>
      <w:r>
        <w:fldChar w:fldCharType="separate"/>
      </w:r>
      <w:r>
        <w:t>25</w:t>
      </w:r>
      <w:r>
        <w:fldChar w:fldCharType="end"/>
      </w:r>
      <w:bookmarkEnd w:id="299"/>
      <w:bookmarkEnd w:id="300"/>
      <w:bookmarkEnd w:id="301"/>
      <w:bookmarkEnd w:id="302"/>
      <w:r>
        <w:rPr>
          <w:rFonts w:cs="Arial"/>
          <w:b/>
          <w:bCs/>
          <w:sz w:val="20"/>
          <w:szCs w:val="20"/>
        </w:rPr>
        <w:t>: Prikaz identifikacije prijetnji na području Općine - Regista</w:t>
      </w:r>
      <w:r>
        <w:rPr>
          <w:rFonts w:cs="Arial"/>
          <w:b/>
          <w:bCs/>
          <w:sz w:val="20"/>
          <w:szCs w:val="20"/>
        </w:rPr>
        <w:t>r rizika</w:t>
      </w:r>
    </w:p>
    <w:tbl>
      <w:tblPr>
        <w:tblW w:w="1417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661"/>
        <w:gridCol w:w="1275"/>
        <w:gridCol w:w="3276"/>
        <w:gridCol w:w="3007"/>
        <w:gridCol w:w="3261"/>
        <w:gridCol w:w="2690"/>
      </w:tblGrid>
      <w:tr w:rsidR="008F0D85">
        <w:trPr>
          <w:trHeight w:val="950"/>
        </w:trPr>
        <w:tc>
          <w:tcPr>
            <w:tcW w:w="66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rFonts w:cs="Calibri"/>
                <w:b/>
                <w:sz w:val="20"/>
                <w:szCs w:val="20"/>
              </w:rPr>
            </w:pPr>
            <w:r>
              <w:rPr>
                <w:rFonts w:cs="Calibri"/>
                <w:b/>
                <w:sz w:val="20"/>
                <w:szCs w:val="20"/>
              </w:rPr>
              <w:t>R.B. rizika</w:t>
            </w:r>
          </w:p>
        </w:tc>
        <w:tc>
          <w:tcPr>
            <w:tcW w:w="12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rFonts w:cs="Calibri"/>
                <w:b/>
                <w:sz w:val="20"/>
                <w:szCs w:val="20"/>
              </w:rPr>
            </w:pPr>
            <w:r>
              <w:rPr>
                <w:rFonts w:cs="Calibri"/>
                <w:b/>
                <w:sz w:val="20"/>
                <w:szCs w:val="20"/>
              </w:rPr>
              <w:t>Prijetnja</w:t>
            </w:r>
          </w:p>
        </w:tc>
        <w:tc>
          <w:tcPr>
            <w:tcW w:w="3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rFonts w:cs="Calibri"/>
                <w:b/>
                <w:sz w:val="20"/>
                <w:szCs w:val="20"/>
              </w:rPr>
            </w:pPr>
            <w:r>
              <w:rPr>
                <w:rFonts w:cs="Calibri"/>
                <w:b/>
                <w:sz w:val="20"/>
                <w:szCs w:val="20"/>
              </w:rPr>
              <w:t>Kratki opis scenarija</w:t>
            </w:r>
          </w:p>
        </w:tc>
        <w:tc>
          <w:tcPr>
            <w:tcW w:w="300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rFonts w:cs="Calibri"/>
                <w:b/>
                <w:sz w:val="20"/>
                <w:szCs w:val="20"/>
              </w:rPr>
            </w:pPr>
            <w:r>
              <w:rPr>
                <w:rFonts w:cs="Calibri"/>
                <w:b/>
                <w:sz w:val="20"/>
                <w:szCs w:val="20"/>
              </w:rPr>
              <w:t>Utjecaj na društvene vrijednosti</w:t>
            </w:r>
          </w:p>
        </w:tc>
        <w:tc>
          <w:tcPr>
            <w:tcW w:w="326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rFonts w:cs="Calibri"/>
                <w:b/>
                <w:sz w:val="20"/>
                <w:szCs w:val="20"/>
              </w:rPr>
            </w:pPr>
            <w:r>
              <w:rPr>
                <w:rFonts w:cs="Calibri"/>
                <w:b/>
                <w:sz w:val="20"/>
                <w:szCs w:val="20"/>
              </w:rPr>
              <w:t>Preventivne mjere</w:t>
            </w:r>
          </w:p>
        </w:tc>
        <w:tc>
          <w:tcPr>
            <w:tcW w:w="269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rFonts w:cs="Calibri"/>
                <w:b/>
                <w:sz w:val="20"/>
                <w:szCs w:val="20"/>
              </w:rPr>
            </w:pPr>
            <w:r>
              <w:rPr>
                <w:rFonts w:cs="Calibri"/>
                <w:b/>
                <w:sz w:val="20"/>
                <w:szCs w:val="20"/>
              </w:rPr>
              <w:t>Mjere odgovora</w:t>
            </w:r>
          </w:p>
        </w:tc>
      </w:tr>
      <w:tr w:rsidR="008F0D85">
        <w:trPr>
          <w:trHeight w:val="410"/>
        </w:trPr>
        <w:tc>
          <w:tcPr>
            <w:tcW w:w="66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numPr>
                <w:ilvl w:val="0"/>
                <w:numId w:val="20"/>
              </w:numPr>
              <w:spacing w:after="0" w:line="240" w:lineRule="auto"/>
              <w:contextualSpacing/>
              <w:jc w:val="center"/>
              <w:rPr>
                <w:rFonts w:cs="Calibri"/>
                <w:b/>
                <w:sz w:val="20"/>
                <w:szCs w:val="20"/>
                <w:lang w:val="en-US"/>
              </w:rPr>
            </w:pPr>
          </w:p>
        </w:tc>
        <w:tc>
          <w:tcPr>
            <w:tcW w:w="12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rFonts w:cs="Calibri"/>
                <w:b/>
                <w:sz w:val="20"/>
                <w:szCs w:val="20"/>
              </w:rPr>
            </w:pPr>
            <w:r>
              <w:rPr>
                <w:rFonts w:cs="Calibri"/>
                <w:b/>
                <w:sz w:val="20"/>
                <w:szCs w:val="20"/>
              </w:rPr>
              <w:t>Epidemije i pandemije</w:t>
            </w:r>
          </w:p>
        </w:tc>
        <w:tc>
          <w:tcPr>
            <w:tcW w:w="3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sz w:val="20"/>
                <w:szCs w:val="20"/>
              </w:rPr>
            </w:pPr>
            <w:r>
              <w:rPr>
                <w:rFonts w:cs="Calibri"/>
                <w:sz w:val="20"/>
                <w:szCs w:val="20"/>
              </w:rPr>
              <w:t xml:space="preserve">Epidemija je pojavljivanje većeg broja oboljelih od iste bolesti na istom području. Pandemija je </w:t>
            </w:r>
            <w:r>
              <w:rPr>
                <w:rFonts w:cs="Calibri"/>
                <w:sz w:val="20"/>
                <w:szCs w:val="20"/>
              </w:rPr>
              <w:t>epidemija koja se širi na jedno ili više područja, npr. na više kontinenata. S epidemiološkog stajališta negativne posljedice mogu se očekivati zbog: masovnih migracija i masovnih okupljanja stanovništva; improviziran i često skučen privremeni smještaj lju</w:t>
            </w:r>
            <w:r>
              <w:rPr>
                <w:rFonts w:cs="Calibri"/>
                <w:sz w:val="20"/>
                <w:szCs w:val="20"/>
              </w:rPr>
              <w:t>di, oskudna opskrba pitkom vodom, oskudna i nekvalitetna prehrana, improvizirana dispozicija ljudskih i ostalih otpadnih tvari i nedostatna osobna higijena. Isto tako, neadekvatno odlaganje komunalnog otpada može biti uzročnik raznih zaraza.</w:t>
            </w:r>
          </w:p>
        </w:tc>
        <w:tc>
          <w:tcPr>
            <w:tcW w:w="300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sz w:val="20"/>
                <w:szCs w:val="20"/>
              </w:rPr>
            </w:pPr>
            <w:r>
              <w:rPr>
                <w:rFonts w:cs="Calibri"/>
                <w:sz w:val="20"/>
                <w:szCs w:val="20"/>
              </w:rPr>
              <w:t>U situaciji po</w:t>
            </w:r>
            <w:r>
              <w:rPr>
                <w:rFonts w:cs="Calibri"/>
                <w:sz w:val="20"/>
                <w:szCs w:val="20"/>
              </w:rPr>
              <w:t>jave</w:t>
            </w:r>
          </w:p>
          <w:p w:rsidR="008F0D85" w:rsidRDefault="00AE42A1">
            <w:pPr>
              <w:spacing w:after="0" w:line="240" w:lineRule="auto"/>
              <w:jc w:val="left"/>
              <w:rPr>
                <w:rFonts w:cs="Calibri"/>
                <w:sz w:val="20"/>
                <w:szCs w:val="20"/>
              </w:rPr>
            </w:pPr>
            <w:r>
              <w:rPr>
                <w:rFonts w:cs="Calibri"/>
                <w:sz w:val="20"/>
                <w:szCs w:val="20"/>
              </w:rPr>
              <w:t>epidemiološke</w:t>
            </w:r>
          </w:p>
          <w:p w:rsidR="008F0D85" w:rsidRDefault="00AE42A1">
            <w:pPr>
              <w:spacing w:after="0" w:line="240" w:lineRule="auto"/>
              <w:jc w:val="left"/>
              <w:rPr>
                <w:rFonts w:cs="Calibri"/>
                <w:sz w:val="20"/>
                <w:szCs w:val="20"/>
              </w:rPr>
            </w:pPr>
            <w:r>
              <w:rPr>
                <w:rFonts w:cs="Calibri"/>
                <w:sz w:val="20"/>
                <w:szCs w:val="20"/>
              </w:rPr>
              <w:t>ugroze</w:t>
            </w:r>
          </w:p>
          <w:p w:rsidR="008F0D85" w:rsidRDefault="00AE42A1">
            <w:pPr>
              <w:spacing w:after="0" w:line="240" w:lineRule="auto"/>
              <w:jc w:val="left"/>
              <w:rPr>
                <w:rFonts w:cs="Calibri"/>
                <w:sz w:val="20"/>
                <w:szCs w:val="20"/>
              </w:rPr>
            </w:pPr>
            <w:r>
              <w:rPr>
                <w:rFonts w:cs="Calibri"/>
                <w:sz w:val="20"/>
                <w:szCs w:val="20"/>
              </w:rPr>
              <w:t>posljedice po</w:t>
            </w:r>
          </w:p>
          <w:p w:rsidR="008F0D85" w:rsidRDefault="00AE42A1">
            <w:pPr>
              <w:spacing w:after="0" w:line="240" w:lineRule="auto"/>
              <w:jc w:val="left"/>
              <w:rPr>
                <w:rFonts w:cs="Calibri"/>
                <w:sz w:val="20"/>
                <w:szCs w:val="20"/>
              </w:rPr>
            </w:pPr>
            <w:r>
              <w:rPr>
                <w:rFonts w:cs="Calibri"/>
                <w:sz w:val="20"/>
                <w:szCs w:val="20"/>
              </w:rPr>
              <w:t>stanovništvo očitovale</w:t>
            </w:r>
          </w:p>
          <w:p w:rsidR="008F0D85" w:rsidRDefault="00AE42A1">
            <w:pPr>
              <w:spacing w:after="0" w:line="240" w:lineRule="auto"/>
              <w:jc w:val="left"/>
              <w:rPr>
                <w:rFonts w:cs="Calibri"/>
                <w:sz w:val="20"/>
                <w:szCs w:val="20"/>
              </w:rPr>
            </w:pPr>
            <w:r>
              <w:rPr>
                <w:rFonts w:cs="Calibri"/>
                <w:sz w:val="20"/>
                <w:szCs w:val="20"/>
              </w:rPr>
              <w:t>bi se u značajnom padu životnog standarda i</w:t>
            </w:r>
          </w:p>
          <w:p w:rsidR="008F0D85" w:rsidRDefault="00AE42A1">
            <w:pPr>
              <w:spacing w:after="0" w:line="240" w:lineRule="auto"/>
              <w:jc w:val="left"/>
              <w:rPr>
                <w:rFonts w:cs="Calibri"/>
                <w:sz w:val="20"/>
                <w:szCs w:val="20"/>
              </w:rPr>
            </w:pPr>
            <w:r>
              <w:rPr>
                <w:rFonts w:cs="Calibri"/>
                <w:sz w:val="20"/>
                <w:szCs w:val="20"/>
              </w:rPr>
              <w:t>prekidu uobičajenog</w:t>
            </w:r>
          </w:p>
          <w:p w:rsidR="008F0D85" w:rsidRDefault="00AE42A1">
            <w:pPr>
              <w:spacing w:after="0" w:line="240" w:lineRule="auto"/>
              <w:jc w:val="left"/>
              <w:rPr>
                <w:rFonts w:cs="Calibri"/>
                <w:sz w:val="20"/>
                <w:szCs w:val="20"/>
              </w:rPr>
            </w:pPr>
            <w:r>
              <w:rPr>
                <w:rFonts w:cs="Calibri"/>
                <w:sz w:val="20"/>
                <w:szCs w:val="20"/>
              </w:rPr>
              <w:t>načina života.</w:t>
            </w:r>
          </w:p>
          <w:p w:rsidR="008F0D85" w:rsidRDefault="00AE42A1">
            <w:pPr>
              <w:spacing w:after="0" w:line="240" w:lineRule="auto"/>
              <w:jc w:val="left"/>
              <w:rPr>
                <w:rFonts w:cs="Calibri"/>
                <w:sz w:val="20"/>
                <w:szCs w:val="20"/>
              </w:rPr>
            </w:pPr>
            <w:r>
              <w:rPr>
                <w:rFonts w:cs="Calibri"/>
                <w:sz w:val="20"/>
                <w:szCs w:val="20"/>
              </w:rPr>
              <w:t xml:space="preserve">Posljedice je moguće očekivati u obolijevaju ljudi za sljedeće zarazne bolesti: crijevne zarazne bolesti, </w:t>
            </w:r>
            <w:r>
              <w:rPr>
                <w:rFonts w:cs="Calibri"/>
                <w:sz w:val="20"/>
                <w:szCs w:val="20"/>
              </w:rPr>
              <w:t>bolesti manjkave osobne higijene, bolesti respiratornog sustava, bolesti prirodnih žarišta i dr. Moguće pojave novih zaraznih bolesti ljudi prenesenih od životinja: ptičja gripa, kravlje ludilo, mišja groznica i sl. Opasnost za stanovništvo prijeti i od mo</w:t>
            </w:r>
            <w:r>
              <w:rPr>
                <w:rFonts w:cs="Calibri"/>
                <w:sz w:val="20"/>
                <w:szCs w:val="20"/>
              </w:rPr>
              <w:t>guće zaraze svinjskom gripom, kao i novim bolestima. Moguće su i pojave epidemije obične gripe i nekih zaraznih bolesti (kao što je TBC i žutica) koje ne bi ostavile ozbiljnije posljedice na stanovništvo.</w:t>
            </w:r>
          </w:p>
        </w:tc>
        <w:tc>
          <w:tcPr>
            <w:tcW w:w="32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Poduzimanje zdravstvenih mjera prevencije, a vezano</w:t>
            </w:r>
            <w:r>
              <w:rPr>
                <w:rFonts w:cs="Calibri"/>
                <w:sz w:val="20"/>
                <w:szCs w:val="20"/>
              </w:rPr>
              <w:t xml:space="preserve"> uz zaštitu od zaraze  (npr. cijepljenje ljudi i životinja, prskanje biljaka sa zaštitnim sredstvima i dr.). Odlična organiziranost zdravstvenih,  veterinarskih i agronomskih službi i inspekcijskih službi na području  županije.</w:t>
            </w:r>
          </w:p>
        </w:tc>
        <w:tc>
          <w:tcPr>
            <w:tcW w:w="2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sz w:val="20"/>
                <w:szCs w:val="20"/>
              </w:rPr>
            </w:pPr>
            <w:r>
              <w:rPr>
                <w:rFonts w:cs="Calibri"/>
                <w:sz w:val="20"/>
                <w:szCs w:val="20"/>
              </w:rPr>
              <w:t>Obavješćivanje javnosti, zbr</w:t>
            </w:r>
            <w:r>
              <w:rPr>
                <w:rFonts w:cs="Calibri"/>
                <w:sz w:val="20"/>
                <w:szCs w:val="20"/>
              </w:rPr>
              <w:t xml:space="preserve">injavanje, izolacija i liječenje oboljelih (ambulantno ili bolnički); </w:t>
            </w:r>
          </w:p>
          <w:p w:rsidR="008F0D85" w:rsidRDefault="00AE42A1">
            <w:pPr>
              <w:spacing w:after="0" w:line="240" w:lineRule="auto"/>
              <w:jc w:val="left"/>
              <w:rPr>
                <w:rFonts w:cs="Calibri"/>
                <w:sz w:val="20"/>
                <w:szCs w:val="20"/>
              </w:rPr>
            </w:pPr>
            <w:r>
              <w:rPr>
                <w:rFonts w:cs="Calibri"/>
                <w:sz w:val="20"/>
                <w:szCs w:val="20"/>
              </w:rPr>
              <w:t>Edukacija stanovnika županije.</w:t>
            </w:r>
          </w:p>
          <w:p w:rsidR="008F0D85" w:rsidRDefault="00AE42A1">
            <w:pPr>
              <w:spacing w:after="0" w:line="240" w:lineRule="auto"/>
              <w:jc w:val="left"/>
              <w:rPr>
                <w:rFonts w:cs="Calibri"/>
                <w:sz w:val="20"/>
                <w:szCs w:val="20"/>
              </w:rPr>
            </w:pPr>
            <w:r>
              <w:rPr>
                <w:rFonts w:cs="Calibri"/>
                <w:sz w:val="20"/>
                <w:szCs w:val="20"/>
              </w:rPr>
              <w:t>Usmrćivanje životinja i spaljivanje (bjesnoća) lešina; iskrčivanje i/ili spaljivanje biljaka koje prenose zarazu.</w:t>
            </w:r>
          </w:p>
        </w:tc>
      </w:tr>
      <w:tr w:rsidR="008F0D85">
        <w:trPr>
          <w:trHeight w:val="410"/>
        </w:trPr>
        <w:tc>
          <w:tcPr>
            <w:tcW w:w="66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numPr>
                <w:ilvl w:val="0"/>
                <w:numId w:val="20"/>
              </w:numPr>
              <w:spacing w:after="0" w:line="240" w:lineRule="auto"/>
              <w:contextualSpacing/>
              <w:jc w:val="center"/>
              <w:rPr>
                <w:rFonts w:cs="Calibri"/>
                <w:b/>
                <w:sz w:val="20"/>
                <w:szCs w:val="20"/>
                <w:lang w:val="en-US"/>
              </w:rPr>
            </w:pPr>
          </w:p>
        </w:tc>
        <w:tc>
          <w:tcPr>
            <w:tcW w:w="12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rFonts w:cs="Calibri"/>
                <w:b/>
                <w:sz w:val="20"/>
                <w:szCs w:val="20"/>
              </w:rPr>
            </w:pPr>
            <w:r>
              <w:rPr>
                <w:rFonts w:cs="Calibri"/>
                <w:b/>
                <w:sz w:val="20"/>
                <w:szCs w:val="20"/>
              </w:rPr>
              <w:t xml:space="preserve">Ekstremne vremenske pojave – </w:t>
            </w:r>
            <w:r>
              <w:rPr>
                <w:rFonts w:cs="Calibri"/>
                <w:b/>
                <w:sz w:val="20"/>
                <w:szCs w:val="20"/>
              </w:rPr>
              <w:t xml:space="preserve">Ekstremne </w:t>
            </w:r>
            <w:r>
              <w:rPr>
                <w:rFonts w:cs="Calibri"/>
                <w:b/>
                <w:sz w:val="20"/>
                <w:szCs w:val="20"/>
              </w:rPr>
              <w:lastRenderedPageBreak/>
              <w:t>temperature</w:t>
            </w:r>
          </w:p>
        </w:tc>
        <w:tc>
          <w:tcPr>
            <w:tcW w:w="3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lastRenderedPageBreak/>
              <w:t xml:space="preserve">Toplinski val kao prirodna pojava uzrokovana klimatskim promjenama, nastaje naglo bez prethodnih najava, neočekivano za županiju koja ima </w:t>
            </w:r>
            <w:r>
              <w:rPr>
                <w:rFonts w:cs="Calibri"/>
                <w:sz w:val="20"/>
                <w:szCs w:val="20"/>
              </w:rPr>
              <w:lastRenderedPageBreak/>
              <w:t>umjerenu kontinentalnu klimu. Toplina može biti okidač za uzrok mnogih zdravstvenih stanja i iza</w:t>
            </w:r>
            <w:r>
              <w:rPr>
                <w:rFonts w:cs="Calibri"/>
                <w:sz w:val="20"/>
                <w:szCs w:val="20"/>
              </w:rPr>
              <w:t>zvati umor, srčani udar ili konfuziju, inzult te pogoršati postojeće stanje kod kroničnih bolesnika.</w:t>
            </w:r>
          </w:p>
        </w:tc>
        <w:tc>
          <w:tcPr>
            <w:tcW w:w="300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lastRenderedPageBreak/>
              <w:t xml:space="preserve">Ekonomska analiza zdravstvenih učinaka i prilagodbe na klimatske promjene ukazuje na direktne i indirektne posljedice na zdravlje </w:t>
            </w:r>
            <w:r>
              <w:rPr>
                <w:rFonts w:cs="Calibri"/>
                <w:sz w:val="20"/>
                <w:szCs w:val="20"/>
              </w:rPr>
              <w:lastRenderedPageBreak/>
              <w:t>od pojave ekstremnih temp</w:t>
            </w:r>
            <w:r>
              <w:rPr>
                <w:rFonts w:cs="Calibri"/>
                <w:sz w:val="20"/>
                <w:szCs w:val="20"/>
              </w:rPr>
              <w:t>eratura uslijed klimatskih promjena to su: povećana smrtnost i broj ozljeda, povećan rizik od zaraznih bolesti, prehrana i razvoj djece, negativan utjecaj na mentalno zdravlje i kardio-respiratorne bolesti.</w:t>
            </w:r>
          </w:p>
        </w:tc>
        <w:tc>
          <w:tcPr>
            <w:tcW w:w="32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sz w:val="20"/>
                <w:szCs w:val="20"/>
              </w:rPr>
            </w:pPr>
            <w:r>
              <w:rPr>
                <w:rFonts w:cs="Calibri"/>
                <w:sz w:val="20"/>
                <w:szCs w:val="20"/>
              </w:rPr>
              <w:lastRenderedPageBreak/>
              <w:t xml:space="preserve">Zdravstvenim mjerama prevencije uz </w:t>
            </w:r>
            <w:r>
              <w:rPr>
                <w:rFonts w:cs="Calibri"/>
                <w:sz w:val="20"/>
                <w:szCs w:val="20"/>
              </w:rPr>
              <w:t xml:space="preserve">medijsku podršku u pružanju pravovremenih informacija, a vezano uz zaštitu od vrućine ključan je i </w:t>
            </w:r>
            <w:r>
              <w:rPr>
                <w:rFonts w:cs="Calibri"/>
                <w:sz w:val="20"/>
                <w:szCs w:val="20"/>
              </w:rPr>
              <w:lastRenderedPageBreak/>
              <w:t>važan čimbenik očuvanja kardiološkog zdravlja, ali i zdravlja općenito.</w:t>
            </w:r>
          </w:p>
          <w:p w:rsidR="008F0D85" w:rsidRDefault="00AE42A1">
            <w:pPr>
              <w:spacing w:after="0" w:line="240" w:lineRule="auto"/>
              <w:jc w:val="left"/>
              <w:rPr>
                <w:rFonts w:cs="Calibri"/>
                <w:sz w:val="20"/>
                <w:szCs w:val="20"/>
              </w:rPr>
            </w:pPr>
            <w:r>
              <w:rPr>
                <w:rFonts w:cs="Calibri"/>
                <w:sz w:val="20"/>
                <w:szCs w:val="20"/>
              </w:rPr>
              <w:t>Edukacija građana županije.</w:t>
            </w:r>
          </w:p>
        </w:tc>
        <w:tc>
          <w:tcPr>
            <w:tcW w:w="2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sz w:val="20"/>
                <w:szCs w:val="20"/>
              </w:rPr>
            </w:pPr>
          </w:p>
          <w:p w:rsidR="008F0D85" w:rsidRDefault="00AE42A1">
            <w:pPr>
              <w:spacing w:after="0" w:line="240" w:lineRule="auto"/>
              <w:jc w:val="left"/>
              <w:rPr>
                <w:rFonts w:cs="Calibri"/>
                <w:sz w:val="20"/>
                <w:szCs w:val="20"/>
              </w:rPr>
            </w:pPr>
            <w:r>
              <w:rPr>
                <w:rFonts w:cs="Calibri"/>
                <w:sz w:val="20"/>
                <w:szCs w:val="20"/>
              </w:rPr>
              <w:t>Obavješćivanje,</w:t>
            </w:r>
          </w:p>
          <w:p w:rsidR="008F0D85" w:rsidRDefault="00AE42A1">
            <w:pPr>
              <w:spacing w:after="0" w:line="240" w:lineRule="auto"/>
              <w:jc w:val="left"/>
              <w:rPr>
                <w:rFonts w:cs="Calibri"/>
                <w:sz w:val="20"/>
                <w:szCs w:val="20"/>
              </w:rPr>
            </w:pPr>
            <w:r>
              <w:rPr>
                <w:rFonts w:cs="Calibri"/>
                <w:sz w:val="20"/>
                <w:szCs w:val="20"/>
              </w:rPr>
              <w:t>pružanje prve pomoći.</w:t>
            </w:r>
          </w:p>
        </w:tc>
      </w:tr>
      <w:tr w:rsidR="008F0D85">
        <w:trPr>
          <w:trHeight w:val="410"/>
        </w:trPr>
        <w:tc>
          <w:tcPr>
            <w:tcW w:w="66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numPr>
                <w:ilvl w:val="0"/>
                <w:numId w:val="20"/>
              </w:numPr>
              <w:spacing w:after="0" w:line="240" w:lineRule="auto"/>
              <w:contextualSpacing/>
              <w:jc w:val="center"/>
              <w:rPr>
                <w:rFonts w:cs="Calibri"/>
                <w:b/>
                <w:sz w:val="20"/>
                <w:szCs w:val="20"/>
                <w:lang w:val="en-US"/>
              </w:rPr>
            </w:pPr>
          </w:p>
        </w:tc>
        <w:tc>
          <w:tcPr>
            <w:tcW w:w="12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rFonts w:cs="Calibri"/>
                <w:b/>
                <w:sz w:val="20"/>
                <w:szCs w:val="20"/>
              </w:rPr>
            </w:pPr>
            <w:r>
              <w:rPr>
                <w:rFonts w:cs="Calibri"/>
                <w:b/>
                <w:sz w:val="20"/>
                <w:szCs w:val="20"/>
              </w:rPr>
              <w:t>Ekstremne vremenske pojave – Mraz (Padaline)</w:t>
            </w:r>
          </w:p>
        </w:tc>
        <w:tc>
          <w:tcPr>
            <w:tcW w:w="3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240"/>
              <w:rPr>
                <w:sz w:val="18"/>
                <w:szCs w:val="18"/>
              </w:rPr>
            </w:pPr>
            <w:r>
              <w:rPr>
                <w:rFonts w:cs="Cambria"/>
                <w:color w:val="000000"/>
                <w:sz w:val="18"/>
                <w:szCs w:val="18"/>
              </w:rPr>
              <w:t xml:space="preserve">Padalina koja se pojavljuje od rujna do svibnja, pri čemu je najopasniji onaj koji se pojavi u vegetacijskom razdoblju. </w:t>
            </w:r>
            <w:r>
              <w:rPr>
                <w:sz w:val="18"/>
                <w:szCs w:val="18"/>
                <w:lang w:eastAsia="hr-HR"/>
              </w:rPr>
              <w:t>Ovu pojavu karakterizira kratkotrajni pad temperature prizemnog sloja zraka do 0° C ili niž</w:t>
            </w:r>
            <w:r>
              <w:rPr>
                <w:sz w:val="18"/>
                <w:szCs w:val="18"/>
                <w:lang w:eastAsia="hr-HR"/>
              </w:rPr>
              <w:t xml:space="preserve">e, u toplom dijelu godine, a može izazvati velike štete posebno kada se radi o voćarskim i povrtnim kulturama. Pojava, intenzitet i trajanje mraza lokalnog je karaktera jer ovisi od nagiba i orijentacije terena, reljefa, vrste zemljišta i vegetacije. Mraz </w:t>
            </w:r>
            <w:r>
              <w:rPr>
                <w:sz w:val="18"/>
                <w:szCs w:val="18"/>
                <w:lang w:eastAsia="hr-HR"/>
              </w:rPr>
              <w:t>nastaje sublimacijom vodene pare na ohlađenim predmetima ili bilju kad je temperatura rosišta niža od 0</w:t>
            </w:r>
            <w:r>
              <w:rPr>
                <w:sz w:val="18"/>
                <w:szCs w:val="18"/>
                <w:vertAlign w:val="superscript"/>
                <w:lang w:eastAsia="hr-HR"/>
              </w:rPr>
              <w:t>0</w:t>
            </w:r>
            <w:r>
              <w:rPr>
                <w:sz w:val="18"/>
                <w:szCs w:val="18"/>
                <w:lang w:eastAsia="hr-HR"/>
              </w:rPr>
              <w:t xml:space="preserve">C, a zrak se ohladi ispod rosišta. Prema nastanku možemo ga podijeliti na advekcijski, radijacijski i evaporacijski. </w:t>
            </w:r>
          </w:p>
        </w:tc>
        <w:tc>
          <w:tcPr>
            <w:tcW w:w="300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18"/>
                <w:szCs w:val="18"/>
              </w:rPr>
            </w:pPr>
            <w:r>
              <w:rPr>
                <w:rFonts w:cs="Cambria"/>
                <w:color w:val="000000"/>
                <w:sz w:val="18"/>
                <w:szCs w:val="18"/>
              </w:rPr>
              <w:t>Posljedice mogu biti smanjenje pri</w:t>
            </w:r>
            <w:r>
              <w:rPr>
                <w:rFonts w:cs="Cambria"/>
                <w:color w:val="000000"/>
                <w:sz w:val="18"/>
                <w:szCs w:val="18"/>
              </w:rPr>
              <w:t xml:space="preserve">nosa u poljoprivredi i povrtlarstvu. Mraz je štetan jer biljke mogu promrznuti zbog niskih temperatura. </w:t>
            </w:r>
            <w:r>
              <w:rPr>
                <w:sz w:val="18"/>
                <w:szCs w:val="18"/>
                <w:lang w:eastAsia="hr-HR"/>
              </w:rPr>
              <w:t xml:space="preserve">U posljednjih nekoliko godina, mraz koji se pojavio u kasno proljeće nanosi velike štete na plantažama voćaka kao i na povrtlarskim kulturama. </w:t>
            </w:r>
          </w:p>
        </w:tc>
        <w:tc>
          <w:tcPr>
            <w:tcW w:w="32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sz w:val="18"/>
                <w:szCs w:val="18"/>
              </w:rPr>
            </w:pPr>
            <w:r>
              <w:rPr>
                <w:rFonts w:cs="Calibri"/>
                <w:sz w:val="18"/>
                <w:szCs w:val="18"/>
              </w:rPr>
              <w:t>Savjetov</w:t>
            </w:r>
            <w:r>
              <w:rPr>
                <w:rFonts w:cs="Calibri"/>
                <w:sz w:val="18"/>
                <w:szCs w:val="18"/>
              </w:rPr>
              <w:t>anje, provođenje agrotehničkih mjera i mjera zaštite okoliša i prirode.</w:t>
            </w:r>
          </w:p>
        </w:tc>
        <w:tc>
          <w:tcPr>
            <w:tcW w:w="2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sz w:val="18"/>
                <w:szCs w:val="18"/>
              </w:rPr>
            </w:pPr>
            <w:r>
              <w:rPr>
                <w:rFonts w:cs="Calibri"/>
                <w:sz w:val="18"/>
                <w:szCs w:val="18"/>
              </w:rPr>
              <w:t>Upozoravanje.</w:t>
            </w:r>
          </w:p>
        </w:tc>
      </w:tr>
      <w:tr w:rsidR="008F0D85">
        <w:trPr>
          <w:trHeight w:val="410"/>
        </w:trPr>
        <w:tc>
          <w:tcPr>
            <w:tcW w:w="66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numPr>
                <w:ilvl w:val="0"/>
                <w:numId w:val="20"/>
              </w:numPr>
              <w:spacing w:after="0" w:line="240" w:lineRule="auto"/>
              <w:contextualSpacing/>
              <w:jc w:val="center"/>
              <w:rPr>
                <w:rFonts w:cs="Calibri"/>
                <w:b/>
                <w:sz w:val="20"/>
                <w:szCs w:val="20"/>
                <w:lang w:val="en-US"/>
              </w:rPr>
            </w:pPr>
          </w:p>
        </w:tc>
        <w:tc>
          <w:tcPr>
            <w:tcW w:w="12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rFonts w:cs="Calibri"/>
                <w:b/>
                <w:sz w:val="20"/>
                <w:szCs w:val="20"/>
              </w:rPr>
            </w:pPr>
            <w:r>
              <w:rPr>
                <w:rFonts w:cs="Calibri"/>
                <w:b/>
                <w:sz w:val="20"/>
                <w:szCs w:val="20"/>
              </w:rPr>
              <w:t>E</w:t>
            </w:r>
            <w:r>
              <w:rPr>
                <w:b/>
                <w:sz w:val="20"/>
                <w:szCs w:val="20"/>
              </w:rPr>
              <w:t>kstremne vremenske pojave – Kiša (Padaline)</w:t>
            </w:r>
          </w:p>
        </w:tc>
        <w:tc>
          <w:tcPr>
            <w:tcW w:w="3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highlight w:val="yellow"/>
              </w:rPr>
            </w:pPr>
            <w:r>
              <w:rPr>
                <w:rFonts w:cs="Calibri"/>
                <w:color w:val="333333"/>
                <w:sz w:val="20"/>
                <w:szCs w:val="20"/>
                <w:shd w:val="clear" w:color="auto" w:fill="FFFFFF"/>
              </w:rPr>
              <w:t xml:space="preserve">Kiša je glavni izvor vode na Zemljinoj površini. Zbog svojih veoma malih dimenzija vodene kapljice oblaka mogu neko </w:t>
            </w:r>
            <w:r>
              <w:rPr>
                <w:rFonts w:cs="Calibri"/>
                <w:color w:val="333333"/>
                <w:sz w:val="20"/>
                <w:szCs w:val="20"/>
                <w:shd w:val="clear" w:color="auto" w:fill="FFFFFF"/>
              </w:rPr>
              <w:t xml:space="preserve">vrijeme lebdjeti u zraku. Spajanjem (koagulacijom) sitnih kapljica nastaju u oblacima krupnije kapi koje otežaju i padaju prema Zemlji. Sam proces stvaranja kapljica je dosta kompliciran. Vodena para prelazi u tekuće stanje kada je njena </w:t>
            </w:r>
            <w:r>
              <w:rPr>
                <w:rFonts w:cs="Calibri"/>
                <w:color w:val="333333"/>
                <w:sz w:val="20"/>
                <w:szCs w:val="20"/>
                <w:shd w:val="clear" w:color="auto" w:fill="FFFFFF"/>
              </w:rPr>
              <w:lastRenderedPageBreak/>
              <w:t>zasićenost dosegla</w:t>
            </w:r>
            <w:r>
              <w:rPr>
                <w:rFonts w:cs="Calibri"/>
                <w:color w:val="333333"/>
                <w:sz w:val="20"/>
                <w:szCs w:val="20"/>
                <w:shd w:val="clear" w:color="auto" w:fill="FFFFFF"/>
              </w:rPr>
              <w:t xml:space="preserve"> 100%. Međutim u oblaku zasićenost je daleko iznad 100%, a sam proces kondenzacije neusporedivo «teže» bi počeo da nema tzv. kondenzacijskih jezgri. Radi se o sitnim česticama prašine ili soli koje vjetar ponese u zrak prilikom razbijanja valova o obalu. P</w:t>
            </w:r>
            <w:r>
              <w:rPr>
                <w:rFonts w:cs="Calibri"/>
                <w:color w:val="333333"/>
                <w:sz w:val="20"/>
                <w:szCs w:val="20"/>
                <w:shd w:val="clear" w:color="auto" w:fill="FFFFFF"/>
              </w:rPr>
              <w:t>risutnost takvih čestica omogućuje proces kondenzacije i na stupnju zasićenosti vodene pare i ispod 100%.</w:t>
            </w:r>
            <w:r>
              <w:rPr>
                <w:rFonts w:cs="Calibri"/>
                <w:color w:val="333333"/>
                <w:sz w:val="20"/>
                <w:szCs w:val="20"/>
              </w:rPr>
              <w:br/>
            </w:r>
            <w:r>
              <w:rPr>
                <w:rFonts w:cs="Calibri"/>
                <w:color w:val="333333"/>
                <w:sz w:val="20"/>
                <w:szCs w:val="20"/>
                <w:shd w:val="clear" w:color="auto" w:fill="FFFFFF"/>
              </w:rPr>
              <w:t xml:space="preserve">Za padanje obilnih kiša iz oblaka vrlo je značajna prisutnost sitnih ledenih kristala koji se sublimiranjem i spajanjem s pothlađenim </w:t>
            </w:r>
            <w:r>
              <w:rPr>
                <w:rFonts w:cs="Calibri"/>
                <w:color w:val="333333"/>
                <w:sz w:val="20"/>
                <w:szCs w:val="20"/>
                <w:shd w:val="clear" w:color="auto" w:fill="FFFFFF"/>
              </w:rPr>
              <w:t>kapljicama povećavaju i postaju veliki kristali leda, brzo se na dnu oblaka otapaju i padaju kao kiša (pljusak).</w:t>
            </w:r>
          </w:p>
        </w:tc>
        <w:tc>
          <w:tcPr>
            <w:tcW w:w="300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color w:val="222222"/>
                <w:sz w:val="20"/>
                <w:szCs w:val="20"/>
                <w:shd w:val="clear" w:color="auto" w:fill="FFFFFF"/>
              </w:rPr>
              <w:lastRenderedPageBreak/>
              <w:t>Posljedice mogu biti smanjenje prinosa u poljoprivredi i povrtlarstvu.</w:t>
            </w:r>
          </w:p>
        </w:tc>
        <w:tc>
          <w:tcPr>
            <w:tcW w:w="32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color w:val="222222"/>
                <w:sz w:val="20"/>
                <w:szCs w:val="20"/>
                <w:shd w:val="clear" w:color="auto" w:fill="FFFFFF"/>
              </w:rPr>
              <w:t>Edukacija  i osposobljavanje stanovništva.</w:t>
            </w:r>
          </w:p>
        </w:tc>
        <w:tc>
          <w:tcPr>
            <w:tcW w:w="2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Upozoravanje.</w:t>
            </w:r>
          </w:p>
        </w:tc>
      </w:tr>
      <w:tr w:rsidR="008F0D85">
        <w:trPr>
          <w:trHeight w:val="410"/>
        </w:trPr>
        <w:tc>
          <w:tcPr>
            <w:tcW w:w="66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numPr>
                <w:ilvl w:val="0"/>
                <w:numId w:val="20"/>
              </w:numPr>
              <w:spacing w:after="0" w:line="240" w:lineRule="auto"/>
              <w:contextualSpacing/>
              <w:jc w:val="center"/>
              <w:rPr>
                <w:rFonts w:cs="Calibri"/>
                <w:b/>
                <w:sz w:val="20"/>
                <w:szCs w:val="20"/>
                <w:lang w:val="en-US"/>
              </w:rPr>
            </w:pPr>
          </w:p>
        </w:tc>
        <w:tc>
          <w:tcPr>
            <w:tcW w:w="12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rFonts w:cs="Calibri"/>
                <w:b/>
                <w:sz w:val="20"/>
                <w:szCs w:val="20"/>
              </w:rPr>
            </w:pPr>
            <w:r>
              <w:rPr>
                <w:rFonts w:cs="Calibri"/>
                <w:b/>
                <w:sz w:val="20"/>
                <w:szCs w:val="20"/>
              </w:rPr>
              <w:t>Ekstremne vremenske pojave – Padaline (tuča)</w:t>
            </w:r>
          </w:p>
        </w:tc>
        <w:tc>
          <w:tcPr>
            <w:tcW w:w="3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widowControl w:val="0"/>
              <w:rPr>
                <w:rFonts w:cs="Calibri"/>
                <w:sz w:val="20"/>
                <w:szCs w:val="20"/>
              </w:rPr>
            </w:pPr>
            <w:r>
              <w:rPr>
                <w:rFonts w:cs="Calibri"/>
                <w:sz w:val="20"/>
                <w:szCs w:val="20"/>
              </w:rPr>
              <w:t>Područje Općine spada u područje umjereno pogođenim od pojave tuče. Za ta područja broj dana s krutom oborinom kreće se od 1 do 1,4 dana. Tuča bi za nekoliko dana prekinula uobičajeni način života, poradi saniranja nastalog stanja i spašavanja imovine. Nep</w:t>
            </w:r>
            <w:r>
              <w:rPr>
                <w:rFonts w:cs="Calibri"/>
                <w:sz w:val="20"/>
                <w:szCs w:val="20"/>
              </w:rPr>
              <w:t xml:space="preserve">ogoda bi utjecala na gubitak osnovnih sredstava za život /poljoprivrednih i povrtlarskih proizvoda/. </w:t>
            </w:r>
          </w:p>
          <w:p w:rsidR="008F0D85" w:rsidRDefault="008F0D85">
            <w:pPr>
              <w:spacing w:after="0" w:line="240" w:lineRule="auto"/>
              <w:rPr>
                <w:rFonts w:cs="Calibri"/>
                <w:color w:val="222222"/>
                <w:sz w:val="20"/>
                <w:szCs w:val="20"/>
                <w:highlight w:val="white"/>
              </w:rPr>
            </w:pPr>
          </w:p>
        </w:tc>
        <w:tc>
          <w:tcPr>
            <w:tcW w:w="300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Problemi u prometu, opskrba lokalne i regionalne samouprave,</w:t>
            </w:r>
          </w:p>
          <w:p w:rsidR="008F0D85" w:rsidRDefault="00AE42A1">
            <w:pPr>
              <w:spacing w:after="0" w:line="240" w:lineRule="auto"/>
              <w:rPr>
                <w:rFonts w:cs="Calibri"/>
                <w:sz w:val="20"/>
                <w:szCs w:val="20"/>
              </w:rPr>
            </w:pPr>
            <w:r>
              <w:rPr>
                <w:rFonts w:cs="Calibri"/>
                <w:sz w:val="20"/>
                <w:szCs w:val="20"/>
              </w:rPr>
              <w:t>problemi kod pružanja</w:t>
            </w:r>
          </w:p>
          <w:p w:rsidR="008F0D85" w:rsidRDefault="00AE42A1">
            <w:pPr>
              <w:spacing w:after="0" w:line="240" w:lineRule="auto"/>
              <w:rPr>
                <w:rFonts w:cs="Calibri"/>
                <w:sz w:val="20"/>
                <w:szCs w:val="20"/>
              </w:rPr>
            </w:pPr>
            <w:r>
              <w:rPr>
                <w:rFonts w:cs="Calibri"/>
                <w:sz w:val="20"/>
                <w:szCs w:val="20"/>
              </w:rPr>
              <w:t>zdravstvenih usluga, štete na poljoprivrednim površinama,</w:t>
            </w:r>
          </w:p>
          <w:p w:rsidR="008F0D85" w:rsidRDefault="00AE42A1">
            <w:pPr>
              <w:spacing w:after="0" w:line="240" w:lineRule="auto"/>
              <w:rPr>
                <w:rFonts w:cs="Calibri"/>
                <w:sz w:val="20"/>
                <w:szCs w:val="20"/>
              </w:rPr>
            </w:pPr>
            <w:r>
              <w:rPr>
                <w:rFonts w:cs="Calibri"/>
                <w:sz w:val="20"/>
                <w:szCs w:val="20"/>
              </w:rPr>
              <w:t>štete na obj</w:t>
            </w:r>
            <w:r>
              <w:rPr>
                <w:rFonts w:cs="Calibri"/>
                <w:sz w:val="20"/>
                <w:szCs w:val="20"/>
              </w:rPr>
              <w:t>ektima. Pojava leda na</w:t>
            </w:r>
          </w:p>
          <w:p w:rsidR="008F0D85" w:rsidRDefault="00AE42A1">
            <w:pPr>
              <w:spacing w:after="0" w:line="240" w:lineRule="auto"/>
              <w:rPr>
                <w:rFonts w:cs="Calibri"/>
                <w:sz w:val="20"/>
                <w:szCs w:val="20"/>
              </w:rPr>
            </w:pPr>
            <w:r>
              <w:rPr>
                <w:rFonts w:cs="Calibri"/>
                <w:sz w:val="20"/>
                <w:szCs w:val="20"/>
              </w:rPr>
              <w:t>objektima kritične infrastrukture</w:t>
            </w:r>
          </w:p>
          <w:p w:rsidR="008F0D85" w:rsidRDefault="00AE42A1">
            <w:pPr>
              <w:spacing w:after="0" w:line="240" w:lineRule="auto"/>
              <w:rPr>
                <w:rFonts w:cs="Calibri"/>
                <w:sz w:val="20"/>
                <w:szCs w:val="20"/>
              </w:rPr>
            </w:pPr>
            <w:r>
              <w:rPr>
                <w:rFonts w:cs="Calibri"/>
                <w:sz w:val="20"/>
                <w:szCs w:val="20"/>
              </w:rPr>
              <w:t>(elektroenergetika,</w:t>
            </w:r>
          </w:p>
          <w:p w:rsidR="008F0D85" w:rsidRDefault="00AE42A1">
            <w:pPr>
              <w:spacing w:after="0" w:line="240" w:lineRule="auto"/>
              <w:rPr>
                <w:rFonts w:cs="Calibri"/>
                <w:sz w:val="20"/>
                <w:szCs w:val="20"/>
              </w:rPr>
            </w:pPr>
            <w:r>
              <w:rPr>
                <w:rFonts w:cs="Calibri"/>
                <w:sz w:val="20"/>
                <w:szCs w:val="20"/>
              </w:rPr>
              <w:t>telekomunikacije, vodoopskrba) može učiniti znatne materijalne štete.</w:t>
            </w:r>
          </w:p>
        </w:tc>
        <w:tc>
          <w:tcPr>
            <w:tcW w:w="32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sz w:val="20"/>
                <w:szCs w:val="20"/>
              </w:rPr>
            </w:pPr>
            <w:r>
              <w:rPr>
                <w:rFonts w:cs="Calibri"/>
                <w:sz w:val="20"/>
                <w:szCs w:val="20"/>
              </w:rPr>
              <w:t>Edukacija i osposobljavanje</w:t>
            </w:r>
          </w:p>
          <w:p w:rsidR="008F0D85" w:rsidRDefault="00AE42A1">
            <w:pPr>
              <w:spacing w:after="0" w:line="240" w:lineRule="auto"/>
              <w:jc w:val="left"/>
              <w:rPr>
                <w:rFonts w:cs="Calibri"/>
                <w:sz w:val="20"/>
                <w:szCs w:val="20"/>
              </w:rPr>
            </w:pPr>
            <w:r>
              <w:rPr>
                <w:rFonts w:cs="Calibri"/>
                <w:sz w:val="20"/>
                <w:szCs w:val="20"/>
              </w:rPr>
              <w:t xml:space="preserve">građana županije s ciljem ublažavanja posljedica od snježnih oborina i poledica. </w:t>
            </w:r>
            <w:r>
              <w:rPr>
                <w:rFonts w:cs="Calibri"/>
                <w:sz w:val="20"/>
                <w:szCs w:val="20"/>
              </w:rPr>
              <w:t>Potrebno je</w:t>
            </w:r>
          </w:p>
          <w:p w:rsidR="008F0D85" w:rsidRDefault="00AE42A1">
            <w:pPr>
              <w:spacing w:after="0" w:line="240" w:lineRule="auto"/>
              <w:jc w:val="left"/>
              <w:rPr>
                <w:rFonts w:cs="Calibri"/>
                <w:sz w:val="20"/>
                <w:szCs w:val="20"/>
              </w:rPr>
            </w:pPr>
            <w:r>
              <w:rPr>
                <w:rFonts w:cs="Calibri"/>
                <w:sz w:val="20"/>
                <w:szCs w:val="20"/>
              </w:rPr>
              <w:t>redovito čišćenje pločnika, pristupnih</w:t>
            </w:r>
          </w:p>
          <w:p w:rsidR="008F0D85" w:rsidRDefault="00AE42A1">
            <w:pPr>
              <w:spacing w:after="0" w:line="240" w:lineRule="auto"/>
              <w:jc w:val="left"/>
              <w:rPr>
                <w:rFonts w:cs="Calibri"/>
                <w:sz w:val="20"/>
                <w:szCs w:val="20"/>
              </w:rPr>
            </w:pPr>
            <w:r>
              <w:rPr>
                <w:rFonts w:cs="Calibri"/>
                <w:sz w:val="20"/>
                <w:szCs w:val="20"/>
              </w:rPr>
              <w:t>putova, čišćenje snijega i leda s vozila prije uključivanja u promet i</w:t>
            </w:r>
          </w:p>
          <w:p w:rsidR="008F0D85" w:rsidRDefault="00AE42A1">
            <w:pPr>
              <w:spacing w:after="0" w:line="240" w:lineRule="auto"/>
              <w:jc w:val="left"/>
              <w:rPr>
                <w:rFonts w:cs="Calibri"/>
                <w:sz w:val="20"/>
                <w:szCs w:val="20"/>
              </w:rPr>
            </w:pPr>
            <w:r>
              <w:rPr>
                <w:rFonts w:cs="Calibri"/>
                <w:sz w:val="20"/>
                <w:szCs w:val="20"/>
              </w:rPr>
              <w:t xml:space="preserve">korištenje zimske opreme na vozilima. Poštivanjem urbanističkih mjera u izgradnji objekata smanjiti će se posljedice uzrokovane kišom </w:t>
            </w:r>
            <w:r>
              <w:rPr>
                <w:rFonts w:cs="Calibri"/>
                <w:sz w:val="20"/>
                <w:szCs w:val="20"/>
              </w:rPr>
              <w:t>i/ili</w:t>
            </w:r>
          </w:p>
          <w:p w:rsidR="008F0D85" w:rsidRDefault="00AE42A1">
            <w:pPr>
              <w:spacing w:after="0" w:line="240" w:lineRule="auto"/>
              <w:jc w:val="left"/>
              <w:rPr>
                <w:rFonts w:cs="Calibri"/>
                <w:sz w:val="20"/>
                <w:szCs w:val="20"/>
              </w:rPr>
            </w:pPr>
            <w:r>
              <w:rPr>
                <w:rFonts w:cs="Calibri"/>
                <w:sz w:val="20"/>
                <w:szCs w:val="20"/>
              </w:rPr>
              <w:t>tučom.</w:t>
            </w:r>
          </w:p>
        </w:tc>
        <w:tc>
          <w:tcPr>
            <w:tcW w:w="2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sz w:val="20"/>
                <w:szCs w:val="20"/>
              </w:rPr>
            </w:pPr>
            <w:r>
              <w:rPr>
                <w:rFonts w:cs="Calibri"/>
                <w:sz w:val="20"/>
                <w:szCs w:val="20"/>
              </w:rPr>
              <w:t>Rano obavješćivanje i</w:t>
            </w:r>
          </w:p>
          <w:p w:rsidR="008F0D85" w:rsidRDefault="00AE42A1">
            <w:pPr>
              <w:spacing w:after="0" w:line="240" w:lineRule="auto"/>
              <w:jc w:val="left"/>
              <w:rPr>
                <w:rFonts w:cs="Calibri"/>
                <w:sz w:val="20"/>
                <w:szCs w:val="20"/>
              </w:rPr>
            </w:pPr>
            <w:r>
              <w:rPr>
                <w:rFonts w:cs="Calibri"/>
                <w:sz w:val="20"/>
                <w:szCs w:val="20"/>
              </w:rPr>
              <w:t>upozoravanje,</w:t>
            </w:r>
          </w:p>
          <w:p w:rsidR="008F0D85" w:rsidRDefault="00AE42A1">
            <w:pPr>
              <w:spacing w:after="0" w:line="240" w:lineRule="auto"/>
              <w:jc w:val="left"/>
              <w:rPr>
                <w:rFonts w:cs="Calibri"/>
                <w:sz w:val="20"/>
                <w:szCs w:val="20"/>
              </w:rPr>
            </w:pPr>
            <w:r>
              <w:rPr>
                <w:rFonts w:cs="Calibri"/>
                <w:sz w:val="20"/>
                <w:szCs w:val="20"/>
              </w:rPr>
              <w:t>pripremljena zimska</w:t>
            </w:r>
          </w:p>
          <w:p w:rsidR="008F0D85" w:rsidRDefault="00AE42A1">
            <w:pPr>
              <w:spacing w:after="0" w:line="240" w:lineRule="auto"/>
              <w:jc w:val="left"/>
              <w:rPr>
                <w:rFonts w:cs="Calibri"/>
                <w:sz w:val="20"/>
                <w:szCs w:val="20"/>
              </w:rPr>
            </w:pPr>
            <w:r>
              <w:rPr>
                <w:rFonts w:cs="Calibri"/>
                <w:sz w:val="20"/>
                <w:szCs w:val="20"/>
              </w:rPr>
              <w:t>služba.</w:t>
            </w:r>
          </w:p>
        </w:tc>
      </w:tr>
      <w:tr w:rsidR="008F0D85">
        <w:trPr>
          <w:trHeight w:val="410"/>
        </w:trPr>
        <w:tc>
          <w:tcPr>
            <w:tcW w:w="66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numPr>
                <w:ilvl w:val="0"/>
                <w:numId w:val="20"/>
              </w:numPr>
              <w:spacing w:after="0" w:line="240" w:lineRule="auto"/>
              <w:contextualSpacing/>
              <w:jc w:val="center"/>
              <w:rPr>
                <w:rFonts w:cs="Calibri"/>
                <w:b/>
                <w:sz w:val="20"/>
                <w:szCs w:val="20"/>
                <w:lang w:val="en-US"/>
              </w:rPr>
            </w:pPr>
          </w:p>
        </w:tc>
        <w:tc>
          <w:tcPr>
            <w:tcW w:w="12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rFonts w:cs="Calibri"/>
                <w:b/>
                <w:sz w:val="20"/>
                <w:szCs w:val="20"/>
              </w:rPr>
            </w:pPr>
            <w:r>
              <w:rPr>
                <w:rFonts w:cs="Calibri"/>
                <w:b/>
                <w:sz w:val="20"/>
                <w:szCs w:val="20"/>
              </w:rPr>
              <w:t>Suša</w:t>
            </w:r>
          </w:p>
        </w:tc>
        <w:tc>
          <w:tcPr>
            <w:tcW w:w="3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left"/>
              <w:rPr>
                <w:rFonts w:cs="Calibri"/>
                <w:sz w:val="20"/>
                <w:szCs w:val="20"/>
              </w:rPr>
            </w:pPr>
            <w:r>
              <w:rPr>
                <w:rFonts w:cs="Calibri"/>
                <w:sz w:val="20"/>
                <w:szCs w:val="20"/>
              </w:rPr>
              <w:t xml:space="preserve">Meteorološka suša ili dulje razdoblje bez oborina može uzrokovati ozbiljne štete u poljoprivredi, vodoprivredi te u drugim gospodarskim </w:t>
            </w:r>
            <w:r>
              <w:rPr>
                <w:rFonts w:cs="Calibri"/>
                <w:sz w:val="20"/>
                <w:szCs w:val="20"/>
              </w:rPr>
              <w:lastRenderedPageBreak/>
              <w:t>djelatnostima. Za poljodjelstvo mogu biti opasne suše koje nastaju u vegetacijskom razdoblju. Nedostatak oborina u dulje</w:t>
            </w:r>
            <w:r>
              <w:rPr>
                <w:rFonts w:cs="Calibri"/>
                <w:sz w:val="20"/>
                <w:szCs w:val="20"/>
              </w:rPr>
              <w:t xml:space="preserve">m vremenskom razdoblju može, s određenim faznim pomakom uzrokovati i hidrološku sušu koja se očituje smanjenjem površinskih i dubinskih zaliha vode. </w:t>
            </w:r>
          </w:p>
        </w:tc>
        <w:tc>
          <w:tcPr>
            <w:tcW w:w="300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lastRenderedPageBreak/>
              <w:t xml:space="preserve">Suša bi neimenovano utjecala na vodostaje rijeka, vodocrpilišta i druge izvore vode za piće (bunari) jer bi se razina istih snizila u </w:t>
            </w:r>
            <w:r>
              <w:rPr>
                <w:rFonts w:cs="Calibri"/>
                <w:sz w:val="20"/>
                <w:szCs w:val="20"/>
              </w:rPr>
              <w:lastRenderedPageBreak/>
              <w:t>ovisnosti od vremenskog trajanja suše. Smanjenjem nivoa i količine vode u vodnim objektima, otežala bi se distribucija ist</w:t>
            </w:r>
            <w:r>
              <w:rPr>
                <w:rFonts w:cs="Calibri"/>
                <w:sz w:val="20"/>
                <w:szCs w:val="20"/>
              </w:rPr>
              <w:t>e korisnicima, a mogućnosti pojave zaraze (hidrična epidemija – trbušni tifus, dizenterija, hepatitis) su veće. S obzirom na razvijenost područja, blizine grada Ivanić Grad te dobre cestovne povezanosti nijedna štetna posljedica neće imati tako drastičan u</w:t>
            </w:r>
            <w:r>
              <w:rPr>
                <w:rFonts w:cs="Calibri"/>
                <w:sz w:val="20"/>
                <w:szCs w:val="20"/>
              </w:rPr>
              <w:t xml:space="preserve">tjecaj na snabdijevanje stanovništva hranom koji bi doveo u pitanje funkcioniranje Općine. </w:t>
            </w:r>
          </w:p>
        </w:tc>
        <w:tc>
          <w:tcPr>
            <w:tcW w:w="32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lastRenderedPageBreak/>
              <w:t>Navodnjavanje, savjetovanje.</w:t>
            </w:r>
          </w:p>
        </w:tc>
        <w:tc>
          <w:tcPr>
            <w:tcW w:w="2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Upozoravanje.</w:t>
            </w:r>
          </w:p>
        </w:tc>
      </w:tr>
      <w:tr w:rsidR="008F0D85">
        <w:trPr>
          <w:trHeight w:val="410"/>
        </w:trPr>
        <w:tc>
          <w:tcPr>
            <w:tcW w:w="66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numPr>
                <w:ilvl w:val="0"/>
                <w:numId w:val="20"/>
              </w:numPr>
              <w:spacing w:after="0" w:line="240" w:lineRule="auto"/>
              <w:contextualSpacing/>
              <w:jc w:val="center"/>
              <w:rPr>
                <w:rFonts w:cs="Calibri"/>
                <w:b/>
                <w:sz w:val="20"/>
                <w:szCs w:val="20"/>
                <w:lang w:val="en-US"/>
              </w:rPr>
            </w:pPr>
          </w:p>
        </w:tc>
        <w:tc>
          <w:tcPr>
            <w:tcW w:w="12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rFonts w:cs="Calibri"/>
                <w:b/>
                <w:sz w:val="20"/>
                <w:szCs w:val="20"/>
              </w:rPr>
            </w:pPr>
            <w:r>
              <w:rPr>
                <w:rFonts w:cs="Calibri"/>
                <w:b/>
                <w:sz w:val="20"/>
                <w:szCs w:val="20"/>
              </w:rPr>
              <w:t>Poplava</w:t>
            </w:r>
          </w:p>
        </w:tc>
        <w:tc>
          <w:tcPr>
            <w:tcW w:w="3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sz w:val="20"/>
                <w:szCs w:val="20"/>
              </w:rPr>
            </w:pPr>
            <w:r>
              <w:rPr>
                <w:rFonts w:cs="Calibri"/>
                <w:sz w:val="20"/>
                <w:szCs w:val="20"/>
              </w:rPr>
              <w:t>Najznačajniji vodotoci I. i II. reda koji protiču predmetnim područjem Općine jesu: Kozarevac,</w:t>
            </w:r>
          </w:p>
          <w:p w:rsidR="008F0D85" w:rsidRDefault="00AE42A1">
            <w:pPr>
              <w:spacing w:after="0" w:line="240" w:lineRule="auto"/>
              <w:jc w:val="left"/>
              <w:rPr>
                <w:rFonts w:cs="Calibri"/>
                <w:sz w:val="20"/>
                <w:szCs w:val="20"/>
              </w:rPr>
            </w:pPr>
            <w:r>
              <w:rPr>
                <w:rFonts w:cs="Calibri"/>
                <w:sz w:val="20"/>
                <w:szCs w:val="20"/>
              </w:rPr>
              <w:t xml:space="preserve">Suha </w:t>
            </w:r>
            <w:r>
              <w:rPr>
                <w:rFonts w:cs="Calibri"/>
                <w:sz w:val="20"/>
                <w:szCs w:val="20"/>
              </w:rPr>
              <w:t>Katalena, Sirova Katalena, Limbuš Selišće, Kopanjek, Zvirišće. U nizinskom dijelu</w:t>
            </w:r>
          </w:p>
          <w:p w:rsidR="008F0D85" w:rsidRDefault="00AE42A1">
            <w:pPr>
              <w:spacing w:after="0" w:line="240" w:lineRule="auto"/>
              <w:jc w:val="left"/>
              <w:rPr>
                <w:rFonts w:cs="Calibri"/>
                <w:sz w:val="20"/>
                <w:szCs w:val="20"/>
              </w:rPr>
            </w:pPr>
            <w:r>
              <w:rPr>
                <w:rFonts w:cs="Calibri"/>
                <w:sz w:val="20"/>
                <w:szCs w:val="20"/>
              </w:rPr>
              <w:t>Općine nalaze se kanali III. i IV. reda: Selišće, Kvokača, Tiloši, Badanjek. Navedeni vodotoci</w:t>
            </w:r>
          </w:p>
          <w:p w:rsidR="008F0D85" w:rsidRDefault="00AE42A1">
            <w:pPr>
              <w:spacing w:after="0" w:line="240" w:lineRule="auto"/>
              <w:jc w:val="left"/>
              <w:rPr>
                <w:rFonts w:cs="Calibri"/>
                <w:sz w:val="20"/>
                <w:szCs w:val="20"/>
              </w:rPr>
            </w:pPr>
            <w:r>
              <w:rPr>
                <w:rFonts w:cs="Calibri"/>
                <w:sz w:val="20"/>
                <w:szCs w:val="20"/>
              </w:rPr>
              <w:t>su većim dijelom bujičnog karaktera, pa u vrijeme obilnijih padalina donose s b</w:t>
            </w:r>
            <w:r>
              <w:rPr>
                <w:rFonts w:cs="Calibri"/>
                <w:sz w:val="20"/>
                <w:szCs w:val="20"/>
              </w:rPr>
              <w:t>rdskog dijela</w:t>
            </w:r>
          </w:p>
          <w:p w:rsidR="008F0D85" w:rsidRDefault="00AE42A1">
            <w:pPr>
              <w:spacing w:after="0" w:line="240" w:lineRule="auto"/>
              <w:jc w:val="left"/>
              <w:rPr>
                <w:rFonts w:cs="Calibri"/>
                <w:sz w:val="20"/>
                <w:szCs w:val="20"/>
              </w:rPr>
            </w:pPr>
            <w:r>
              <w:rPr>
                <w:rFonts w:cs="Calibri"/>
                <w:sz w:val="20"/>
                <w:szCs w:val="20"/>
              </w:rPr>
              <w:t>sliva mnogo vode i nanosa koji se talože u nizinskom dijelu sliva. Vodotoci na području Općine pripadaju slivnom području „Bistra“.</w:t>
            </w:r>
          </w:p>
        </w:tc>
        <w:tc>
          <w:tcPr>
            <w:tcW w:w="300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sz w:val="20"/>
                <w:szCs w:val="20"/>
              </w:rPr>
            </w:pPr>
            <w:r>
              <w:rPr>
                <w:rFonts w:cs="Calibri"/>
                <w:sz w:val="20"/>
                <w:szCs w:val="20"/>
              </w:rPr>
              <w:t>Opskrba vodom i odvodnja:</w:t>
            </w:r>
          </w:p>
          <w:p w:rsidR="008F0D85" w:rsidRDefault="00AE42A1">
            <w:pPr>
              <w:spacing w:after="0" w:line="240" w:lineRule="auto"/>
              <w:jc w:val="left"/>
              <w:rPr>
                <w:rFonts w:cs="Calibri"/>
                <w:sz w:val="20"/>
                <w:szCs w:val="20"/>
              </w:rPr>
            </w:pPr>
            <w:r>
              <w:rPr>
                <w:rFonts w:cs="Calibri"/>
                <w:sz w:val="20"/>
                <w:szCs w:val="20"/>
              </w:rPr>
              <w:t xml:space="preserve"> poremećaj u funkcioniranju,</w:t>
            </w:r>
          </w:p>
          <w:p w:rsidR="008F0D85" w:rsidRDefault="00AE42A1">
            <w:pPr>
              <w:spacing w:after="0" w:line="240" w:lineRule="auto"/>
              <w:jc w:val="left"/>
              <w:rPr>
                <w:rFonts w:cs="Calibri"/>
                <w:sz w:val="20"/>
                <w:szCs w:val="20"/>
              </w:rPr>
            </w:pPr>
            <w:r>
              <w:rPr>
                <w:rFonts w:cs="Calibri"/>
                <w:sz w:val="20"/>
                <w:szCs w:val="20"/>
              </w:rPr>
              <w:t>Potapanje podruma, zagađenja izvora vode.</w:t>
            </w:r>
          </w:p>
          <w:p w:rsidR="008F0D85" w:rsidRDefault="00AE42A1">
            <w:pPr>
              <w:spacing w:after="0" w:line="240" w:lineRule="auto"/>
              <w:jc w:val="left"/>
              <w:rPr>
                <w:rFonts w:cs="Calibri"/>
                <w:sz w:val="20"/>
                <w:szCs w:val="20"/>
              </w:rPr>
            </w:pPr>
            <w:r>
              <w:rPr>
                <w:rFonts w:cs="Calibri"/>
                <w:sz w:val="20"/>
                <w:szCs w:val="20"/>
              </w:rPr>
              <w:t>Cestovni prom</w:t>
            </w:r>
            <w:r>
              <w:rPr>
                <w:rFonts w:cs="Calibri"/>
                <w:sz w:val="20"/>
                <w:szCs w:val="20"/>
              </w:rPr>
              <w:t>et: prekidi i otežano obavljanje djelatnosti do otklanjanja posljedica.</w:t>
            </w:r>
          </w:p>
          <w:p w:rsidR="008F0D85" w:rsidRDefault="00AE42A1">
            <w:pPr>
              <w:spacing w:after="0" w:line="240" w:lineRule="auto"/>
              <w:jc w:val="left"/>
              <w:rPr>
                <w:rFonts w:cs="Calibri"/>
                <w:sz w:val="20"/>
                <w:szCs w:val="20"/>
              </w:rPr>
            </w:pPr>
            <w:r>
              <w:rPr>
                <w:rFonts w:cs="Calibri"/>
                <w:sz w:val="20"/>
                <w:szCs w:val="20"/>
              </w:rPr>
              <w:t xml:space="preserve"> Proizvodnja i distribucija električne energije.</w:t>
            </w:r>
          </w:p>
        </w:tc>
        <w:tc>
          <w:tcPr>
            <w:tcW w:w="32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sz w:val="20"/>
                <w:szCs w:val="20"/>
              </w:rPr>
            </w:pPr>
            <w:r>
              <w:rPr>
                <w:rFonts w:cs="Calibri"/>
                <w:sz w:val="20"/>
                <w:szCs w:val="20"/>
              </w:rPr>
              <w:t>Građenje, tehničko i gospodarsko održavanje regulacijskih i zaštitnih vodnih građevina i vodnih građevina za melioracijsku odvodnju, te</w:t>
            </w:r>
            <w:r>
              <w:rPr>
                <w:rFonts w:cs="Calibri"/>
                <w:sz w:val="20"/>
                <w:szCs w:val="20"/>
              </w:rPr>
              <w:t>hničko i gospodarsko održavanje vodotoka i vodnog dobra, te druge radove kojima se omogućuju kontrolirani i neškodljivi protoci voda i njihovo namjensko korištenje.</w:t>
            </w:r>
          </w:p>
        </w:tc>
        <w:tc>
          <w:tcPr>
            <w:tcW w:w="2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sz w:val="20"/>
                <w:szCs w:val="20"/>
              </w:rPr>
            </w:pPr>
            <w:r>
              <w:rPr>
                <w:rFonts w:cs="Calibri"/>
                <w:sz w:val="20"/>
                <w:szCs w:val="20"/>
              </w:rPr>
              <w:t>Uzbunjivanje i</w:t>
            </w:r>
          </w:p>
          <w:p w:rsidR="008F0D85" w:rsidRDefault="00AE42A1">
            <w:pPr>
              <w:spacing w:after="0" w:line="240" w:lineRule="auto"/>
              <w:jc w:val="left"/>
              <w:rPr>
                <w:rFonts w:cs="Calibri"/>
                <w:sz w:val="20"/>
                <w:szCs w:val="20"/>
              </w:rPr>
            </w:pPr>
            <w:r>
              <w:rPr>
                <w:rFonts w:cs="Calibri"/>
                <w:sz w:val="20"/>
                <w:szCs w:val="20"/>
              </w:rPr>
              <w:t>obavješćivanje,</w:t>
            </w:r>
          </w:p>
          <w:p w:rsidR="008F0D85" w:rsidRDefault="00AE42A1">
            <w:pPr>
              <w:spacing w:after="0" w:line="240" w:lineRule="auto"/>
              <w:jc w:val="left"/>
              <w:rPr>
                <w:rFonts w:cs="Calibri"/>
                <w:sz w:val="20"/>
                <w:szCs w:val="20"/>
              </w:rPr>
            </w:pPr>
            <w:r>
              <w:rPr>
                <w:rFonts w:cs="Calibri"/>
                <w:sz w:val="20"/>
                <w:szCs w:val="20"/>
              </w:rPr>
              <w:t>evakuacija, zbrinjavanje,</w:t>
            </w:r>
          </w:p>
          <w:p w:rsidR="008F0D85" w:rsidRDefault="00AE42A1">
            <w:pPr>
              <w:spacing w:after="0" w:line="240" w:lineRule="auto"/>
              <w:jc w:val="left"/>
              <w:rPr>
                <w:rFonts w:cs="Calibri"/>
                <w:sz w:val="20"/>
                <w:szCs w:val="20"/>
              </w:rPr>
            </w:pPr>
            <w:r>
              <w:rPr>
                <w:rFonts w:cs="Calibri"/>
                <w:sz w:val="20"/>
                <w:szCs w:val="20"/>
              </w:rPr>
              <w:t>sklanjanje, spašavanje,</w:t>
            </w:r>
          </w:p>
          <w:p w:rsidR="008F0D85" w:rsidRDefault="00AE42A1">
            <w:pPr>
              <w:spacing w:after="0" w:line="240" w:lineRule="auto"/>
              <w:jc w:val="left"/>
              <w:rPr>
                <w:rFonts w:cs="Calibri"/>
                <w:sz w:val="20"/>
                <w:szCs w:val="20"/>
              </w:rPr>
            </w:pPr>
            <w:r>
              <w:rPr>
                <w:rFonts w:cs="Calibri"/>
                <w:sz w:val="20"/>
                <w:szCs w:val="20"/>
              </w:rPr>
              <w:t>pružanje p</w:t>
            </w:r>
            <w:r>
              <w:rPr>
                <w:rFonts w:cs="Calibri"/>
                <w:sz w:val="20"/>
                <w:szCs w:val="20"/>
              </w:rPr>
              <w:t>rve pomoći.</w:t>
            </w:r>
          </w:p>
        </w:tc>
      </w:tr>
      <w:tr w:rsidR="008F0D85">
        <w:trPr>
          <w:trHeight w:val="410"/>
        </w:trPr>
        <w:tc>
          <w:tcPr>
            <w:tcW w:w="66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numPr>
                <w:ilvl w:val="0"/>
                <w:numId w:val="20"/>
              </w:numPr>
              <w:spacing w:after="0" w:line="240" w:lineRule="auto"/>
              <w:contextualSpacing/>
              <w:jc w:val="center"/>
              <w:rPr>
                <w:rFonts w:cs="Calibri"/>
                <w:b/>
                <w:sz w:val="20"/>
                <w:szCs w:val="20"/>
                <w:lang w:val="en-US"/>
              </w:rPr>
            </w:pPr>
          </w:p>
        </w:tc>
        <w:tc>
          <w:tcPr>
            <w:tcW w:w="12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rFonts w:cs="Calibri"/>
                <w:b/>
                <w:sz w:val="20"/>
                <w:szCs w:val="20"/>
              </w:rPr>
            </w:pPr>
            <w:r>
              <w:rPr>
                <w:rFonts w:cs="Calibri"/>
                <w:b/>
                <w:sz w:val="20"/>
                <w:szCs w:val="20"/>
              </w:rPr>
              <w:t>Potres</w:t>
            </w:r>
          </w:p>
        </w:tc>
        <w:tc>
          <w:tcPr>
            <w:tcW w:w="3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sz w:val="20"/>
                <w:szCs w:val="20"/>
              </w:rPr>
            </w:pPr>
            <w:r>
              <w:rPr>
                <w:rFonts w:cs="Calibri"/>
                <w:sz w:val="20"/>
                <w:szCs w:val="20"/>
              </w:rPr>
              <w:t>Potres je elementarna nepogoda</w:t>
            </w:r>
          </w:p>
          <w:p w:rsidR="008F0D85" w:rsidRDefault="00AE42A1">
            <w:pPr>
              <w:spacing w:after="0" w:line="240" w:lineRule="auto"/>
              <w:jc w:val="left"/>
              <w:rPr>
                <w:rFonts w:cs="Calibri"/>
                <w:sz w:val="20"/>
                <w:szCs w:val="20"/>
              </w:rPr>
            </w:pPr>
            <w:r>
              <w:rPr>
                <w:rFonts w:cs="Calibri"/>
                <w:sz w:val="20"/>
                <w:szCs w:val="20"/>
              </w:rPr>
              <w:t>uzrokovana prirodnim</w:t>
            </w:r>
          </w:p>
          <w:p w:rsidR="008F0D85" w:rsidRDefault="00AE42A1">
            <w:pPr>
              <w:spacing w:after="0" w:line="240" w:lineRule="auto"/>
              <w:jc w:val="left"/>
              <w:rPr>
                <w:rFonts w:cs="Calibri"/>
                <w:sz w:val="20"/>
                <w:szCs w:val="20"/>
              </w:rPr>
            </w:pPr>
            <w:r>
              <w:rPr>
                <w:rFonts w:cs="Calibri"/>
                <w:sz w:val="20"/>
                <w:szCs w:val="20"/>
              </w:rPr>
              <w:t>događajem koji je vjerojatno</w:t>
            </w:r>
          </w:p>
          <w:p w:rsidR="008F0D85" w:rsidRDefault="00AE42A1">
            <w:pPr>
              <w:spacing w:after="0" w:line="240" w:lineRule="auto"/>
              <w:jc w:val="left"/>
              <w:rPr>
                <w:rFonts w:cs="Calibri"/>
                <w:sz w:val="20"/>
                <w:szCs w:val="20"/>
              </w:rPr>
            </w:pPr>
            <w:r>
              <w:rPr>
                <w:rFonts w:cs="Calibri"/>
                <w:sz w:val="20"/>
                <w:szCs w:val="20"/>
              </w:rPr>
              <w:t>najveći uzrok stradavanja ljudi i</w:t>
            </w:r>
          </w:p>
          <w:p w:rsidR="008F0D85" w:rsidRDefault="00AE42A1">
            <w:pPr>
              <w:spacing w:after="0" w:line="240" w:lineRule="auto"/>
              <w:jc w:val="left"/>
              <w:rPr>
                <w:rFonts w:cs="Calibri"/>
                <w:sz w:val="20"/>
                <w:szCs w:val="20"/>
              </w:rPr>
            </w:pPr>
            <w:r>
              <w:rPr>
                <w:rFonts w:cs="Calibri"/>
                <w:sz w:val="20"/>
                <w:szCs w:val="20"/>
              </w:rPr>
              <w:t>uništenja materijalnih dobara.</w:t>
            </w:r>
          </w:p>
          <w:p w:rsidR="008F0D85" w:rsidRDefault="00AE42A1">
            <w:pPr>
              <w:spacing w:after="0" w:line="240" w:lineRule="auto"/>
              <w:jc w:val="left"/>
              <w:rPr>
                <w:rFonts w:cs="Calibri"/>
                <w:sz w:val="20"/>
                <w:szCs w:val="20"/>
              </w:rPr>
            </w:pPr>
            <w:r>
              <w:rPr>
                <w:rFonts w:cs="Calibri"/>
                <w:sz w:val="20"/>
                <w:szCs w:val="20"/>
              </w:rPr>
              <w:t>Potresi su uzrok katastrofa koje</w:t>
            </w:r>
          </w:p>
          <w:p w:rsidR="008F0D85" w:rsidRDefault="00AE42A1">
            <w:pPr>
              <w:spacing w:after="0" w:line="240" w:lineRule="auto"/>
              <w:jc w:val="left"/>
              <w:rPr>
                <w:rFonts w:cs="Calibri"/>
                <w:sz w:val="20"/>
                <w:szCs w:val="20"/>
              </w:rPr>
            </w:pPr>
            <w:r>
              <w:rPr>
                <w:rFonts w:cs="Calibri"/>
                <w:sz w:val="20"/>
                <w:szCs w:val="20"/>
              </w:rPr>
              <w:lastRenderedPageBreak/>
              <w:t>karakterizira brz nastanak,</w:t>
            </w:r>
          </w:p>
          <w:p w:rsidR="008F0D85" w:rsidRDefault="00AE42A1">
            <w:pPr>
              <w:spacing w:after="0" w:line="240" w:lineRule="auto"/>
              <w:jc w:val="left"/>
              <w:rPr>
                <w:rFonts w:cs="Calibri"/>
                <w:sz w:val="20"/>
                <w:szCs w:val="20"/>
              </w:rPr>
            </w:pPr>
            <w:r>
              <w:rPr>
                <w:rFonts w:cs="Calibri"/>
                <w:sz w:val="20"/>
                <w:szCs w:val="20"/>
              </w:rPr>
              <w:t xml:space="preserve">događaju se učestalo i </w:t>
            </w:r>
            <w:r>
              <w:rPr>
                <w:rFonts w:cs="Calibri"/>
                <w:sz w:val="20"/>
                <w:szCs w:val="20"/>
              </w:rPr>
              <w:t>bez</w:t>
            </w:r>
          </w:p>
          <w:p w:rsidR="008F0D85" w:rsidRDefault="00AE42A1">
            <w:pPr>
              <w:spacing w:after="0" w:line="240" w:lineRule="auto"/>
              <w:jc w:val="left"/>
              <w:rPr>
                <w:rFonts w:cs="Calibri"/>
                <w:sz w:val="20"/>
                <w:szCs w:val="20"/>
              </w:rPr>
            </w:pPr>
            <w:r>
              <w:rPr>
                <w:rFonts w:cs="Calibri"/>
                <w:sz w:val="20"/>
                <w:szCs w:val="20"/>
              </w:rPr>
              <w:t>prethodnog upozorenja.</w:t>
            </w:r>
          </w:p>
        </w:tc>
        <w:tc>
          <w:tcPr>
            <w:tcW w:w="300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sz w:val="20"/>
                <w:szCs w:val="20"/>
              </w:rPr>
            </w:pPr>
            <w:r>
              <w:rPr>
                <w:rFonts w:cs="Calibri"/>
                <w:sz w:val="20"/>
                <w:szCs w:val="20"/>
              </w:rPr>
              <w:lastRenderedPageBreak/>
              <w:t>Potresi mogu</w:t>
            </w:r>
          </w:p>
          <w:p w:rsidR="008F0D85" w:rsidRDefault="00AE42A1">
            <w:pPr>
              <w:spacing w:after="0" w:line="240" w:lineRule="auto"/>
              <w:jc w:val="left"/>
              <w:rPr>
                <w:rFonts w:cs="Calibri"/>
                <w:sz w:val="20"/>
                <w:szCs w:val="20"/>
              </w:rPr>
            </w:pPr>
            <w:r>
              <w:rPr>
                <w:rFonts w:cs="Calibri"/>
                <w:sz w:val="20"/>
                <w:szCs w:val="20"/>
              </w:rPr>
              <w:t>uzrokovati sljedeće:</w:t>
            </w:r>
          </w:p>
          <w:p w:rsidR="008F0D85" w:rsidRDefault="00AE42A1">
            <w:pPr>
              <w:spacing w:after="0" w:line="240" w:lineRule="auto"/>
              <w:jc w:val="left"/>
              <w:rPr>
                <w:rFonts w:cs="Calibri"/>
                <w:sz w:val="20"/>
                <w:szCs w:val="20"/>
              </w:rPr>
            </w:pPr>
            <w:r>
              <w:rPr>
                <w:rFonts w:cs="Calibri"/>
                <w:sz w:val="20"/>
                <w:szCs w:val="20"/>
              </w:rPr>
              <w:t>veliki postotak</w:t>
            </w:r>
          </w:p>
          <w:p w:rsidR="008F0D85" w:rsidRDefault="00AE42A1">
            <w:pPr>
              <w:spacing w:after="0" w:line="240" w:lineRule="auto"/>
              <w:jc w:val="left"/>
              <w:rPr>
                <w:rFonts w:cs="Calibri"/>
                <w:sz w:val="20"/>
                <w:szCs w:val="20"/>
              </w:rPr>
            </w:pPr>
            <w:r>
              <w:rPr>
                <w:rFonts w:cs="Calibri"/>
                <w:sz w:val="20"/>
                <w:szCs w:val="20"/>
              </w:rPr>
              <w:t>oštećenosti stambenih</w:t>
            </w:r>
          </w:p>
          <w:p w:rsidR="008F0D85" w:rsidRDefault="00AE42A1">
            <w:pPr>
              <w:spacing w:after="0" w:line="240" w:lineRule="auto"/>
              <w:jc w:val="left"/>
              <w:rPr>
                <w:rFonts w:cs="Calibri"/>
                <w:sz w:val="20"/>
                <w:szCs w:val="20"/>
              </w:rPr>
            </w:pPr>
            <w:r>
              <w:rPr>
                <w:rFonts w:cs="Calibri"/>
                <w:sz w:val="20"/>
                <w:szCs w:val="20"/>
              </w:rPr>
              <w:t>građevina, industrijske i</w:t>
            </w:r>
          </w:p>
          <w:p w:rsidR="008F0D85" w:rsidRDefault="00AE42A1">
            <w:pPr>
              <w:spacing w:after="0" w:line="240" w:lineRule="auto"/>
              <w:jc w:val="left"/>
              <w:rPr>
                <w:rFonts w:cs="Calibri"/>
                <w:sz w:val="20"/>
                <w:szCs w:val="20"/>
              </w:rPr>
            </w:pPr>
            <w:r>
              <w:rPr>
                <w:rFonts w:cs="Calibri"/>
                <w:sz w:val="20"/>
                <w:szCs w:val="20"/>
              </w:rPr>
              <w:t>komunalne</w:t>
            </w:r>
          </w:p>
          <w:p w:rsidR="008F0D85" w:rsidRDefault="00AE42A1">
            <w:pPr>
              <w:spacing w:after="0" w:line="240" w:lineRule="auto"/>
              <w:jc w:val="left"/>
              <w:rPr>
                <w:rFonts w:cs="Calibri"/>
                <w:sz w:val="20"/>
                <w:szCs w:val="20"/>
              </w:rPr>
            </w:pPr>
            <w:r>
              <w:rPr>
                <w:rFonts w:cs="Calibri"/>
                <w:sz w:val="20"/>
                <w:szCs w:val="20"/>
              </w:rPr>
              <w:lastRenderedPageBreak/>
              <w:t>infrastrukture, problemi</w:t>
            </w:r>
          </w:p>
          <w:p w:rsidR="008F0D85" w:rsidRDefault="00AE42A1">
            <w:pPr>
              <w:spacing w:after="0" w:line="240" w:lineRule="auto"/>
              <w:jc w:val="left"/>
              <w:rPr>
                <w:rFonts w:cs="Calibri"/>
                <w:sz w:val="20"/>
                <w:szCs w:val="20"/>
              </w:rPr>
            </w:pPr>
            <w:r>
              <w:rPr>
                <w:rFonts w:cs="Calibri"/>
                <w:sz w:val="20"/>
                <w:szCs w:val="20"/>
              </w:rPr>
              <w:t>u komunikaciji,</w:t>
            </w:r>
          </w:p>
          <w:p w:rsidR="008F0D85" w:rsidRDefault="00AE42A1">
            <w:pPr>
              <w:spacing w:after="0" w:line="240" w:lineRule="auto"/>
              <w:jc w:val="left"/>
              <w:rPr>
                <w:rFonts w:cs="Calibri"/>
                <w:sz w:val="20"/>
                <w:szCs w:val="20"/>
              </w:rPr>
            </w:pPr>
            <w:r>
              <w:rPr>
                <w:rFonts w:cs="Calibri"/>
                <w:sz w:val="20"/>
                <w:szCs w:val="20"/>
              </w:rPr>
              <w:t>neprotočne prometnice,</w:t>
            </w:r>
          </w:p>
          <w:p w:rsidR="008F0D85" w:rsidRDefault="00AE42A1">
            <w:pPr>
              <w:spacing w:after="0" w:line="240" w:lineRule="auto"/>
              <w:jc w:val="left"/>
              <w:rPr>
                <w:rFonts w:cs="Calibri"/>
                <w:sz w:val="20"/>
                <w:szCs w:val="20"/>
              </w:rPr>
            </w:pPr>
            <w:r>
              <w:rPr>
                <w:rFonts w:cs="Calibri"/>
                <w:sz w:val="20"/>
                <w:szCs w:val="20"/>
              </w:rPr>
              <w:t>određen broj</w:t>
            </w:r>
          </w:p>
          <w:p w:rsidR="008F0D85" w:rsidRDefault="00AE42A1">
            <w:pPr>
              <w:spacing w:after="0" w:line="240" w:lineRule="auto"/>
              <w:jc w:val="left"/>
              <w:rPr>
                <w:rFonts w:cs="Calibri"/>
                <w:sz w:val="20"/>
                <w:szCs w:val="20"/>
              </w:rPr>
            </w:pPr>
            <w:r>
              <w:rPr>
                <w:rFonts w:cs="Calibri"/>
                <w:sz w:val="20"/>
                <w:szCs w:val="20"/>
              </w:rPr>
              <w:t>povrijeđenih i</w:t>
            </w:r>
          </w:p>
          <w:p w:rsidR="008F0D85" w:rsidRDefault="00AE42A1">
            <w:pPr>
              <w:spacing w:after="0" w:line="240" w:lineRule="auto"/>
              <w:jc w:val="left"/>
              <w:rPr>
                <w:rFonts w:cs="Calibri"/>
                <w:sz w:val="20"/>
                <w:szCs w:val="20"/>
              </w:rPr>
            </w:pPr>
            <w:r>
              <w:rPr>
                <w:rFonts w:cs="Calibri"/>
                <w:sz w:val="20"/>
                <w:szCs w:val="20"/>
              </w:rPr>
              <w:t>poginulih, štetu na</w:t>
            </w:r>
          </w:p>
          <w:p w:rsidR="008F0D85" w:rsidRDefault="00AE42A1">
            <w:pPr>
              <w:spacing w:after="0" w:line="240" w:lineRule="auto"/>
              <w:jc w:val="left"/>
              <w:rPr>
                <w:rFonts w:cs="Calibri"/>
                <w:sz w:val="20"/>
                <w:szCs w:val="20"/>
              </w:rPr>
            </w:pPr>
            <w:r>
              <w:rPr>
                <w:rFonts w:cs="Calibri"/>
                <w:sz w:val="20"/>
                <w:szCs w:val="20"/>
              </w:rPr>
              <w:t>materijalnim i</w:t>
            </w:r>
          </w:p>
          <w:p w:rsidR="008F0D85" w:rsidRDefault="00AE42A1">
            <w:pPr>
              <w:spacing w:after="0" w:line="240" w:lineRule="auto"/>
              <w:jc w:val="left"/>
              <w:rPr>
                <w:rFonts w:cs="Calibri"/>
                <w:sz w:val="20"/>
                <w:szCs w:val="20"/>
              </w:rPr>
            </w:pPr>
            <w:r>
              <w:rPr>
                <w:rFonts w:cs="Calibri"/>
                <w:sz w:val="20"/>
                <w:szCs w:val="20"/>
              </w:rPr>
              <w:t>kulturnim dobrima te</w:t>
            </w:r>
          </w:p>
          <w:p w:rsidR="008F0D85" w:rsidRDefault="00AE42A1">
            <w:pPr>
              <w:spacing w:after="0" w:line="240" w:lineRule="auto"/>
              <w:jc w:val="left"/>
              <w:rPr>
                <w:rFonts w:cs="Calibri"/>
                <w:sz w:val="20"/>
                <w:szCs w:val="20"/>
              </w:rPr>
            </w:pPr>
            <w:r>
              <w:rPr>
                <w:rFonts w:cs="Calibri"/>
                <w:sz w:val="20"/>
                <w:szCs w:val="20"/>
              </w:rPr>
              <w:t>okolišu, nedovoljni</w:t>
            </w:r>
          </w:p>
          <w:p w:rsidR="008F0D85" w:rsidRDefault="00AE42A1">
            <w:pPr>
              <w:spacing w:after="0" w:line="240" w:lineRule="auto"/>
              <w:jc w:val="left"/>
              <w:rPr>
                <w:rFonts w:cs="Calibri"/>
                <w:sz w:val="20"/>
                <w:szCs w:val="20"/>
              </w:rPr>
            </w:pPr>
            <w:r>
              <w:rPr>
                <w:rFonts w:cs="Calibri"/>
                <w:sz w:val="20"/>
                <w:szCs w:val="20"/>
              </w:rPr>
              <w:t>kapaciteti za</w:t>
            </w:r>
          </w:p>
          <w:p w:rsidR="008F0D85" w:rsidRDefault="00AE42A1">
            <w:pPr>
              <w:spacing w:after="0" w:line="240" w:lineRule="auto"/>
              <w:jc w:val="left"/>
              <w:rPr>
                <w:rFonts w:cs="Calibri"/>
                <w:sz w:val="20"/>
                <w:szCs w:val="20"/>
              </w:rPr>
            </w:pPr>
            <w:r>
              <w:rPr>
                <w:rFonts w:cs="Calibri"/>
                <w:sz w:val="20"/>
                <w:szCs w:val="20"/>
              </w:rPr>
              <w:t>zbrinjavanje ozlijeđenih</w:t>
            </w:r>
          </w:p>
          <w:p w:rsidR="008F0D85" w:rsidRDefault="00AE42A1">
            <w:pPr>
              <w:spacing w:after="0" w:line="240" w:lineRule="auto"/>
              <w:jc w:val="left"/>
              <w:rPr>
                <w:rFonts w:cs="Calibri"/>
                <w:sz w:val="20"/>
                <w:szCs w:val="20"/>
              </w:rPr>
            </w:pPr>
            <w:r>
              <w:rPr>
                <w:rFonts w:cs="Calibri"/>
                <w:sz w:val="20"/>
                <w:szCs w:val="20"/>
              </w:rPr>
              <w:t>i evakuiranih itd. te</w:t>
            </w:r>
          </w:p>
          <w:p w:rsidR="008F0D85" w:rsidRDefault="00AE42A1">
            <w:pPr>
              <w:spacing w:after="0" w:line="240" w:lineRule="auto"/>
              <w:jc w:val="left"/>
              <w:rPr>
                <w:rFonts w:cs="Calibri"/>
                <w:sz w:val="20"/>
                <w:szCs w:val="20"/>
              </w:rPr>
            </w:pPr>
            <w:r>
              <w:rPr>
                <w:rFonts w:cs="Calibri"/>
                <w:sz w:val="20"/>
                <w:szCs w:val="20"/>
              </w:rPr>
              <w:t>sekundarne</w:t>
            </w:r>
          </w:p>
          <w:p w:rsidR="008F0D85" w:rsidRDefault="00AE42A1">
            <w:pPr>
              <w:spacing w:after="0" w:line="240" w:lineRule="auto"/>
              <w:jc w:val="left"/>
              <w:rPr>
                <w:rFonts w:cs="Calibri"/>
                <w:sz w:val="20"/>
                <w:szCs w:val="20"/>
              </w:rPr>
            </w:pPr>
            <w:r>
              <w:rPr>
                <w:rFonts w:cs="Calibri"/>
                <w:sz w:val="20"/>
                <w:szCs w:val="20"/>
              </w:rPr>
              <w:t>katastrofalne posljedice.</w:t>
            </w:r>
          </w:p>
          <w:p w:rsidR="008F0D85" w:rsidRDefault="008F0D85">
            <w:pPr>
              <w:spacing w:line="240" w:lineRule="auto"/>
              <w:jc w:val="center"/>
              <w:rPr>
                <w:rFonts w:cs="Calibri"/>
                <w:sz w:val="20"/>
                <w:szCs w:val="20"/>
              </w:rPr>
            </w:pPr>
          </w:p>
          <w:p w:rsidR="008F0D85" w:rsidRDefault="008F0D85">
            <w:pPr>
              <w:spacing w:after="0" w:line="240" w:lineRule="auto"/>
              <w:rPr>
                <w:rFonts w:cs="Calibri"/>
                <w:sz w:val="20"/>
                <w:szCs w:val="20"/>
              </w:rPr>
            </w:pPr>
          </w:p>
        </w:tc>
        <w:tc>
          <w:tcPr>
            <w:tcW w:w="32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sz w:val="20"/>
                <w:szCs w:val="20"/>
              </w:rPr>
            </w:pPr>
            <w:r>
              <w:rPr>
                <w:rFonts w:cs="Calibri"/>
                <w:sz w:val="20"/>
                <w:szCs w:val="20"/>
              </w:rPr>
              <w:lastRenderedPageBreak/>
              <w:t>Protupotresno</w:t>
            </w:r>
          </w:p>
          <w:p w:rsidR="008F0D85" w:rsidRDefault="00AE42A1">
            <w:pPr>
              <w:spacing w:after="0" w:line="240" w:lineRule="auto"/>
              <w:jc w:val="left"/>
              <w:rPr>
                <w:rFonts w:cs="Calibri"/>
                <w:sz w:val="20"/>
                <w:szCs w:val="20"/>
              </w:rPr>
            </w:pPr>
            <w:r>
              <w:rPr>
                <w:rFonts w:cs="Calibri"/>
                <w:sz w:val="20"/>
                <w:szCs w:val="20"/>
              </w:rPr>
              <w:t>projektiranje i građenje</w:t>
            </w:r>
          </w:p>
          <w:p w:rsidR="008F0D85" w:rsidRDefault="00AE42A1">
            <w:pPr>
              <w:spacing w:after="0" w:line="240" w:lineRule="auto"/>
              <w:jc w:val="left"/>
              <w:rPr>
                <w:rFonts w:cs="Calibri"/>
                <w:sz w:val="20"/>
                <w:szCs w:val="20"/>
              </w:rPr>
            </w:pPr>
            <w:r>
              <w:rPr>
                <w:rFonts w:cs="Calibri"/>
                <w:sz w:val="20"/>
                <w:szCs w:val="20"/>
              </w:rPr>
              <w:t>građevina sukladno</w:t>
            </w:r>
          </w:p>
          <w:p w:rsidR="008F0D85" w:rsidRDefault="00AE42A1">
            <w:pPr>
              <w:spacing w:after="0" w:line="240" w:lineRule="auto"/>
              <w:jc w:val="left"/>
              <w:rPr>
                <w:rFonts w:cs="Calibri"/>
                <w:sz w:val="20"/>
                <w:szCs w:val="20"/>
              </w:rPr>
            </w:pPr>
            <w:r>
              <w:rPr>
                <w:rFonts w:cs="Calibri"/>
                <w:sz w:val="20"/>
                <w:szCs w:val="20"/>
              </w:rPr>
              <w:t>odgovarajućim</w:t>
            </w:r>
          </w:p>
          <w:p w:rsidR="008F0D85" w:rsidRDefault="00AE42A1">
            <w:pPr>
              <w:spacing w:after="0" w:line="240" w:lineRule="auto"/>
              <w:jc w:val="left"/>
              <w:rPr>
                <w:rFonts w:cs="Calibri"/>
                <w:sz w:val="20"/>
                <w:szCs w:val="20"/>
              </w:rPr>
            </w:pPr>
            <w:r>
              <w:rPr>
                <w:rFonts w:cs="Calibri"/>
                <w:sz w:val="20"/>
                <w:szCs w:val="20"/>
              </w:rPr>
              <w:t>tehničkim propisima i</w:t>
            </w:r>
          </w:p>
          <w:p w:rsidR="008F0D85" w:rsidRDefault="00AE42A1">
            <w:pPr>
              <w:spacing w:after="0" w:line="240" w:lineRule="auto"/>
              <w:jc w:val="left"/>
              <w:rPr>
                <w:rFonts w:cs="Calibri"/>
                <w:sz w:val="20"/>
                <w:szCs w:val="20"/>
              </w:rPr>
            </w:pPr>
            <w:r>
              <w:rPr>
                <w:rFonts w:cs="Calibri"/>
                <w:sz w:val="20"/>
                <w:szCs w:val="20"/>
              </w:rPr>
              <w:t>hrvatskim/europskim</w:t>
            </w:r>
          </w:p>
          <w:p w:rsidR="008F0D85" w:rsidRDefault="00AE42A1">
            <w:pPr>
              <w:spacing w:after="0" w:line="240" w:lineRule="auto"/>
              <w:jc w:val="left"/>
              <w:rPr>
                <w:rFonts w:cs="Calibri"/>
                <w:sz w:val="20"/>
                <w:szCs w:val="20"/>
              </w:rPr>
            </w:pPr>
            <w:r>
              <w:rPr>
                <w:rFonts w:cs="Calibri"/>
                <w:sz w:val="20"/>
                <w:szCs w:val="20"/>
              </w:rPr>
              <w:lastRenderedPageBreak/>
              <w:t>normama.</w:t>
            </w:r>
          </w:p>
          <w:p w:rsidR="008F0D85" w:rsidRDefault="00AE42A1">
            <w:pPr>
              <w:spacing w:after="0" w:line="240" w:lineRule="auto"/>
              <w:jc w:val="left"/>
              <w:rPr>
                <w:rFonts w:cs="Calibri"/>
                <w:sz w:val="20"/>
                <w:szCs w:val="20"/>
              </w:rPr>
            </w:pPr>
            <w:r>
              <w:rPr>
                <w:rFonts w:cs="Calibri"/>
                <w:sz w:val="20"/>
                <w:szCs w:val="20"/>
              </w:rPr>
              <w:t>Izgradnja sustava ranog</w:t>
            </w:r>
          </w:p>
          <w:p w:rsidR="008F0D85" w:rsidRDefault="00AE42A1">
            <w:pPr>
              <w:spacing w:after="0" w:line="240" w:lineRule="auto"/>
              <w:jc w:val="left"/>
              <w:rPr>
                <w:rFonts w:cs="Calibri"/>
                <w:sz w:val="20"/>
                <w:szCs w:val="20"/>
              </w:rPr>
            </w:pPr>
            <w:r>
              <w:rPr>
                <w:rFonts w:cs="Calibri"/>
                <w:sz w:val="20"/>
                <w:szCs w:val="20"/>
              </w:rPr>
              <w:t>upozoravanja.</w:t>
            </w:r>
          </w:p>
          <w:p w:rsidR="008F0D85" w:rsidRDefault="00AE42A1">
            <w:pPr>
              <w:spacing w:after="0" w:line="240" w:lineRule="auto"/>
              <w:jc w:val="left"/>
              <w:rPr>
                <w:rFonts w:cs="Calibri"/>
                <w:sz w:val="20"/>
                <w:szCs w:val="20"/>
              </w:rPr>
            </w:pPr>
            <w:r>
              <w:rPr>
                <w:rFonts w:cs="Calibri"/>
                <w:sz w:val="20"/>
                <w:szCs w:val="20"/>
              </w:rPr>
              <w:t>Edukacija i</w:t>
            </w:r>
          </w:p>
          <w:p w:rsidR="008F0D85" w:rsidRDefault="00AE42A1">
            <w:pPr>
              <w:spacing w:after="0" w:line="240" w:lineRule="auto"/>
              <w:jc w:val="left"/>
              <w:rPr>
                <w:rFonts w:cs="Calibri"/>
                <w:sz w:val="20"/>
                <w:szCs w:val="20"/>
              </w:rPr>
            </w:pPr>
            <w:r>
              <w:rPr>
                <w:rFonts w:cs="Calibri"/>
                <w:sz w:val="20"/>
                <w:szCs w:val="20"/>
              </w:rPr>
              <w:t>osposobljavanje</w:t>
            </w:r>
          </w:p>
          <w:p w:rsidR="008F0D85" w:rsidRDefault="00AE42A1">
            <w:pPr>
              <w:spacing w:after="0" w:line="240" w:lineRule="auto"/>
              <w:jc w:val="left"/>
              <w:rPr>
                <w:rFonts w:cs="Calibri"/>
                <w:sz w:val="20"/>
                <w:szCs w:val="20"/>
              </w:rPr>
            </w:pPr>
            <w:r>
              <w:rPr>
                <w:rFonts w:cs="Calibri"/>
                <w:sz w:val="20"/>
                <w:szCs w:val="20"/>
              </w:rPr>
              <w:t>operativnih snaga</w:t>
            </w:r>
          </w:p>
          <w:p w:rsidR="008F0D85" w:rsidRDefault="00AE42A1">
            <w:pPr>
              <w:spacing w:after="0" w:line="240" w:lineRule="auto"/>
              <w:jc w:val="left"/>
              <w:rPr>
                <w:rFonts w:cs="Calibri"/>
                <w:sz w:val="20"/>
                <w:szCs w:val="20"/>
              </w:rPr>
            </w:pPr>
            <w:r>
              <w:rPr>
                <w:rFonts w:cs="Calibri"/>
                <w:sz w:val="20"/>
                <w:szCs w:val="20"/>
              </w:rPr>
              <w:t>sustava civilne zaštite županije</w:t>
            </w:r>
          </w:p>
        </w:tc>
        <w:tc>
          <w:tcPr>
            <w:tcW w:w="2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sz w:val="20"/>
                <w:szCs w:val="20"/>
              </w:rPr>
            </w:pPr>
            <w:r>
              <w:rPr>
                <w:rFonts w:cs="Calibri"/>
                <w:sz w:val="20"/>
                <w:szCs w:val="20"/>
              </w:rPr>
              <w:lastRenderedPageBreak/>
              <w:t>Uzbunjivanje i</w:t>
            </w:r>
          </w:p>
          <w:p w:rsidR="008F0D85" w:rsidRDefault="00AE42A1">
            <w:pPr>
              <w:spacing w:after="0" w:line="240" w:lineRule="auto"/>
              <w:jc w:val="left"/>
              <w:rPr>
                <w:rFonts w:cs="Calibri"/>
                <w:sz w:val="20"/>
                <w:szCs w:val="20"/>
              </w:rPr>
            </w:pPr>
            <w:r>
              <w:rPr>
                <w:rFonts w:cs="Calibri"/>
                <w:sz w:val="20"/>
                <w:szCs w:val="20"/>
              </w:rPr>
              <w:t>obavješćivanje,</w:t>
            </w:r>
          </w:p>
          <w:p w:rsidR="008F0D85" w:rsidRDefault="00AE42A1">
            <w:pPr>
              <w:spacing w:after="0" w:line="240" w:lineRule="auto"/>
              <w:jc w:val="left"/>
              <w:rPr>
                <w:rFonts w:cs="Calibri"/>
                <w:sz w:val="20"/>
                <w:szCs w:val="20"/>
              </w:rPr>
            </w:pPr>
            <w:r>
              <w:rPr>
                <w:rFonts w:cs="Calibri"/>
                <w:sz w:val="20"/>
                <w:szCs w:val="20"/>
              </w:rPr>
              <w:t>evakuacija, zbrinjavanje,</w:t>
            </w:r>
          </w:p>
          <w:p w:rsidR="008F0D85" w:rsidRDefault="00AE42A1">
            <w:pPr>
              <w:spacing w:after="0" w:line="240" w:lineRule="auto"/>
              <w:jc w:val="left"/>
              <w:rPr>
                <w:rFonts w:cs="Calibri"/>
                <w:sz w:val="20"/>
                <w:szCs w:val="20"/>
              </w:rPr>
            </w:pPr>
            <w:r>
              <w:rPr>
                <w:rFonts w:cs="Calibri"/>
                <w:sz w:val="20"/>
                <w:szCs w:val="20"/>
              </w:rPr>
              <w:t>sklanjanje, spašavanje,</w:t>
            </w:r>
          </w:p>
          <w:p w:rsidR="008F0D85" w:rsidRDefault="00AE42A1">
            <w:pPr>
              <w:spacing w:after="0" w:line="240" w:lineRule="auto"/>
              <w:jc w:val="left"/>
              <w:rPr>
                <w:rFonts w:cs="Calibri"/>
                <w:sz w:val="20"/>
                <w:szCs w:val="20"/>
              </w:rPr>
            </w:pPr>
            <w:r>
              <w:rPr>
                <w:rFonts w:cs="Calibri"/>
                <w:sz w:val="20"/>
                <w:szCs w:val="20"/>
              </w:rPr>
              <w:t>pružanje prve pomoći.</w:t>
            </w:r>
          </w:p>
        </w:tc>
      </w:tr>
      <w:tr w:rsidR="008F0D85">
        <w:trPr>
          <w:trHeight w:val="410"/>
        </w:trPr>
        <w:tc>
          <w:tcPr>
            <w:tcW w:w="66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numPr>
                <w:ilvl w:val="0"/>
                <w:numId w:val="20"/>
              </w:numPr>
              <w:spacing w:after="0" w:line="240" w:lineRule="auto"/>
              <w:contextualSpacing/>
              <w:jc w:val="center"/>
              <w:rPr>
                <w:rFonts w:cs="Calibri"/>
                <w:b/>
                <w:sz w:val="20"/>
                <w:szCs w:val="20"/>
                <w:lang w:val="en-US"/>
              </w:rPr>
            </w:pPr>
          </w:p>
        </w:tc>
        <w:tc>
          <w:tcPr>
            <w:tcW w:w="12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rFonts w:cs="Calibri"/>
                <w:b/>
                <w:sz w:val="20"/>
                <w:szCs w:val="20"/>
              </w:rPr>
            </w:pPr>
            <w:r>
              <w:rPr>
                <w:rFonts w:cs="Calibri"/>
                <w:b/>
                <w:sz w:val="20"/>
                <w:szCs w:val="20"/>
              </w:rPr>
              <w:t>Tehničko – tehnološke nesreće s opasnim tvarima – Industrijske nesreće</w:t>
            </w:r>
          </w:p>
        </w:tc>
        <w:tc>
          <w:tcPr>
            <w:tcW w:w="3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rPr>
                <w:sz w:val="20"/>
                <w:szCs w:val="20"/>
              </w:rPr>
            </w:pPr>
            <w:r>
              <w:rPr>
                <w:sz w:val="20"/>
                <w:szCs w:val="20"/>
              </w:rPr>
              <w:t>Na području Općine nalazi se benzinska postaja Lepirac d.o.o., a koja se nalazi na lokaciji Kralja Tomislava 83, 48 362 Kloštar Podravski. Ugroza po stanovništvo kod benzinske postaje L</w:t>
            </w:r>
            <w:r>
              <w:rPr>
                <w:sz w:val="20"/>
                <w:szCs w:val="20"/>
              </w:rPr>
              <w:t>epirac d.o.o. je neznatna, budući da je ista locirana izvan naselja te bi prvenstveno ugrožavalo zaposleno osoblje i korisnike usluga koji bi se tamo zatekli u vremenu izbijanja izvanrednog događaja.</w:t>
            </w:r>
          </w:p>
          <w:p w:rsidR="008F0D85" w:rsidRDefault="00AE42A1">
            <w:pPr>
              <w:spacing w:after="0"/>
              <w:rPr>
                <w:sz w:val="20"/>
                <w:szCs w:val="20"/>
              </w:rPr>
            </w:pPr>
            <w:r>
              <w:rPr>
                <w:sz w:val="20"/>
                <w:szCs w:val="20"/>
              </w:rPr>
              <w:t>Na području Općine određena količina opasnih tvari nalaz</w:t>
            </w:r>
            <w:r>
              <w:rPr>
                <w:sz w:val="20"/>
                <w:szCs w:val="20"/>
              </w:rPr>
              <w:t xml:space="preserve">i se u “Plinacro“ d.o.o. Zagreb, Magistralni plinovod DN 450 Budrovac – Donji </w:t>
            </w:r>
            <w:r>
              <w:rPr>
                <w:sz w:val="20"/>
                <w:szCs w:val="20"/>
              </w:rPr>
              <w:lastRenderedPageBreak/>
              <w:t>Miholjac, MRS Kloštar Podravski.</w:t>
            </w:r>
          </w:p>
          <w:p w:rsidR="008F0D85" w:rsidRDefault="00AE42A1">
            <w:pPr>
              <w:rPr>
                <w:sz w:val="20"/>
                <w:szCs w:val="20"/>
              </w:rPr>
            </w:pPr>
            <w:r>
              <w:rPr>
                <w:sz w:val="20"/>
                <w:szCs w:val="20"/>
              </w:rPr>
              <w:t xml:space="preserve">MRS Kloštar Podravski smještena je u blizini samog središta naselja Kloštar Podravski.  </w:t>
            </w:r>
          </w:p>
          <w:p w:rsidR="008F0D85" w:rsidRDefault="008F0D85">
            <w:pPr>
              <w:spacing w:after="0"/>
              <w:rPr>
                <w:sz w:val="20"/>
                <w:szCs w:val="20"/>
              </w:rPr>
            </w:pPr>
          </w:p>
          <w:p w:rsidR="008F0D85" w:rsidRDefault="008F0D85">
            <w:pPr>
              <w:spacing w:after="0" w:line="240" w:lineRule="auto"/>
              <w:ind w:left="5" w:right="10"/>
              <w:rPr>
                <w:rFonts w:cs="Calibri"/>
                <w:sz w:val="20"/>
                <w:szCs w:val="20"/>
              </w:rPr>
            </w:pPr>
          </w:p>
        </w:tc>
        <w:tc>
          <w:tcPr>
            <w:tcW w:w="300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lang w:eastAsia="hr-HR"/>
              </w:rPr>
            </w:pPr>
            <w:r>
              <w:rPr>
                <w:rFonts w:cs="Calibri"/>
                <w:sz w:val="20"/>
                <w:szCs w:val="20"/>
                <w:lang w:eastAsia="hr-HR"/>
              </w:rPr>
              <w:lastRenderedPageBreak/>
              <w:t>Moguće su štete na nepokretnoj i pokretnoj imovini, odnosno na</w:t>
            </w:r>
          </w:p>
          <w:p w:rsidR="008F0D85" w:rsidRDefault="00AE42A1">
            <w:pPr>
              <w:spacing w:after="0" w:line="240" w:lineRule="auto"/>
              <w:rPr>
                <w:rFonts w:cs="Calibri"/>
                <w:sz w:val="20"/>
                <w:szCs w:val="20"/>
                <w:lang w:eastAsia="hr-HR"/>
              </w:rPr>
            </w:pPr>
            <w:r>
              <w:rPr>
                <w:rFonts w:cs="Calibri"/>
                <w:sz w:val="20"/>
                <w:szCs w:val="20"/>
                <w:lang w:eastAsia="hr-HR"/>
              </w:rPr>
              <w:t>kućama, osobnim vozilima, vozilima, strojevima, uređajima i</w:t>
            </w:r>
          </w:p>
          <w:p w:rsidR="008F0D85" w:rsidRDefault="00AE42A1">
            <w:pPr>
              <w:spacing w:after="0" w:line="240" w:lineRule="auto"/>
              <w:rPr>
                <w:rFonts w:cs="Calibri"/>
                <w:sz w:val="20"/>
                <w:szCs w:val="20"/>
                <w:lang w:eastAsia="hr-HR"/>
              </w:rPr>
            </w:pPr>
            <w:r>
              <w:rPr>
                <w:rFonts w:cs="Calibri"/>
                <w:sz w:val="20"/>
                <w:szCs w:val="20"/>
                <w:lang w:eastAsia="hr-HR"/>
              </w:rPr>
              <w:t xml:space="preserve">opremi kao i na </w:t>
            </w:r>
            <w:r>
              <w:rPr>
                <w:rFonts w:cs="Calibri"/>
                <w:sz w:val="20"/>
                <w:szCs w:val="20"/>
                <w:lang w:eastAsia="hr-HR"/>
              </w:rPr>
              <w:t>infrastrukturnim</w:t>
            </w:r>
          </w:p>
          <w:p w:rsidR="008F0D85" w:rsidRDefault="00AE42A1">
            <w:pPr>
              <w:spacing w:after="0" w:line="240" w:lineRule="auto"/>
              <w:rPr>
                <w:rFonts w:cs="Calibri"/>
                <w:sz w:val="20"/>
                <w:szCs w:val="20"/>
              </w:rPr>
            </w:pPr>
            <w:r>
              <w:rPr>
                <w:rFonts w:cs="Calibri"/>
                <w:sz w:val="20"/>
                <w:szCs w:val="20"/>
                <w:lang w:eastAsia="hr-HR"/>
              </w:rPr>
              <w:t>građevinama u području.</w:t>
            </w:r>
          </w:p>
        </w:tc>
        <w:tc>
          <w:tcPr>
            <w:tcW w:w="32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Građevinske mjere zaštite, aktivni i pasivni sustavi zaštite od požara, preventivni nadzori, ostale mjere zaštite koje provode operateri. Izgradnja sustava ranog upozoravanja. Edukacija i osposobljavanje operativnih</w:t>
            </w:r>
            <w:r>
              <w:rPr>
                <w:rFonts w:cs="Calibri"/>
                <w:sz w:val="20"/>
                <w:szCs w:val="20"/>
              </w:rPr>
              <w:t xml:space="preserve"> snaga sustava civilne zaštite Općine.</w:t>
            </w:r>
          </w:p>
        </w:tc>
        <w:tc>
          <w:tcPr>
            <w:tcW w:w="2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bookmarkStart w:id="303" w:name="_Hlk512347717"/>
            <w:bookmarkStart w:id="304" w:name="_Hlk512255850"/>
            <w:bookmarkEnd w:id="303"/>
            <w:bookmarkEnd w:id="304"/>
            <w:r>
              <w:rPr>
                <w:rFonts w:cs="Calibri"/>
                <w:sz w:val="20"/>
                <w:szCs w:val="20"/>
              </w:rPr>
              <w:t>Uzbunjivanje i obavješćivanje, evakuacija, zbrinjavanje, sklanjanje, spašavanje, pružanje prve pomoći.</w:t>
            </w:r>
          </w:p>
        </w:tc>
      </w:tr>
    </w:tbl>
    <w:p w:rsidR="008F0D85" w:rsidRDefault="008F0D85"/>
    <w:p w:rsidR="008F0D85" w:rsidRDefault="00AE42A1">
      <w:pPr>
        <w:spacing w:after="0"/>
      </w:pPr>
      <w:r>
        <w:t xml:space="preserve">Registar rizika za Općinu izrađen je na temelju identifikacije prijetnji iz Procjene rizika od </w:t>
      </w:r>
      <w:r>
        <w:t>katastrofa u Republici Hrvatskoj, Smjernicama za izradu Procjene rizika od velikih nesreća na području Koprivničko - križevačke  županije te</w:t>
      </w:r>
      <w:r>
        <w:rPr>
          <w:rFonts w:cs="Calibri"/>
          <w:szCs w:val="24"/>
        </w:rPr>
        <w:t xml:space="preserve"> </w:t>
      </w:r>
      <w:r>
        <w:rPr>
          <w:rFonts w:cs="Calibri"/>
          <w:color w:val="000000"/>
          <w:szCs w:val="24"/>
        </w:rPr>
        <w:t>Procjena ugroženosti stanovništva, materijalnih i kulturnih dobara i okoliša Općine Kloštar Podravski, 2015.god</w:t>
      </w:r>
      <w:r>
        <w:rPr>
          <w:rFonts w:cs="Calibri"/>
          <w:szCs w:val="24"/>
        </w:rPr>
        <w:t xml:space="preserve">. </w:t>
      </w:r>
      <w:r>
        <w:t>Na</w:t>
      </w:r>
      <w:r>
        <w:t xml:space="preserve"> području Općine, odnosno Županije, rizici od epidemija i pandemija i ekstremnih temperatura procijenjeni su visokim rizicima, dok su rizici od poplava i potresa procijenjeni vrlo visokim rizikom te će se isti obrađivati u Procjeni rizika od velikih nesreć</w:t>
      </w:r>
      <w:r>
        <w:t>a za Općinu Kloštar Podravski. Osim navedenih rizika, u Procjeni rizika od velikih nesreća za Općinu Kloštar Podravski obradit će se i rizik od suše te tehničko – tehnoloških nesreća, točnije industrijska nesreća.</w:t>
      </w:r>
    </w:p>
    <w:p w:rsidR="008F0D85" w:rsidRDefault="008F0D85">
      <w:pPr>
        <w:spacing w:after="0"/>
      </w:pPr>
    </w:p>
    <w:p w:rsidR="008F0D85" w:rsidRDefault="008F0D85">
      <w:pPr>
        <w:spacing w:after="0"/>
      </w:pPr>
    </w:p>
    <w:p w:rsidR="008F0D85" w:rsidRDefault="008F0D85">
      <w:pPr>
        <w:spacing w:after="0"/>
      </w:pPr>
    </w:p>
    <w:p w:rsidR="008F0D85" w:rsidRDefault="008F0D85">
      <w:pPr>
        <w:spacing w:after="0"/>
        <w:sectPr w:rsidR="008F0D85">
          <w:headerReference w:type="default" r:id="rId31"/>
          <w:footerReference w:type="default" r:id="rId32"/>
          <w:pgSz w:w="16838" w:h="11906" w:orient="landscape"/>
          <w:pgMar w:top="1418" w:right="1418" w:bottom="1418" w:left="1418" w:header="709" w:footer="709" w:gutter="0"/>
          <w:cols w:space="720"/>
          <w:formProt w:val="0"/>
          <w:docGrid w:linePitch="360"/>
        </w:sectPr>
      </w:pPr>
    </w:p>
    <w:p w:rsidR="008F0D85" w:rsidRDefault="00AE42A1">
      <w:pPr>
        <w:pStyle w:val="Naslov2"/>
      </w:pPr>
      <w:bookmarkStart w:id="325" w:name="_Hlk512347969"/>
      <w:bookmarkStart w:id="326" w:name="_Toc512434589"/>
      <w:bookmarkStart w:id="327" w:name="_Toc514240144"/>
      <w:bookmarkStart w:id="328" w:name="_Toc516128247"/>
      <w:bookmarkStart w:id="329" w:name="_Toc527969357"/>
      <w:bookmarkEnd w:id="325"/>
      <w:bookmarkEnd w:id="326"/>
      <w:bookmarkEnd w:id="327"/>
      <w:bookmarkEnd w:id="328"/>
      <w:bookmarkEnd w:id="329"/>
      <w:r>
        <w:lastRenderedPageBreak/>
        <w:t>3.2. Odabrani rizici te razlozi odabira rizika na području Općine</w:t>
      </w:r>
    </w:p>
    <w:p w:rsidR="008F0D85" w:rsidRDefault="008F0D85"/>
    <w:p w:rsidR="008F0D85" w:rsidRDefault="00AE42A1">
      <w:pPr>
        <w:shd w:val="clear" w:color="auto" w:fill="FFFFFF"/>
      </w:pPr>
      <w:r>
        <w:t xml:space="preserve">Temeljem Procjene rizika od katastrofa u Republici Hrvatskoj te Smjernicama za izradu procjene rizika od velikih nesreća na području Koprivničko - križevačke županije navedeno je da su </w:t>
      </w:r>
      <w:r>
        <w:rPr>
          <w:b/>
        </w:rPr>
        <w:t>epidemije i pandemije, ekstremne temperature, poplava i potres</w:t>
      </w:r>
      <w:r>
        <w:t xml:space="preserve"> prijetnj</w:t>
      </w:r>
      <w:r>
        <w:t>e od kojih postoji visok i vrlo visok rizik na području Koprivničko - križevačke županije te iste treba obraditi u procjeni rizika, što se automatski odnosi i na područje Općine te će iste prijetnje biti obrađene u Procjeni rizika od velikih nesreća za Opć</w:t>
      </w:r>
      <w:r>
        <w:t>inu Kloštar Podravski.</w:t>
      </w:r>
    </w:p>
    <w:p w:rsidR="008F0D85" w:rsidRDefault="00AE42A1">
      <w:pPr>
        <w:shd w:val="clear" w:color="auto" w:fill="FFFFFF"/>
      </w:pPr>
      <w:r>
        <w:t>Na području Općine evidentirana je potencijalna opasnost od pojave ekstremnih vremenskih pojava poput mraza, kiše i tuče, čije su značajke evidentirane i opisane u tablici 25. – Registar rizika. S obzirom na to da prijetnja Procjenom</w:t>
      </w:r>
      <w:r>
        <w:t xml:space="preserve"> rizika od katastrofa u Republici Hrvatskoj, nije identificirana kao visoka ili vrlo visoka te s obzirom na vjerojatnost pojave prijetnje i mogućih šteta, rizik od  mraza, kiše te tuče se neće detaljnije obrađivati u Procjeni rizika od velikih nesreća za O</w:t>
      </w:r>
      <w:r>
        <w:t>pćinu Kloštar Podravski. S obzirom na velike štete koje su u zadnjih 20 godina suša prouzročile na području Općine, prijetnje će se obraditi u Procjeni rizika od velikih nesreća za Općinu Kloštar Podravski. Također, na području Općine nalazi se i benzinska</w:t>
      </w:r>
      <w:r>
        <w:t xml:space="preserve"> postaja te će se Procjenom rizika od velikih nesreća za Općinu Kloštar Podravski obraditi i rizika od tehničko – tehnoloških nesreća, točnije industrijska nesreća.</w:t>
      </w:r>
    </w:p>
    <w:p w:rsidR="008F0D85" w:rsidRDefault="00AE42A1">
      <w:pPr>
        <w:pStyle w:val="Naslov2"/>
      </w:pPr>
      <w:bookmarkStart w:id="330" w:name="_Toc512434590"/>
      <w:bookmarkStart w:id="331" w:name="_Toc514240145"/>
      <w:bookmarkStart w:id="332" w:name="_Toc516128248"/>
      <w:bookmarkStart w:id="333" w:name="_Toc527969358"/>
      <w:bookmarkEnd w:id="330"/>
      <w:bookmarkEnd w:id="331"/>
      <w:bookmarkEnd w:id="332"/>
      <w:bookmarkEnd w:id="333"/>
      <w:r>
        <w:t>3.3. Kartografski prikaz</w:t>
      </w:r>
    </w:p>
    <w:p w:rsidR="008F0D85" w:rsidRDefault="00AE42A1">
      <w:pPr>
        <w:pStyle w:val="Naslov3"/>
      </w:pPr>
      <w:bookmarkStart w:id="334" w:name="_Toc512434591"/>
      <w:bookmarkStart w:id="335" w:name="_Toc514240146"/>
      <w:bookmarkStart w:id="336" w:name="_Toc516128249"/>
      <w:bookmarkStart w:id="337" w:name="_Toc527969359"/>
      <w:bookmarkEnd w:id="334"/>
      <w:bookmarkEnd w:id="335"/>
      <w:bookmarkEnd w:id="336"/>
      <w:bookmarkEnd w:id="337"/>
      <w:r>
        <w:t>3.3.1. Karte prijetnji</w:t>
      </w:r>
    </w:p>
    <w:p w:rsidR="008F0D85" w:rsidRDefault="008F0D85"/>
    <w:p w:rsidR="008F0D85" w:rsidRDefault="00AE42A1">
      <w:pPr>
        <w:shd w:val="clear" w:color="auto" w:fill="FFFFFF"/>
      </w:pPr>
      <w:r>
        <w:t>Jedinice lokalne i područne (regionalne) s</w:t>
      </w:r>
      <w:r>
        <w:t>amouprave dužne su izraditi kartu prijetnji. Karte se izrađuju u mjerilu 1:100 000 ili krupnije za područje županije te u mjerilu 1:25 000 ili krupnije za područje grada i općina. Mjerilo mora biti izabrano tako da prijetnje budu jasno vidljive i prepoznat</w:t>
      </w:r>
      <w:r>
        <w:t>ljive u prostoru.</w:t>
      </w:r>
    </w:p>
    <w:p w:rsidR="008F0D85" w:rsidRDefault="00AE42A1">
      <w:pPr>
        <w:shd w:val="clear" w:color="auto" w:fill="FFFFFF"/>
        <w:rPr>
          <w:szCs w:val="24"/>
        </w:rPr>
      </w:pPr>
      <w:r>
        <w:rPr>
          <w:szCs w:val="24"/>
        </w:rPr>
        <w:t>Na karta je potrebno prikazati sve obrađene prijetnje, odnosno:</w:t>
      </w:r>
    </w:p>
    <w:p w:rsidR="008F0D85" w:rsidRDefault="00AE42A1">
      <w:pPr>
        <w:numPr>
          <w:ilvl w:val="0"/>
          <w:numId w:val="21"/>
        </w:numPr>
        <w:shd w:val="clear" w:color="auto" w:fill="FFFFFF"/>
        <w:contextualSpacing/>
        <w:rPr>
          <w:szCs w:val="24"/>
          <w:lang w:val="en-US"/>
        </w:rPr>
      </w:pPr>
      <w:r>
        <w:rPr>
          <w:szCs w:val="24"/>
          <w:lang w:val="en-US"/>
        </w:rPr>
        <w:t>Njihovu lokaciji</w:t>
      </w:r>
    </w:p>
    <w:p w:rsidR="008F0D85" w:rsidRDefault="00AE42A1">
      <w:pPr>
        <w:numPr>
          <w:ilvl w:val="0"/>
          <w:numId w:val="21"/>
        </w:numPr>
        <w:shd w:val="clear" w:color="auto" w:fill="FFFFFF"/>
        <w:contextualSpacing/>
        <w:rPr>
          <w:szCs w:val="24"/>
          <w:lang w:val="en-US"/>
        </w:rPr>
      </w:pPr>
      <w:r>
        <w:rPr>
          <w:szCs w:val="24"/>
          <w:lang w:val="en-US"/>
        </w:rPr>
        <w:t xml:space="preserve">Doseg </w:t>
      </w:r>
    </w:p>
    <w:p w:rsidR="008F0D85" w:rsidRDefault="00AE42A1">
      <w:pPr>
        <w:numPr>
          <w:ilvl w:val="0"/>
          <w:numId w:val="21"/>
        </w:numPr>
        <w:shd w:val="clear" w:color="auto" w:fill="FFFFFF"/>
        <w:contextualSpacing/>
        <w:rPr>
          <w:szCs w:val="24"/>
          <w:lang w:val="en-US"/>
        </w:rPr>
      </w:pPr>
      <w:r>
        <w:rPr>
          <w:szCs w:val="24"/>
          <w:lang w:val="en-US"/>
        </w:rPr>
        <w:t>Rasprostranjenost</w:t>
      </w:r>
    </w:p>
    <w:p w:rsidR="008F0D85" w:rsidRDefault="00AE42A1">
      <w:pPr>
        <w:numPr>
          <w:ilvl w:val="0"/>
          <w:numId w:val="21"/>
        </w:numPr>
        <w:shd w:val="clear" w:color="auto" w:fill="FFFFFF"/>
        <w:contextualSpacing/>
        <w:rPr>
          <w:szCs w:val="24"/>
          <w:lang w:val="en-US"/>
        </w:rPr>
      </w:pPr>
      <w:r>
        <w:rPr>
          <w:szCs w:val="24"/>
          <w:lang w:val="en-US"/>
        </w:rPr>
        <w:t xml:space="preserve">Ostale relevantne podatke. </w:t>
      </w:r>
    </w:p>
    <w:p w:rsidR="008F0D85" w:rsidRDefault="008F0D85">
      <w:pPr>
        <w:shd w:val="clear" w:color="auto" w:fill="FFFFFF"/>
        <w:ind w:left="720"/>
        <w:contextualSpacing/>
        <w:rPr>
          <w:szCs w:val="24"/>
          <w:lang w:val="en-US"/>
        </w:rPr>
      </w:pPr>
    </w:p>
    <w:p w:rsidR="008F0D85" w:rsidRDefault="00AE42A1">
      <w:pPr>
        <w:shd w:val="clear" w:color="auto" w:fill="FFFFFF"/>
        <w:rPr>
          <w:szCs w:val="24"/>
        </w:rPr>
      </w:pPr>
      <w:r>
        <w:rPr>
          <w:szCs w:val="24"/>
          <w:u w:val="single"/>
        </w:rPr>
        <w:t>Primjerice:</w:t>
      </w:r>
      <w:r>
        <w:rPr>
          <w:szCs w:val="24"/>
        </w:rPr>
        <w:t xml:space="preserve"> obrađuju li se tehničko – tehnološke nesreće, na karta je potrebno prikazati svaku identificiranu lokaciju na kojoj se nesreća može dogoditi dok se scenarijem obrađuje jedna, odabrana lokacija ili niz lokacija, ako se radi o složenom riziku. </w:t>
      </w:r>
    </w:p>
    <w:p w:rsidR="008F0D85" w:rsidRDefault="00AE42A1">
      <w:pPr>
        <w:shd w:val="clear" w:color="auto" w:fill="FFFFFF"/>
        <w:rPr>
          <w:szCs w:val="24"/>
        </w:rPr>
      </w:pPr>
      <w:bookmarkStart w:id="338" w:name="_Hlk512256484"/>
      <w:bookmarkEnd w:id="338"/>
      <w:r>
        <w:rPr>
          <w:szCs w:val="24"/>
        </w:rPr>
        <w:lastRenderedPageBreak/>
        <w:t>Prikaz se od</w:t>
      </w:r>
      <w:r>
        <w:rPr>
          <w:szCs w:val="24"/>
        </w:rPr>
        <w:t xml:space="preserve">nosi na rizike za koje je potrebno imati kartografski prikaz poput poplava ili tehničko – tehničkih prijetnji dok je za rizike poput epidemija i pandemija nepotrebno izrađivati kartografski prikaz prijetnji.  </w:t>
      </w:r>
    </w:p>
    <w:p w:rsidR="008F0D85" w:rsidRDefault="00AE42A1">
      <w:pPr>
        <w:pStyle w:val="Naslov3"/>
      </w:pPr>
      <w:bookmarkStart w:id="339" w:name="_Toc512434592"/>
      <w:bookmarkStart w:id="340" w:name="_Toc514240147"/>
      <w:bookmarkStart w:id="341" w:name="_Toc516128250"/>
      <w:bookmarkStart w:id="342" w:name="_Toc527969360"/>
      <w:bookmarkEnd w:id="339"/>
      <w:bookmarkEnd w:id="340"/>
      <w:bookmarkEnd w:id="341"/>
      <w:bookmarkEnd w:id="342"/>
      <w:r>
        <w:t>3.3.2. Karte rizika</w:t>
      </w:r>
    </w:p>
    <w:p w:rsidR="008F0D85" w:rsidRDefault="008F0D85"/>
    <w:p w:rsidR="008F0D85" w:rsidRDefault="00AE42A1">
      <w:r>
        <w:t>Izrađuju se za područje ž</w:t>
      </w:r>
      <w:r>
        <w:t>upanija u mjerilu 1:200 000 ili krupnije. Županijske karte izrađuju se na razini gradova i općina te na temelju rezultata procjena rizika gradova i općina za svaki pojedeni obrađeni rizik.</w:t>
      </w:r>
    </w:p>
    <w:p w:rsidR="008F0D85" w:rsidRDefault="00AE42A1">
      <w:r>
        <w:t>Ako je moguće karte gradova i općina izrađuju se na razini naselja,</w:t>
      </w:r>
      <w:r>
        <w:t xml:space="preserve"> u protivnom se ne izrađuju. </w:t>
      </w:r>
    </w:p>
    <w:p w:rsidR="008F0D85" w:rsidRDefault="00AE42A1">
      <w:r>
        <w:rPr>
          <w:u w:val="single"/>
        </w:rPr>
        <w:t>Primjerice:</w:t>
      </w:r>
      <w:r>
        <w:t xml:space="preserve"> županija se nalazi na području visokog i vrlo visokog rizika od potresa i poplava te je odlučeno da će se na razini županije obrađivati još rizik od velike nesreće uzrokovane tehničko  tehnološkom nesrećom i epidem</w:t>
      </w:r>
      <w:r>
        <w:t xml:space="preserve">ijom. Sve odabrane rizike moraju obraditi i gradovi i općine na području županije te će rezultate procjena rizika županija prikazati na kartama rizika do razine općina i gradova za svaki od odabranih rizika.   </w:t>
      </w:r>
    </w:p>
    <w:p w:rsidR="008F0D85" w:rsidRDefault="00AE42A1">
      <w:pPr>
        <w:pStyle w:val="Naslov3"/>
      </w:pPr>
      <w:bookmarkStart w:id="343" w:name="_Toc512434593"/>
      <w:bookmarkStart w:id="344" w:name="_Toc514240148"/>
      <w:bookmarkStart w:id="345" w:name="_Toc516128251"/>
      <w:bookmarkStart w:id="346" w:name="_Toc527969361"/>
      <w:bookmarkEnd w:id="343"/>
      <w:bookmarkEnd w:id="344"/>
      <w:bookmarkEnd w:id="345"/>
      <w:bookmarkEnd w:id="346"/>
      <w:r>
        <w:t>3.3.3. Kartografski prikaz rizika i prijetnji</w:t>
      </w:r>
      <w:r>
        <w:t xml:space="preserve"> na području Općine</w:t>
      </w:r>
    </w:p>
    <w:p w:rsidR="008F0D85" w:rsidRDefault="008F0D85"/>
    <w:p w:rsidR="008F0D85" w:rsidRDefault="00AE42A1">
      <w:pPr>
        <w:shd w:val="clear" w:color="auto" w:fill="FFFFFF"/>
        <w:rPr>
          <w:rFonts w:cs="Calibri"/>
          <w:szCs w:val="24"/>
        </w:rPr>
      </w:pPr>
      <w:r>
        <w:rPr>
          <w:rFonts w:cs="Calibri"/>
          <w:szCs w:val="24"/>
        </w:rPr>
        <w:t>Prema Smjernicama za izradu procjene rizika od velikih nesreća na području Koprivničko - križevačke županije, Općina, s obzirom na činjenicu da se rizici ne obrađuju na razini naselja već na razini same Općine kao prostorne jedinice ni</w:t>
      </w:r>
      <w:r>
        <w:rPr>
          <w:rFonts w:cs="Calibri"/>
          <w:szCs w:val="24"/>
        </w:rPr>
        <w:t xml:space="preserve">je obavezna izraditi kartu prijetnji i rizika za iste. </w:t>
      </w:r>
    </w:p>
    <w:p w:rsidR="008F0D85" w:rsidRDefault="00AE42A1">
      <w:pPr>
        <w:shd w:val="clear" w:color="auto" w:fill="FFFFFF"/>
        <w:rPr>
          <w:rFonts w:cs="Calibri"/>
          <w:szCs w:val="24"/>
        </w:rPr>
      </w:pPr>
      <w:r>
        <w:rPr>
          <w:rFonts w:cs="Calibri"/>
          <w:szCs w:val="24"/>
        </w:rPr>
        <w:t>Rizik od poplave i industrijske nesreće rizici su koje je Općina obavezana obraditi te će za iste biti priložene i karte prijetnji.</w:t>
      </w: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AE42A1">
      <w:pPr>
        <w:pStyle w:val="Naslov1"/>
      </w:pPr>
      <w:bookmarkStart w:id="347" w:name="_Toc512434594"/>
      <w:bookmarkStart w:id="348" w:name="_Toc514240149"/>
      <w:bookmarkStart w:id="349" w:name="_Toc516128252"/>
      <w:bookmarkStart w:id="350" w:name="_Toc527969362"/>
      <w:bookmarkEnd w:id="347"/>
      <w:bookmarkEnd w:id="348"/>
      <w:bookmarkEnd w:id="349"/>
      <w:bookmarkEnd w:id="350"/>
      <w:r>
        <w:lastRenderedPageBreak/>
        <w:t>4. KRITERIJI ZA PROCJENU UTJECAJA NA KATEGORIJE DRUŠTVENE V</w:t>
      </w:r>
      <w:r>
        <w:t>RIJEDNOSTI</w:t>
      </w:r>
    </w:p>
    <w:p w:rsidR="008F0D85" w:rsidRDefault="008F0D85"/>
    <w:p w:rsidR="008F0D85" w:rsidRDefault="00AE42A1">
      <w:r>
        <w:t xml:space="preserve">Posljedice po svaku od skupina društvenih vrijednosti procijenjene su prema određenim, definiranim kriterijima na način prikazan u Smjernicama za izradu procjene rizika od velikih nesreća na području Koprivničko - križevačke županije. </w:t>
      </w:r>
    </w:p>
    <w:p w:rsidR="008F0D85" w:rsidRDefault="00AE42A1">
      <w:pPr>
        <w:pStyle w:val="Naslov2"/>
      </w:pPr>
      <w:bookmarkStart w:id="351" w:name="_Toc512434595"/>
      <w:bookmarkStart w:id="352" w:name="_Toc514240150"/>
      <w:bookmarkStart w:id="353" w:name="_Toc516128253"/>
      <w:bookmarkStart w:id="354" w:name="_Toc527969363"/>
      <w:bookmarkEnd w:id="351"/>
      <w:bookmarkEnd w:id="352"/>
      <w:bookmarkEnd w:id="353"/>
      <w:bookmarkEnd w:id="354"/>
      <w:r>
        <w:t>4.1. Život i zdravlj</w:t>
      </w:r>
      <w:r>
        <w:t>e ljudi</w:t>
      </w:r>
    </w:p>
    <w:p w:rsidR="008F0D85" w:rsidRDefault="008F0D85"/>
    <w:p w:rsidR="008F0D85" w:rsidRDefault="00AE42A1">
      <w:r>
        <w:t xml:space="preserve">Posljedice za život i zdravlje ljudi prikazane su u odnosu na ukupni broj stanovnika Općine za koje je procijenjeno da su zahvaćeni posljedicama određenih prijetnji – poginuli, ozlijeđeni, oboljeli, evakuirani, zbrinuti i sklonjeni. </w:t>
      </w:r>
    </w:p>
    <w:p w:rsidR="008F0D85" w:rsidRDefault="00AE42A1">
      <w:pPr>
        <w:spacing w:after="0" w:line="360" w:lineRule="auto"/>
        <w:jc w:val="center"/>
        <w:rPr>
          <w:rFonts w:cs="Arial"/>
          <w:b/>
          <w:bCs/>
          <w:sz w:val="20"/>
          <w:szCs w:val="20"/>
        </w:rPr>
      </w:pPr>
      <w:bookmarkStart w:id="355" w:name="_Toc512434719"/>
      <w:bookmarkStart w:id="356" w:name="_Toc514240313"/>
      <w:bookmarkStart w:id="357" w:name="_Toc516128398"/>
      <w:bookmarkStart w:id="358" w:name="_Toc527969508"/>
      <w:r>
        <w:rPr>
          <w:rFonts w:cs="Arial"/>
          <w:b/>
          <w:bCs/>
          <w:sz w:val="20"/>
          <w:szCs w:val="20"/>
        </w:rPr>
        <w:t xml:space="preserve">Tablica </w:t>
      </w:r>
      <w:r>
        <w:rPr>
          <w:rFonts w:cs="Arial"/>
          <w:b/>
          <w:bCs/>
          <w:sz w:val="20"/>
          <w:szCs w:val="20"/>
        </w:rPr>
        <w:fldChar w:fldCharType="begin"/>
      </w:r>
      <w:r>
        <w:instrText>SEQ T</w:instrText>
      </w:r>
      <w:r>
        <w:instrText>ablica \* ARABIC</w:instrText>
      </w:r>
      <w:r>
        <w:fldChar w:fldCharType="separate"/>
      </w:r>
      <w:r>
        <w:t>26</w:t>
      </w:r>
      <w:r>
        <w:fldChar w:fldCharType="end"/>
      </w:r>
      <w:bookmarkEnd w:id="355"/>
      <w:bookmarkEnd w:id="356"/>
      <w:bookmarkEnd w:id="357"/>
      <w:bookmarkEnd w:id="358"/>
      <w:r>
        <w:rPr>
          <w:rFonts w:cs="Arial"/>
          <w:b/>
          <w:bCs/>
          <w:sz w:val="20"/>
          <w:szCs w:val="20"/>
        </w:rPr>
        <w:t>: Prikaz posljedica na život i zdravlje ljudi</w:t>
      </w:r>
    </w:p>
    <w:tbl>
      <w:tblPr>
        <w:tblW w:w="5056" w:type="dxa"/>
        <w:tblInd w:w="2122"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065"/>
        <w:gridCol w:w="2019"/>
        <w:gridCol w:w="1972"/>
      </w:tblGrid>
      <w:tr w:rsidR="008F0D85">
        <w:trPr>
          <w:trHeight w:val="181"/>
        </w:trPr>
        <w:tc>
          <w:tcPr>
            <w:tcW w:w="5056" w:type="dxa"/>
            <w:gridSpan w:val="3"/>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Život i zdravlje ljudi</w:t>
            </w:r>
          </w:p>
        </w:tc>
      </w:tr>
      <w:tr w:rsidR="008F0D85">
        <w:trPr>
          <w:trHeight w:val="181"/>
        </w:trPr>
        <w:tc>
          <w:tcPr>
            <w:tcW w:w="106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201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Posljedica</w:t>
            </w:r>
          </w:p>
        </w:tc>
        <w:tc>
          <w:tcPr>
            <w:tcW w:w="197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Broj stanovnika u %</w:t>
            </w:r>
          </w:p>
        </w:tc>
      </w:tr>
      <w:tr w:rsidR="008F0D85">
        <w:trPr>
          <w:trHeight w:val="181"/>
        </w:trPr>
        <w:tc>
          <w:tcPr>
            <w:tcW w:w="106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Neznatne</w:t>
            </w:r>
          </w:p>
        </w:tc>
        <w:tc>
          <w:tcPr>
            <w:tcW w:w="197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*&lt;0,001</w:t>
            </w:r>
          </w:p>
        </w:tc>
      </w:tr>
      <w:tr w:rsidR="008F0D85">
        <w:trPr>
          <w:trHeight w:val="181"/>
        </w:trPr>
        <w:tc>
          <w:tcPr>
            <w:tcW w:w="106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Malene</w:t>
            </w:r>
          </w:p>
        </w:tc>
        <w:tc>
          <w:tcPr>
            <w:tcW w:w="197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0,001 - 0,0046</w:t>
            </w:r>
          </w:p>
        </w:tc>
      </w:tr>
      <w:tr w:rsidR="008F0D85">
        <w:trPr>
          <w:trHeight w:val="181"/>
        </w:trPr>
        <w:tc>
          <w:tcPr>
            <w:tcW w:w="106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Umjerene</w:t>
            </w:r>
          </w:p>
        </w:tc>
        <w:tc>
          <w:tcPr>
            <w:tcW w:w="197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0,0047 - 0,011</w:t>
            </w:r>
          </w:p>
        </w:tc>
      </w:tr>
      <w:tr w:rsidR="008F0D85">
        <w:trPr>
          <w:trHeight w:val="190"/>
        </w:trPr>
        <w:tc>
          <w:tcPr>
            <w:tcW w:w="106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Značajne</w:t>
            </w:r>
          </w:p>
        </w:tc>
        <w:tc>
          <w:tcPr>
            <w:tcW w:w="197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0,012 - 0,035</w:t>
            </w:r>
          </w:p>
        </w:tc>
      </w:tr>
      <w:tr w:rsidR="008F0D85">
        <w:trPr>
          <w:trHeight w:val="45"/>
        </w:trPr>
        <w:tc>
          <w:tcPr>
            <w:tcW w:w="106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201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Katastrofalne</w:t>
            </w:r>
          </w:p>
        </w:tc>
        <w:tc>
          <w:tcPr>
            <w:tcW w:w="197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&gt;0,036</w:t>
            </w:r>
          </w:p>
        </w:tc>
      </w:tr>
    </w:tbl>
    <w:p w:rsidR="008F0D85" w:rsidRDefault="008F0D85"/>
    <w:p w:rsidR="008F0D85" w:rsidRDefault="00AE42A1">
      <w:pPr>
        <w:pStyle w:val="Naslov2"/>
      </w:pPr>
      <w:bookmarkStart w:id="359" w:name="_Toc512434596"/>
      <w:bookmarkStart w:id="360" w:name="_Toc514240151"/>
      <w:bookmarkStart w:id="361" w:name="_Toc516128254"/>
      <w:bookmarkStart w:id="362" w:name="_Toc527969364"/>
      <w:bookmarkEnd w:id="359"/>
      <w:bookmarkEnd w:id="360"/>
      <w:bookmarkEnd w:id="361"/>
      <w:bookmarkEnd w:id="362"/>
      <w:r>
        <w:t>4.2. Gospodarstvo</w:t>
      </w:r>
    </w:p>
    <w:p w:rsidR="008F0D85" w:rsidRDefault="008F0D85"/>
    <w:p w:rsidR="008F0D85" w:rsidRDefault="00AE42A1">
      <w:r>
        <w:t xml:space="preserve">Posljedice na gospodarstvo odnose se na ukupnu materijalnu i financijsku štetu u gospodarstvu nastalu utjecajem prijetnje. Materijalna šteta s posljedicama po gospodarstvo prikazuje se u odnosu na proračun </w:t>
      </w:r>
      <w:r>
        <w:t>Općine te se ne odnosi na materijalnu štetu koja se prikazuje u kategoriji Društvena stabilnost i politika.</w:t>
      </w:r>
    </w:p>
    <w:p w:rsidR="008F0D85" w:rsidRDefault="00AE42A1">
      <w:pPr>
        <w:spacing w:after="0" w:line="360" w:lineRule="auto"/>
        <w:jc w:val="center"/>
        <w:rPr>
          <w:rFonts w:cs="Arial"/>
          <w:b/>
          <w:bCs/>
          <w:sz w:val="20"/>
          <w:szCs w:val="20"/>
        </w:rPr>
      </w:pPr>
      <w:bookmarkStart w:id="363" w:name="_Toc512434720"/>
      <w:bookmarkStart w:id="364" w:name="_Toc514240314"/>
      <w:bookmarkStart w:id="365" w:name="_Toc516128399"/>
      <w:bookmarkStart w:id="366" w:name="_Toc527969509"/>
      <w:r>
        <w:rPr>
          <w:rFonts w:cs="Arial"/>
          <w:b/>
          <w:bCs/>
          <w:sz w:val="20"/>
          <w:szCs w:val="20"/>
        </w:rPr>
        <w:t xml:space="preserve">Tablica </w:t>
      </w:r>
      <w:r>
        <w:rPr>
          <w:rFonts w:cs="Arial"/>
          <w:b/>
          <w:bCs/>
          <w:sz w:val="20"/>
          <w:szCs w:val="20"/>
        </w:rPr>
        <w:fldChar w:fldCharType="begin"/>
      </w:r>
      <w:r>
        <w:instrText>SEQ Tablica \* ARABIC</w:instrText>
      </w:r>
      <w:r>
        <w:fldChar w:fldCharType="separate"/>
      </w:r>
      <w:r>
        <w:t>27</w:t>
      </w:r>
      <w:r>
        <w:fldChar w:fldCharType="end"/>
      </w:r>
      <w:bookmarkEnd w:id="363"/>
      <w:bookmarkEnd w:id="364"/>
      <w:bookmarkEnd w:id="365"/>
      <w:bookmarkEnd w:id="366"/>
      <w:r>
        <w:rPr>
          <w:rFonts w:cs="Arial"/>
          <w:b/>
          <w:bCs/>
          <w:sz w:val="20"/>
          <w:szCs w:val="20"/>
        </w:rPr>
        <w:t>: Prikaz posljedica na gospodarstvo</w:t>
      </w:r>
    </w:p>
    <w:tbl>
      <w:tblPr>
        <w:tblW w:w="5949"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475"/>
        <w:gridCol w:w="1904"/>
        <w:gridCol w:w="2570"/>
      </w:tblGrid>
      <w:tr w:rsidR="008F0D85">
        <w:trPr>
          <w:trHeight w:val="302"/>
          <w:jc w:val="center"/>
        </w:trPr>
        <w:tc>
          <w:tcPr>
            <w:tcW w:w="5949" w:type="dxa"/>
            <w:gridSpan w:val="3"/>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Gospodarstvo</w:t>
            </w:r>
          </w:p>
        </w:tc>
      </w:tr>
      <w:tr w:rsidR="008F0D85">
        <w:trPr>
          <w:trHeight w:val="302"/>
          <w:jc w:val="center"/>
        </w:trPr>
        <w:tc>
          <w:tcPr>
            <w:tcW w:w="14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Kategorija</w:t>
            </w:r>
          </w:p>
        </w:tc>
        <w:tc>
          <w:tcPr>
            <w:tcW w:w="190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Posljedica</w:t>
            </w:r>
          </w:p>
        </w:tc>
        <w:tc>
          <w:tcPr>
            <w:tcW w:w="257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U kunama (% obzirom na proračun)</w:t>
            </w:r>
          </w:p>
        </w:tc>
      </w:tr>
      <w:tr w:rsidR="008F0D85">
        <w:trPr>
          <w:trHeight w:val="302"/>
          <w:jc w:val="center"/>
        </w:trPr>
        <w:tc>
          <w:tcPr>
            <w:tcW w:w="14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1</w:t>
            </w:r>
          </w:p>
        </w:tc>
        <w:tc>
          <w:tcPr>
            <w:tcW w:w="190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Neznatne</w:t>
            </w:r>
          </w:p>
        </w:tc>
        <w:tc>
          <w:tcPr>
            <w:tcW w:w="257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0,5 – 1</w:t>
            </w:r>
          </w:p>
        </w:tc>
      </w:tr>
      <w:tr w:rsidR="008F0D85">
        <w:trPr>
          <w:trHeight w:val="302"/>
          <w:jc w:val="center"/>
        </w:trPr>
        <w:tc>
          <w:tcPr>
            <w:tcW w:w="14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2</w:t>
            </w:r>
          </w:p>
        </w:tc>
        <w:tc>
          <w:tcPr>
            <w:tcW w:w="190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Malene</w:t>
            </w:r>
          </w:p>
        </w:tc>
        <w:tc>
          <w:tcPr>
            <w:tcW w:w="257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 – 5</w:t>
            </w:r>
          </w:p>
        </w:tc>
      </w:tr>
      <w:tr w:rsidR="008F0D85">
        <w:trPr>
          <w:trHeight w:val="302"/>
          <w:jc w:val="center"/>
        </w:trPr>
        <w:tc>
          <w:tcPr>
            <w:tcW w:w="14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3</w:t>
            </w:r>
          </w:p>
        </w:tc>
        <w:tc>
          <w:tcPr>
            <w:tcW w:w="190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Umjerene</w:t>
            </w:r>
          </w:p>
        </w:tc>
        <w:tc>
          <w:tcPr>
            <w:tcW w:w="257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5 – 15</w:t>
            </w:r>
          </w:p>
        </w:tc>
      </w:tr>
      <w:tr w:rsidR="008F0D85">
        <w:trPr>
          <w:trHeight w:val="319"/>
          <w:jc w:val="center"/>
        </w:trPr>
        <w:tc>
          <w:tcPr>
            <w:tcW w:w="14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4</w:t>
            </w:r>
          </w:p>
        </w:tc>
        <w:tc>
          <w:tcPr>
            <w:tcW w:w="190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Značajne</w:t>
            </w:r>
          </w:p>
        </w:tc>
        <w:tc>
          <w:tcPr>
            <w:tcW w:w="257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15 – 25</w:t>
            </w:r>
          </w:p>
        </w:tc>
      </w:tr>
      <w:tr w:rsidR="008F0D85">
        <w:trPr>
          <w:trHeight w:val="302"/>
          <w:jc w:val="center"/>
        </w:trPr>
        <w:tc>
          <w:tcPr>
            <w:tcW w:w="14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5</w:t>
            </w:r>
          </w:p>
        </w:tc>
        <w:tc>
          <w:tcPr>
            <w:tcW w:w="190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 xml:space="preserve">Katastrofalne </w:t>
            </w:r>
          </w:p>
        </w:tc>
        <w:tc>
          <w:tcPr>
            <w:tcW w:w="257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bookmarkStart w:id="367" w:name="_Hlk512348107"/>
            <w:bookmarkEnd w:id="367"/>
            <w:r>
              <w:rPr>
                <w:sz w:val="20"/>
                <w:szCs w:val="20"/>
              </w:rPr>
              <w:t>&gt;25</w:t>
            </w:r>
          </w:p>
        </w:tc>
      </w:tr>
    </w:tbl>
    <w:p w:rsidR="008F0D85" w:rsidRDefault="008F0D85"/>
    <w:p w:rsidR="008F0D85" w:rsidRDefault="008F0D85"/>
    <w:p w:rsidR="008F0D85" w:rsidRDefault="008F0D85"/>
    <w:p w:rsidR="008F0D85" w:rsidRDefault="00AE42A1">
      <w:pPr>
        <w:pStyle w:val="Naslov2"/>
      </w:pPr>
      <w:bookmarkStart w:id="368" w:name="_Toc512434597"/>
      <w:bookmarkStart w:id="369" w:name="_Toc514240152"/>
      <w:bookmarkStart w:id="370" w:name="_Toc516128255"/>
      <w:bookmarkStart w:id="371" w:name="_Toc527969365"/>
      <w:bookmarkEnd w:id="368"/>
      <w:bookmarkEnd w:id="369"/>
      <w:bookmarkEnd w:id="370"/>
      <w:bookmarkEnd w:id="371"/>
      <w:r>
        <w:lastRenderedPageBreak/>
        <w:t>4.3. Društvena stabilnost i politika</w:t>
      </w:r>
    </w:p>
    <w:p w:rsidR="008F0D85" w:rsidRDefault="008F0D85"/>
    <w:p w:rsidR="008F0D85" w:rsidRDefault="00AE42A1">
      <w:r>
        <w:t>Posljedice za Društvenu stabilnost i politiku procijenjene su s obzirom na štete nastale određenom prijetnjom na kritičnoj infrastrukturi i šteti na građevinama od javnog i društvenog značaja. Kategorija posljedica na Društvenu stabilnost i politiku dobiva</w:t>
      </w:r>
      <w:r>
        <w:t xml:space="preserve"> se srednjom vrijednosti kategorija Kritične infrastrukture (KI) i Ustanova/građevina od javnog i društvenog značaja. </w:t>
      </w:r>
    </w:p>
    <w:p w:rsidR="008F0D85" w:rsidRDefault="00AE42A1">
      <w:pPr>
        <w:spacing w:after="0"/>
        <w:jc w:val="center"/>
      </w:pPr>
      <w:r>
        <w:rPr>
          <w:b/>
          <w:sz w:val="22"/>
        </w:rPr>
        <w:t xml:space="preserve">Društvena stabilnost = </w:t>
      </w:r>
      <w:r>
        <w:fldChar w:fldCharType="begin"/>
      </w:r>
      <w:r>
        <w:instrText>QUOTE</w:instrText>
      </w:r>
      <w:r>
        <w:fldChar w:fldCharType="end"/>
      </w:r>
      <w:bookmarkStart w:id="372" w:name="__Fieldmark__7401_1406329701"/>
      <w:bookmarkStart w:id="373" w:name="__Fieldmark__8710_1185846484"/>
      <w:bookmarkStart w:id="374" w:name="__Fieldmark__8375_1935607046"/>
      <w:bookmarkStart w:id="375" w:name="__Fieldmark__79541_3653056331"/>
      <w:bookmarkEnd w:id="372"/>
      <w:bookmarkEnd w:id="373"/>
      <w:bookmarkEnd w:id="374"/>
      <w:bookmarkEnd w:id="375"/>
      <w:r>
        <w:rPr>
          <w:b/>
          <w:noProof/>
          <w:sz w:val="22"/>
        </w:rPr>
        <w:drawing>
          <wp:inline distT="0" distB="0" distL="0" distR="0">
            <wp:extent cx="3467735" cy="695960"/>
            <wp:effectExtent l="0" t="0" r="0" b="0"/>
            <wp:docPr id="26" name="Slik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2"/>
                    <pic:cNvPicPr>
                      <a:picLocks noChangeAspect="1" noChangeArrowheads="1"/>
                    </pic:cNvPicPr>
                  </pic:nvPicPr>
                  <pic:blipFill>
                    <a:blip r:embed="rId33"/>
                    <a:stretch>
                      <a:fillRect/>
                    </a:stretch>
                  </pic:blipFill>
                  <pic:spPr bwMode="auto">
                    <a:xfrm>
                      <a:off x="0" y="0"/>
                      <a:ext cx="3467735" cy="695960"/>
                    </a:xfrm>
                    <a:prstGeom prst="rect">
                      <a:avLst/>
                    </a:prstGeom>
                  </pic:spPr>
                </pic:pic>
              </a:graphicData>
            </a:graphic>
          </wp:inline>
        </w:drawing>
      </w:r>
      <w:r>
        <w:rPr>
          <w:b/>
          <w:noProof/>
          <w:sz w:val="22"/>
        </w:rPr>
        <w:drawing>
          <wp:inline distT="0" distB="0" distL="0" distR="0">
            <wp:extent cx="3467735" cy="695960"/>
            <wp:effectExtent l="0" t="0" r="0" b="0"/>
            <wp:docPr id="27" name="Slik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3"/>
                    <pic:cNvPicPr>
                      <a:picLocks noChangeAspect="1" noChangeArrowheads="1"/>
                    </pic:cNvPicPr>
                  </pic:nvPicPr>
                  <pic:blipFill>
                    <a:blip r:embed="rId33"/>
                    <a:stretch>
                      <a:fillRect/>
                    </a:stretch>
                  </pic:blipFill>
                  <pic:spPr bwMode="auto">
                    <a:xfrm>
                      <a:off x="0" y="0"/>
                      <a:ext cx="3467735" cy="695960"/>
                    </a:xfrm>
                    <a:prstGeom prst="rect">
                      <a:avLst/>
                    </a:prstGeom>
                  </pic:spPr>
                </pic:pic>
              </a:graphicData>
            </a:graphic>
          </wp:inline>
        </w:drawing>
      </w:r>
    </w:p>
    <w:p w:rsidR="008F0D85" w:rsidRDefault="00AE42A1">
      <w:r>
        <w:t>Ukupna šteta za Društvenu stabilnost i politiku, nastala posljedicama prijetnje prikazana je u odnosu na</w:t>
      </w:r>
      <w:r>
        <w:t xml:space="preserve"> proračun Općine.</w:t>
      </w:r>
    </w:p>
    <w:p w:rsidR="008F0D85" w:rsidRDefault="00AE42A1">
      <w:pPr>
        <w:spacing w:after="0" w:line="360" w:lineRule="auto"/>
        <w:jc w:val="center"/>
        <w:rPr>
          <w:rFonts w:cs="Arial"/>
          <w:b/>
          <w:bCs/>
          <w:sz w:val="20"/>
          <w:szCs w:val="20"/>
        </w:rPr>
      </w:pPr>
      <w:bookmarkStart w:id="376" w:name="_Toc512434721"/>
      <w:bookmarkStart w:id="377" w:name="_Toc514240315"/>
      <w:bookmarkStart w:id="378" w:name="_Toc516128400"/>
      <w:bookmarkStart w:id="379" w:name="_Toc527969510"/>
      <w:r>
        <w:rPr>
          <w:rFonts w:cs="Arial"/>
          <w:b/>
          <w:bCs/>
          <w:sz w:val="20"/>
          <w:szCs w:val="20"/>
        </w:rPr>
        <w:t xml:space="preserve">Tablica </w:t>
      </w:r>
      <w:r>
        <w:rPr>
          <w:rFonts w:cs="Arial"/>
          <w:b/>
          <w:bCs/>
          <w:sz w:val="20"/>
          <w:szCs w:val="20"/>
        </w:rPr>
        <w:fldChar w:fldCharType="begin"/>
      </w:r>
      <w:r>
        <w:instrText>SEQ Tablica \* ARABIC</w:instrText>
      </w:r>
      <w:r>
        <w:fldChar w:fldCharType="separate"/>
      </w:r>
      <w:r>
        <w:t>28</w:t>
      </w:r>
      <w:r>
        <w:fldChar w:fldCharType="end"/>
      </w:r>
      <w:bookmarkEnd w:id="376"/>
      <w:bookmarkEnd w:id="377"/>
      <w:bookmarkEnd w:id="378"/>
      <w:bookmarkEnd w:id="379"/>
      <w:r>
        <w:rPr>
          <w:rFonts w:cs="Arial"/>
          <w:b/>
          <w:bCs/>
          <w:sz w:val="20"/>
          <w:szCs w:val="20"/>
        </w:rPr>
        <w:t>: Prikaz posljedica na kritičnu infrastrukturu (KI)</w:t>
      </w:r>
    </w:p>
    <w:tbl>
      <w:tblPr>
        <w:tblW w:w="5619"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544"/>
        <w:gridCol w:w="1502"/>
        <w:gridCol w:w="2573"/>
      </w:tblGrid>
      <w:tr w:rsidR="008F0D85">
        <w:trPr>
          <w:trHeight w:val="346"/>
          <w:jc w:val="center"/>
        </w:trPr>
        <w:tc>
          <w:tcPr>
            <w:tcW w:w="5619" w:type="dxa"/>
            <w:gridSpan w:val="3"/>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Društvena stabilnost i politika</w:t>
            </w:r>
          </w:p>
        </w:tc>
      </w:tr>
      <w:tr w:rsidR="008F0D85">
        <w:trPr>
          <w:trHeight w:val="346"/>
          <w:jc w:val="center"/>
        </w:trPr>
        <w:tc>
          <w:tcPr>
            <w:tcW w:w="5619" w:type="dxa"/>
            <w:gridSpan w:val="3"/>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Štete/gubici na kritičnoj infrastrukturi</w:t>
            </w:r>
          </w:p>
        </w:tc>
      </w:tr>
      <w:tr w:rsidR="008F0D85">
        <w:trPr>
          <w:trHeight w:val="346"/>
          <w:jc w:val="center"/>
        </w:trPr>
        <w:tc>
          <w:tcPr>
            <w:tcW w:w="154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150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Posljedice</w:t>
            </w:r>
          </w:p>
        </w:tc>
        <w:tc>
          <w:tcPr>
            <w:tcW w:w="257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U kunama (% obzirom na proračun)</w:t>
            </w:r>
          </w:p>
        </w:tc>
      </w:tr>
      <w:tr w:rsidR="008F0D85">
        <w:trPr>
          <w:trHeight w:val="346"/>
          <w:jc w:val="center"/>
        </w:trPr>
        <w:tc>
          <w:tcPr>
            <w:tcW w:w="154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150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Neznatne</w:t>
            </w:r>
          </w:p>
        </w:tc>
        <w:tc>
          <w:tcPr>
            <w:tcW w:w="257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0,5 – 1</w:t>
            </w:r>
          </w:p>
        </w:tc>
      </w:tr>
      <w:tr w:rsidR="008F0D85">
        <w:trPr>
          <w:trHeight w:val="346"/>
          <w:jc w:val="center"/>
        </w:trPr>
        <w:tc>
          <w:tcPr>
            <w:tcW w:w="154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150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Malene</w:t>
            </w:r>
          </w:p>
        </w:tc>
        <w:tc>
          <w:tcPr>
            <w:tcW w:w="257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 xml:space="preserve"> 1 – 5</w:t>
            </w:r>
          </w:p>
        </w:tc>
      </w:tr>
      <w:tr w:rsidR="008F0D85">
        <w:trPr>
          <w:trHeight w:val="346"/>
          <w:jc w:val="center"/>
        </w:trPr>
        <w:tc>
          <w:tcPr>
            <w:tcW w:w="154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150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Umjeren</w:t>
            </w:r>
          </w:p>
        </w:tc>
        <w:tc>
          <w:tcPr>
            <w:tcW w:w="257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 – 15</w:t>
            </w:r>
          </w:p>
        </w:tc>
      </w:tr>
      <w:tr w:rsidR="008F0D85">
        <w:trPr>
          <w:trHeight w:val="365"/>
          <w:jc w:val="center"/>
        </w:trPr>
        <w:tc>
          <w:tcPr>
            <w:tcW w:w="154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150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Značajne</w:t>
            </w:r>
          </w:p>
        </w:tc>
        <w:tc>
          <w:tcPr>
            <w:tcW w:w="257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15 – 25</w:t>
            </w:r>
          </w:p>
        </w:tc>
      </w:tr>
      <w:tr w:rsidR="008F0D85">
        <w:trPr>
          <w:trHeight w:val="346"/>
          <w:jc w:val="center"/>
        </w:trPr>
        <w:tc>
          <w:tcPr>
            <w:tcW w:w="154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150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Katastrofalne</w:t>
            </w:r>
          </w:p>
        </w:tc>
        <w:tc>
          <w:tcPr>
            <w:tcW w:w="257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&gt;25</w:t>
            </w:r>
          </w:p>
        </w:tc>
      </w:tr>
    </w:tbl>
    <w:p w:rsidR="008F0D85" w:rsidRDefault="008F0D85">
      <w:pPr>
        <w:jc w:val="center"/>
      </w:pPr>
    </w:p>
    <w:p w:rsidR="008F0D85" w:rsidRDefault="00AE42A1">
      <w:pPr>
        <w:spacing w:after="0" w:line="360" w:lineRule="auto"/>
        <w:jc w:val="center"/>
        <w:rPr>
          <w:rFonts w:cs="Arial"/>
          <w:b/>
          <w:bCs/>
          <w:sz w:val="20"/>
          <w:szCs w:val="20"/>
        </w:rPr>
      </w:pPr>
      <w:bookmarkStart w:id="380" w:name="_Toc512434722"/>
      <w:bookmarkStart w:id="381" w:name="_Toc514240316"/>
      <w:bookmarkStart w:id="382" w:name="_Toc516128401"/>
      <w:bookmarkStart w:id="383" w:name="_Toc527969511"/>
      <w:r>
        <w:rPr>
          <w:rFonts w:cs="Arial"/>
          <w:b/>
          <w:bCs/>
          <w:sz w:val="20"/>
          <w:szCs w:val="20"/>
        </w:rPr>
        <w:t xml:space="preserve">Tablica </w:t>
      </w:r>
      <w:r>
        <w:rPr>
          <w:rFonts w:cs="Arial"/>
          <w:b/>
          <w:bCs/>
          <w:sz w:val="20"/>
          <w:szCs w:val="20"/>
        </w:rPr>
        <w:fldChar w:fldCharType="begin"/>
      </w:r>
      <w:r>
        <w:instrText>SEQ Tablica \* ARABIC</w:instrText>
      </w:r>
      <w:r>
        <w:fldChar w:fldCharType="separate"/>
      </w:r>
      <w:r>
        <w:t>29</w:t>
      </w:r>
      <w:r>
        <w:fldChar w:fldCharType="end"/>
      </w:r>
      <w:bookmarkEnd w:id="380"/>
      <w:bookmarkEnd w:id="381"/>
      <w:bookmarkEnd w:id="382"/>
      <w:bookmarkEnd w:id="383"/>
      <w:r>
        <w:rPr>
          <w:rFonts w:cs="Arial"/>
          <w:b/>
          <w:bCs/>
          <w:sz w:val="20"/>
          <w:szCs w:val="20"/>
        </w:rPr>
        <w:t>: Prikaz posljedica na ustanove i građevine od javnog i društvenog značaja</w:t>
      </w:r>
    </w:p>
    <w:tbl>
      <w:tblPr>
        <w:tblW w:w="5962"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886"/>
        <w:gridCol w:w="1541"/>
        <w:gridCol w:w="2535"/>
      </w:tblGrid>
      <w:tr w:rsidR="008F0D85">
        <w:trPr>
          <w:trHeight w:val="294"/>
          <w:jc w:val="center"/>
        </w:trPr>
        <w:tc>
          <w:tcPr>
            <w:tcW w:w="5962" w:type="dxa"/>
            <w:gridSpan w:val="3"/>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Društvena stabilnost i politika</w:t>
            </w:r>
          </w:p>
        </w:tc>
      </w:tr>
      <w:tr w:rsidR="008F0D85">
        <w:trPr>
          <w:trHeight w:val="294"/>
          <w:jc w:val="center"/>
        </w:trPr>
        <w:tc>
          <w:tcPr>
            <w:tcW w:w="5962" w:type="dxa"/>
            <w:gridSpan w:val="3"/>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 xml:space="preserve">Štete/gubici na </w:t>
            </w:r>
            <w:r>
              <w:rPr>
                <w:b/>
                <w:sz w:val="20"/>
                <w:szCs w:val="20"/>
              </w:rPr>
              <w:t>ustanovama/građevinama javnog društvenog značaja</w:t>
            </w:r>
          </w:p>
        </w:tc>
      </w:tr>
      <w:tr w:rsidR="008F0D85">
        <w:trPr>
          <w:trHeight w:val="294"/>
          <w:jc w:val="center"/>
        </w:trPr>
        <w:tc>
          <w:tcPr>
            <w:tcW w:w="188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154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Posljedice</w:t>
            </w:r>
          </w:p>
        </w:tc>
        <w:tc>
          <w:tcPr>
            <w:tcW w:w="253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U kunama (% obzirom na proračun)</w:t>
            </w:r>
          </w:p>
        </w:tc>
      </w:tr>
      <w:tr w:rsidR="008F0D85">
        <w:trPr>
          <w:trHeight w:val="294"/>
          <w:jc w:val="center"/>
        </w:trPr>
        <w:tc>
          <w:tcPr>
            <w:tcW w:w="188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Neznatne</w:t>
            </w:r>
          </w:p>
        </w:tc>
        <w:tc>
          <w:tcPr>
            <w:tcW w:w="25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0,5 – 1</w:t>
            </w:r>
          </w:p>
        </w:tc>
      </w:tr>
      <w:tr w:rsidR="008F0D85">
        <w:trPr>
          <w:trHeight w:val="294"/>
          <w:jc w:val="center"/>
        </w:trPr>
        <w:tc>
          <w:tcPr>
            <w:tcW w:w="188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Malene</w:t>
            </w:r>
          </w:p>
        </w:tc>
        <w:tc>
          <w:tcPr>
            <w:tcW w:w="25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 5</w:t>
            </w:r>
          </w:p>
        </w:tc>
      </w:tr>
      <w:tr w:rsidR="008F0D85">
        <w:trPr>
          <w:trHeight w:val="294"/>
          <w:jc w:val="center"/>
        </w:trPr>
        <w:tc>
          <w:tcPr>
            <w:tcW w:w="188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Umjerene</w:t>
            </w:r>
          </w:p>
        </w:tc>
        <w:tc>
          <w:tcPr>
            <w:tcW w:w="25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 – 15</w:t>
            </w:r>
          </w:p>
        </w:tc>
      </w:tr>
      <w:tr w:rsidR="008F0D85">
        <w:trPr>
          <w:trHeight w:val="308"/>
          <w:jc w:val="center"/>
        </w:trPr>
        <w:tc>
          <w:tcPr>
            <w:tcW w:w="188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Značajne</w:t>
            </w:r>
          </w:p>
        </w:tc>
        <w:tc>
          <w:tcPr>
            <w:tcW w:w="25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15 – 25</w:t>
            </w:r>
          </w:p>
        </w:tc>
      </w:tr>
      <w:tr w:rsidR="008F0D85">
        <w:trPr>
          <w:trHeight w:val="294"/>
          <w:jc w:val="center"/>
        </w:trPr>
        <w:tc>
          <w:tcPr>
            <w:tcW w:w="188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Katastrofalne</w:t>
            </w:r>
          </w:p>
        </w:tc>
        <w:tc>
          <w:tcPr>
            <w:tcW w:w="25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&gt;25</w:t>
            </w:r>
          </w:p>
        </w:tc>
      </w:tr>
    </w:tbl>
    <w:p w:rsidR="008F0D85" w:rsidRDefault="008F0D85"/>
    <w:p w:rsidR="008F0D85" w:rsidRDefault="00AE42A1">
      <w:pPr>
        <w:rPr>
          <w:rFonts w:cs="Calibri"/>
          <w:szCs w:val="24"/>
        </w:rPr>
      </w:pPr>
      <w:r>
        <w:rPr>
          <w:rFonts w:cs="Calibri"/>
          <w:szCs w:val="24"/>
        </w:rPr>
        <w:t xml:space="preserve">Posljedice za Društvenu stabilnost i politiku iskazivat će se zbirno.  </w:t>
      </w:r>
    </w:p>
    <w:p w:rsidR="008F0D85" w:rsidRDefault="00AE42A1">
      <w:pPr>
        <w:rPr>
          <w:rFonts w:cs="Calibri"/>
          <w:szCs w:val="24"/>
        </w:rPr>
      </w:pPr>
      <w:r>
        <w:rPr>
          <w:rFonts w:cs="Calibri"/>
          <w:szCs w:val="24"/>
        </w:rPr>
        <w:lastRenderedPageBreak/>
        <w:t>Vrijednosti pokretnina i nekretnina određuju se podacima dobivenim iz Državnog zavoda za statistiku. Ako takvi podaci ne postoje koristit će se vrijednosti iz tablice priloga XIII. - P</w:t>
      </w:r>
      <w:r>
        <w:rPr>
          <w:rFonts w:cs="Calibri"/>
          <w:szCs w:val="24"/>
        </w:rPr>
        <w:t>ribližni jedinični troškovi izgradnje raznih kategorija građevina iz Procjene rizika od katastrofa za Republiku Hrvatsku.</w:t>
      </w:r>
    </w:p>
    <w:p w:rsidR="008F0D85" w:rsidRDefault="00AE42A1">
      <w:pPr>
        <w:pStyle w:val="Naslov1"/>
      </w:pPr>
      <w:bookmarkStart w:id="384" w:name="_Toc512434598"/>
      <w:bookmarkStart w:id="385" w:name="_Toc514240153"/>
      <w:bookmarkStart w:id="386" w:name="_Toc516128256"/>
      <w:bookmarkStart w:id="387" w:name="_Toc527969366"/>
      <w:bookmarkEnd w:id="384"/>
      <w:bookmarkEnd w:id="385"/>
      <w:bookmarkEnd w:id="386"/>
      <w:bookmarkEnd w:id="387"/>
      <w:r>
        <w:t>5. VJEROJATNOST POJAVE PRIJETNJE – RIZIKA</w:t>
      </w:r>
    </w:p>
    <w:p w:rsidR="008F0D85" w:rsidRDefault="008F0D85"/>
    <w:p w:rsidR="008F0D85" w:rsidRDefault="00AE42A1">
      <w:bookmarkStart w:id="388" w:name="_Hlk503347010"/>
      <w:bookmarkEnd w:id="388"/>
      <w:r>
        <w:t>Pri određivanju vjerojatnosti, odnosno frekvencije pojave, točnije nastanka određenog rizik</w:t>
      </w:r>
      <w:r>
        <w:t>a, za sve rizike koriste se iste vrijednosti vjerojatnosti, odnosno frekvencije. Za svaki identificirani rizik vjerojatnost, frekvencija je sistematizirana u 5 kategorija. Vjerojatnost pojave, frekvencija određenog rizika izračunata je tijekom izrade Procj</w:t>
      </w:r>
      <w:r>
        <w:t>ene rizika, a u proračun su uzete vrijednosti onog događaja koji može uzrokovati štete sukladno kriterijima propisanim za svaku od kategorija društveni vrijednosti.</w:t>
      </w:r>
    </w:p>
    <w:p w:rsidR="008F0D85" w:rsidRDefault="00AE42A1">
      <w:pPr>
        <w:spacing w:after="0" w:line="360" w:lineRule="auto"/>
        <w:jc w:val="center"/>
        <w:rPr>
          <w:rFonts w:cs="Arial"/>
          <w:b/>
          <w:bCs/>
          <w:sz w:val="20"/>
          <w:szCs w:val="20"/>
        </w:rPr>
      </w:pPr>
      <w:bookmarkStart w:id="389" w:name="_Hlk5033470101"/>
      <w:bookmarkStart w:id="390" w:name="_Toc512434723"/>
      <w:bookmarkStart w:id="391" w:name="_Toc514240317"/>
      <w:bookmarkStart w:id="392" w:name="_Toc516128402"/>
      <w:bookmarkStart w:id="393" w:name="_Toc527969512"/>
      <w:bookmarkEnd w:id="389"/>
      <w:r>
        <w:rPr>
          <w:rFonts w:cs="Arial"/>
          <w:b/>
          <w:bCs/>
          <w:sz w:val="20"/>
          <w:szCs w:val="20"/>
        </w:rPr>
        <w:t xml:space="preserve">Tablica </w:t>
      </w:r>
      <w:r>
        <w:rPr>
          <w:rFonts w:cs="Arial"/>
          <w:b/>
          <w:bCs/>
          <w:sz w:val="20"/>
          <w:szCs w:val="20"/>
        </w:rPr>
        <w:fldChar w:fldCharType="begin"/>
      </w:r>
      <w:r>
        <w:instrText>SEQ Tablica \* ARABIC</w:instrText>
      </w:r>
      <w:r>
        <w:fldChar w:fldCharType="separate"/>
      </w:r>
      <w:r>
        <w:t>30</w:t>
      </w:r>
      <w:r>
        <w:fldChar w:fldCharType="end"/>
      </w:r>
      <w:bookmarkEnd w:id="390"/>
      <w:bookmarkEnd w:id="391"/>
      <w:bookmarkEnd w:id="392"/>
      <w:bookmarkEnd w:id="393"/>
      <w:r>
        <w:rPr>
          <w:rFonts w:cs="Arial"/>
          <w:b/>
          <w:bCs/>
          <w:sz w:val="20"/>
          <w:szCs w:val="20"/>
        </w:rPr>
        <w:t>: Prikaz vjerojatnosti, frekvencije rizika</w:t>
      </w:r>
    </w:p>
    <w:tbl>
      <w:tblPr>
        <w:tblW w:w="918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384"/>
        <w:gridCol w:w="1418"/>
        <w:gridCol w:w="1843"/>
        <w:gridCol w:w="1592"/>
        <w:gridCol w:w="2943"/>
      </w:tblGrid>
      <w:tr w:rsidR="008F0D85">
        <w:trPr>
          <w:trHeight w:val="254"/>
        </w:trPr>
        <w:tc>
          <w:tcPr>
            <w:tcW w:w="1384"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1418"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Pos</w:t>
            </w:r>
            <w:r>
              <w:rPr>
                <w:b/>
                <w:sz w:val="20"/>
                <w:szCs w:val="20"/>
              </w:rPr>
              <w:t>ljedice</w:t>
            </w:r>
          </w:p>
        </w:tc>
        <w:tc>
          <w:tcPr>
            <w:tcW w:w="6378" w:type="dxa"/>
            <w:gridSpan w:val="3"/>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VJEROJATNOST/FREKVENCIJA</w:t>
            </w:r>
          </w:p>
        </w:tc>
      </w:tr>
      <w:tr w:rsidR="008F0D85">
        <w:trPr>
          <w:trHeight w:val="152"/>
        </w:trPr>
        <w:tc>
          <w:tcPr>
            <w:tcW w:w="1384"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rPr>
                <w:b/>
                <w:sz w:val="20"/>
                <w:szCs w:val="20"/>
              </w:rPr>
            </w:pPr>
          </w:p>
        </w:tc>
        <w:tc>
          <w:tcPr>
            <w:tcW w:w="1418"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rPr>
                <w:b/>
                <w:sz w:val="20"/>
                <w:szCs w:val="20"/>
              </w:rPr>
            </w:pPr>
          </w:p>
        </w:tc>
        <w:tc>
          <w:tcPr>
            <w:tcW w:w="184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Kvalitativno</w:t>
            </w:r>
          </w:p>
        </w:tc>
        <w:tc>
          <w:tcPr>
            <w:tcW w:w="159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Vjerojatnost</w:t>
            </w:r>
          </w:p>
        </w:tc>
        <w:tc>
          <w:tcPr>
            <w:tcW w:w="294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Frekvencija</w:t>
            </w:r>
          </w:p>
        </w:tc>
      </w:tr>
      <w:tr w:rsidR="008F0D85">
        <w:trPr>
          <w:trHeight w:val="254"/>
        </w:trPr>
        <w:tc>
          <w:tcPr>
            <w:tcW w:w="138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Neznatne</w:t>
            </w:r>
          </w:p>
        </w:tc>
        <w:tc>
          <w:tcPr>
            <w:tcW w:w="18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Iznimno mala</w:t>
            </w:r>
          </w:p>
        </w:tc>
        <w:tc>
          <w:tcPr>
            <w:tcW w:w="1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&lt;1 %</w:t>
            </w:r>
          </w:p>
        </w:tc>
        <w:tc>
          <w:tcPr>
            <w:tcW w:w="29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u 100 godina i rjeđe</w:t>
            </w:r>
          </w:p>
        </w:tc>
      </w:tr>
      <w:tr w:rsidR="008F0D85">
        <w:trPr>
          <w:trHeight w:val="254"/>
        </w:trPr>
        <w:tc>
          <w:tcPr>
            <w:tcW w:w="138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Malene</w:t>
            </w:r>
          </w:p>
        </w:tc>
        <w:tc>
          <w:tcPr>
            <w:tcW w:w="18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Mala</w:t>
            </w:r>
          </w:p>
        </w:tc>
        <w:tc>
          <w:tcPr>
            <w:tcW w:w="1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 5 %</w:t>
            </w:r>
          </w:p>
        </w:tc>
        <w:tc>
          <w:tcPr>
            <w:tcW w:w="29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u 20 do 100 godina</w:t>
            </w:r>
          </w:p>
        </w:tc>
      </w:tr>
      <w:tr w:rsidR="008F0D85">
        <w:trPr>
          <w:trHeight w:val="254"/>
        </w:trPr>
        <w:tc>
          <w:tcPr>
            <w:tcW w:w="138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Umjerene</w:t>
            </w:r>
          </w:p>
        </w:tc>
        <w:tc>
          <w:tcPr>
            <w:tcW w:w="18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Umjerena</w:t>
            </w:r>
          </w:p>
        </w:tc>
        <w:tc>
          <w:tcPr>
            <w:tcW w:w="1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 – 50 %</w:t>
            </w:r>
          </w:p>
        </w:tc>
        <w:tc>
          <w:tcPr>
            <w:tcW w:w="29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u 2 do 20 godina</w:t>
            </w:r>
          </w:p>
        </w:tc>
      </w:tr>
      <w:tr w:rsidR="008F0D85">
        <w:trPr>
          <w:trHeight w:val="254"/>
        </w:trPr>
        <w:tc>
          <w:tcPr>
            <w:tcW w:w="138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Značajne</w:t>
            </w:r>
          </w:p>
        </w:tc>
        <w:tc>
          <w:tcPr>
            <w:tcW w:w="18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Velika</w:t>
            </w:r>
          </w:p>
        </w:tc>
        <w:tc>
          <w:tcPr>
            <w:tcW w:w="1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51 – 98 %</w:t>
            </w:r>
          </w:p>
        </w:tc>
        <w:tc>
          <w:tcPr>
            <w:tcW w:w="29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1 do 2 godine</w:t>
            </w:r>
          </w:p>
        </w:tc>
      </w:tr>
      <w:tr w:rsidR="008F0D85">
        <w:trPr>
          <w:trHeight w:val="270"/>
        </w:trPr>
        <w:tc>
          <w:tcPr>
            <w:tcW w:w="138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Katastrofalne</w:t>
            </w:r>
          </w:p>
        </w:tc>
        <w:tc>
          <w:tcPr>
            <w:tcW w:w="18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Iznimno velika</w:t>
            </w:r>
          </w:p>
        </w:tc>
        <w:tc>
          <w:tcPr>
            <w:tcW w:w="1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&gt;98 %</w:t>
            </w:r>
          </w:p>
        </w:tc>
        <w:tc>
          <w:tcPr>
            <w:tcW w:w="294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godišnje ili češće</w:t>
            </w:r>
          </w:p>
        </w:tc>
      </w:tr>
    </w:tbl>
    <w:p w:rsidR="008F0D85" w:rsidRDefault="008F0D85"/>
    <w:p w:rsidR="008F0D85" w:rsidRDefault="00AE42A1">
      <w:pPr>
        <w:widowControl w:val="0"/>
        <w:spacing w:after="0"/>
        <w:ind w:right="23"/>
        <w:rPr>
          <w:iCs/>
          <w:color w:val="000000"/>
          <w:szCs w:val="24"/>
        </w:rPr>
      </w:pPr>
      <w:r>
        <w:rPr>
          <w:iCs/>
          <w:color w:val="000000"/>
          <w:szCs w:val="24"/>
        </w:rPr>
        <w:t>Za vrijednosti vjerojatnosti, frekvencije u obzir su uzeti samo oni događaji čije posljedice za kategorije društvenih vrijednosti mogu biti opisane kategorijom 1, konkretno štete u gospodarstvu minimalno moraju iznositi 0,5% proračuna Općine. Nije razmatra</w:t>
      </w:r>
      <w:r>
        <w:rPr>
          <w:iCs/>
          <w:color w:val="000000"/>
          <w:szCs w:val="24"/>
        </w:rPr>
        <w:t xml:space="preserve">na vjerojatnost svakog potresa ili drugih prijetnji bez ikakve materijalne štete već samo vjerojatnost onog događaja, odnosno prijetnje koja može uzrokovati štete sukladno propisanim kriterijima za svaku od kategorija društvenih vrijednosti. </w:t>
      </w:r>
    </w:p>
    <w:p w:rsidR="008F0D85" w:rsidRDefault="008F0D85">
      <w:pPr>
        <w:widowControl w:val="0"/>
        <w:spacing w:after="0"/>
        <w:ind w:right="23"/>
        <w:rPr>
          <w:iCs/>
          <w:color w:val="000000"/>
          <w:szCs w:val="24"/>
        </w:rPr>
      </w:pPr>
    </w:p>
    <w:p w:rsidR="008F0D85" w:rsidRDefault="008F0D85">
      <w:pPr>
        <w:widowControl w:val="0"/>
        <w:spacing w:after="0"/>
        <w:ind w:right="23"/>
        <w:rPr>
          <w:iCs/>
          <w:color w:val="000000"/>
          <w:szCs w:val="24"/>
        </w:rPr>
      </w:pPr>
    </w:p>
    <w:p w:rsidR="008F0D85" w:rsidRDefault="008F0D85">
      <w:pPr>
        <w:widowControl w:val="0"/>
        <w:spacing w:after="0"/>
        <w:ind w:right="23"/>
        <w:rPr>
          <w:iCs/>
          <w:color w:val="000000"/>
          <w:szCs w:val="24"/>
        </w:rPr>
      </w:pPr>
    </w:p>
    <w:p w:rsidR="008F0D85" w:rsidRDefault="008F0D85">
      <w:pPr>
        <w:widowControl w:val="0"/>
        <w:spacing w:after="0"/>
        <w:ind w:right="23"/>
        <w:rPr>
          <w:iCs/>
          <w:color w:val="000000"/>
          <w:szCs w:val="24"/>
        </w:rPr>
      </w:pPr>
    </w:p>
    <w:p w:rsidR="008F0D85" w:rsidRDefault="008F0D85">
      <w:pPr>
        <w:widowControl w:val="0"/>
        <w:spacing w:after="0"/>
        <w:ind w:right="23"/>
        <w:rPr>
          <w:iCs/>
          <w:color w:val="000000"/>
          <w:szCs w:val="24"/>
        </w:rPr>
      </w:pPr>
    </w:p>
    <w:p w:rsidR="008F0D85" w:rsidRDefault="008F0D85">
      <w:pPr>
        <w:widowControl w:val="0"/>
        <w:spacing w:after="0"/>
        <w:ind w:right="23"/>
        <w:rPr>
          <w:iCs/>
          <w:color w:val="000000"/>
          <w:szCs w:val="24"/>
        </w:rPr>
      </w:pPr>
    </w:p>
    <w:p w:rsidR="008F0D85" w:rsidRDefault="008F0D85">
      <w:pPr>
        <w:widowControl w:val="0"/>
        <w:spacing w:after="0"/>
        <w:ind w:right="23"/>
        <w:rPr>
          <w:iCs/>
          <w:color w:val="000000"/>
          <w:szCs w:val="24"/>
        </w:rPr>
      </w:pPr>
    </w:p>
    <w:p w:rsidR="008F0D85" w:rsidRDefault="008F0D85">
      <w:pPr>
        <w:widowControl w:val="0"/>
        <w:spacing w:after="0"/>
        <w:ind w:right="23"/>
        <w:rPr>
          <w:iCs/>
          <w:color w:val="000000"/>
          <w:szCs w:val="24"/>
        </w:rPr>
      </w:pPr>
    </w:p>
    <w:p w:rsidR="008F0D85" w:rsidRDefault="008F0D85">
      <w:pPr>
        <w:widowControl w:val="0"/>
        <w:spacing w:after="0"/>
        <w:ind w:right="23"/>
        <w:rPr>
          <w:iCs/>
          <w:color w:val="000000"/>
          <w:szCs w:val="24"/>
        </w:rPr>
      </w:pPr>
    </w:p>
    <w:p w:rsidR="008F0D85" w:rsidRDefault="008F0D85">
      <w:pPr>
        <w:widowControl w:val="0"/>
        <w:spacing w:after="0"/>
        <w:ind w:right="23"/>
        <w:rPr>
          <w:iCs/>
          <w:color w:val="000000"/>
          <w:szCs w:val="24"/>
        </w:rPr>
      </w:pPr>
    </w:p>
    <w:p w:rsidR="008F0D85" w:rsidRDefault="008F0D85">
      <w:pPr>
        <w:widowControl w:val="0"/>
        <w:spacing w:after="0"/>
        <w:ind w:right="23"/>
        <w:rPr>
          <w:iCs/>
          <w:color w:val="000000"/>
          <w:szCs w:val="24"/>
        </w:rPr>
      </w:pPr>
    </w:p>
    <w:p w:rsidR="008F0D85" w:rsidRDefault="008F0D85">
      <w:pPr>
        <w:widowControl w:val="0"/>
        <w:spacing w:after="0"/>
        <w:ind w:right="23"/>
        <w:rPr>
          <w:iCs/>
          <w:color w:val="000000"/>
          <w:szCs w:val="24"/>
        </w:rPr>
      </w:pPr>
    </w:p>
    <w:p w:rsidR="008F0D85" w:rsidRDefault="008F0D85">
      <w:pPr>
        <w:widowControl w:val="0"/>
        <w:spacing w:after="0"/>
        <w:ind w:right="23"/>
        <w:rPr>
          <w:iCs/>
          <w:color w:val="000000"/>
          <w:szCs w:val="24"/>
        </w:rPr>
      </w:pPr>
    </w:p>
    <w:p w:rsidR="008F0D85" w:rsidRDefault="008F0D85">
      <w:pPr>
        <w:widowControl w:val="0"/>
        <w:spacing w:after="0"/>
        <w:ind w:right="23"/>
        <w:rPr>
          <w:iCs/>
          <w:color w:val="000000"/>
          <w:szCs w:val="24"/>
        </w:rPr>
      </w:pPr>
    </w:p>
    <w:p w:rsidR="008F0D85" w:rsidRDefault="008F0D85">
      <w:pPr>
        <w:widowControl w:val="0"/>
        <w:spacing w:after="0"/>
        <w:ind w:right="23"/>
        <w:rPr>
          <w:iCs/>
          <w:color w:val="000000"/>
          <w:szCs w:val="24"/>
        </w:rPr>
      </w:pPr>
    </w:p>
    <w:p w:rsidR="008F0D85" w:rsidRDefault="008F0D85">
      <w:pPr>
        <w:widowControl w:val="0"/>
        <w:spacing w:after="0"/>
        <w:ind w:right="23"/>
        <w:rPr>
          <w:iCs/>
          <w:color w:val="000000"/>
          <w:szCs w:val="24"/>
        </w:rPr>
      </w:pPr>
    </w:p>
    <w:p w:rsidR="008F0D85" w:rsidRDefault="008F0D85">
      <w:pPr>
        <w:widowControl w:val="0"/>
        <w:spacing w:after="0"/>
        <w:ind w:right="23"/>
        <w:rPr>
          <w:iCs/>
          <w:color w:val="000000"/>
          <w:szCs w:val="24"/>
        </w:rPr>
      </w:pPr>
    </w:p>
    <w:p w:rsidR="008F0D85" w:rsidRDefault="00AE42A1">
      <w:pPr>
        <w:pStyle w:val="Naslov1"/>
      </w:pPr>
      <w:bookmarkStart w:id="394" w:name="_Toc512434599"/>
      <w:bookmarkStart w:id="395" w:name="_Toc514240154"/>
      <w:bookmarkStart w:id="396" w:name="_Toc516128257"/>
      <w:bookmarkStart w:id="397" w:name="_Toc527969367"/>
      <w:bookmarkEnd w:id="394"/>
      <w:bookmarkEnd w:id="395"/>
      <w:bookmarkEnd w:id="396"/>
      <w:bookmarkEnd w:id="397"/>
      <w:r>
        <w:t>6. SCENARIJI NA PODRUČJU OPĆINE</w:t>
      </w:r>
    </w:p>
    <w:p w:rsidR="008F0D85" w:rsidRDefault="008F0D85"/>
    <w:p w:rsidR="008F0D85" w:rsidRDefault="00AE42A1">
      <w:r>
        <w:t>U postupku identifikacije rizika identificirana je svaka pojedinačna prijetnja na području Općine, određena Smjernicama za izradu procjene rizika od velikih nesreća na području Koprivničko - križevačke županije. Procje</w:t>
      </w:r>
      <w:r>
        <w:t>na rizika od velikih nesreća za Općinu temelji se na scenarijima za svaki pojedini rizik. Scenarijem je opisana svaka odabrana prijetnja te njen nastanak i posljedice kako bi se po tom primjeru mogle planirati preventivne mjere, educirati stanovništvo, odn</w:t>
      </w:r>
      <w:r>
        <w:t xml:space="preserve">osno pripremati eventualni odgovor na veliku nesreću. Scenarij je u kontekstu procjenjivanja rizika, način predstavljanja rizika. Svrha scenarija je prikaz slike događaja i posljedica kakve mogu uzrokovati sve prirodne i tehničko - tehnološke prijetnje na </w:t>
      </w:r>
      <w:r>
        <w:t>području Općine.</w:t>
      </w:r>
    </w:p>
    <w:p w:rsidR="008F0D85" w:rsidRDefault="00AE42A1">
      <w:pPr>
        <w:rPr>
          <w:rFonts w:cs="Calibri"/>
          <w:szCs w:val="24"/>
          <w:u w:val="single"/>
        </w:rPr>
      </w:pPr>
      <w:r>
        <w:rPr>
          <w:rFonts w:cs="Calibri"/>
          <w:szCs w:val="24"/>
          <w:u w:val="single"/>
        </w:rPr>
        <w:t xml:space="preserve">Scenarij je opis: </w:t>
      </w:r>
    </w:p>
    <w:p w:rsidR="008F0D85" w:rsidRDefault="00AE42A1">
      <w:pPr>
        <w:numPr>
          <w:ilvl w:val="0"/>
          <w:numId w:val="22"/>
        </w:numPr>
        <w:rPr>
          <w:rFonts w:cs="Calibri"/>
          <w:szCs w:val="24"/>
          <w:lang w:val="en-US"/>
        </w:rPr>
      </w:pPr>
      <w:r>
        <w:rPr>
          <w:rFonts w:cs="Calibri"/>
          <w:szCs w:val="24"/>
          <w:lang w:val="en-US"/>
        </w:rPr>
        <w:t>neželjenih događaja, jednog ili više povezanih događaja/prijetnji, za svaki obrađivani rizik koji ima posljedice na život i zdravlje ljudi, gospodarstvo, društvenu stabilnost i politiku,</w:t>
      </w:r>
    </w:p>
    <w:p w:rsidR="008F0D85" w:rsidRDefault="00AE42A1">
      <w:pPr>
        <w:numPr>
          <w:ilvl w:val="0"/>
          <w:numId w:val="22"/>
        </w:numPr>
        <w:rPr>
          <w:rFonts w:cs="Calibri"/>
          <w:szCs w:val="24"/>
          <w:lang w:val="en-US"/>
        </w:rPr>
      </w:pPr>
      <w:r>
        <w:rPr>
          <w:rFonts w:cs="Calibri"/>
          <w:szCs w:val="24"/>
          <w:lang w:val="en-US"/>
        </w:rPr>
        <w:t xml:space="preserve">svega što vodi k </w:t>
      </w:r>
      <w:r>
        <w:rPr>
          <w:rFonts w:cs="Calibri"/>
          <w:szCs w:val="24"/>
          <w:lang w:val="en-US"/>
        </w:rPr>
        <w:t>nastajanju, odnosno uzrokuje opisane neželjene događaje, a sastoji se od svih radnji i zbivanja prije velike nesreće i “okidača” velike nesreće,</w:t>
      </w:r>
    </w:p>
    <w:p w:rsidR="008F0D85" w:rsidRDefault="00AE42A1">
      <w:pPr>
        <w:numPr>
          <w:ilvl w:val="0"/>
          <w:numId w:val="22"/>
        </w:numPr>
        <w:rPr>
          <w:rFonts w:cs="Calibri"/>
          <w:szCs w:val="24"/>
          <w:lang w:val="en-US"/>
        </w:rPr>
      </w:pPr>
      <w:r>
        <w:rPr>
          <w:rFonts w:cs="Calibri"/>
          <w:szCs w:val="24"/>
          <w:lang w:val="en-US"/>
        </w:rPr>
        <w:t>okolnosti u kojima neželjeni događaji/prijetnje nastaju te stupnja ranjivosti i otpornosti stanovništva, građev</w:t>
      </w:r>
      <w:r>
        <w:rPr>
          <w:rFonts w:cs="Calibri"/>
          <w:szCs w:val="24"/>
          <w:lang w:val="en-US"/>
        </w:rPr>
        <w:t>ina i drugih sadržaja u prostoru ili društva u razmjerima bitnim za razmatranje implikacija događaja/prijetnji za život i zdravlje ljudi te okoliš, imovinu, gospodarstvo, društvenu stabilnost i politiku,</w:t>
      </w:r>
    </w:p>
    <w:p w:rsidR="008F0D85" w:rsidRDefault="00AE42A1">
      <w:pPr>
        <w:numPr>
          <w:ilvl w:val="0"/>
          <w:numId w:val="22"/>
        </w:numPr>
        <w:rPr>
          <w:rFonts w:cs="Calibri"/>
          <w:szCs w:val="24"/>
          <w:lang w:val="en-US"/>
        </w:rPr>
      </w:pPr>
      <w:bookmarkStart w:id="398" w:name="_Hlk497895570"/>
      <w:bookmarkEnd w:id="398"/>
      <w:r>
        <w:rPr>
          <w:rFonts w:cs="Calibri"/>
          <w:szCs w:val="24"/>
          <w:lang w:val="en-US"/>
        </w:rPr>
        <w:t>posljedica neželjenog događaja s detaljnim opisom sv</w:t>
      </w:r>
      <w:r>
        <w:rPr>
          <w:rFonts w:cs="Calibri"/>
          <w:szCs w:val="24"/>
          <w:lang w:val="en-US"/>
        </w:rPr>
        <w:t>ake posljedice pa svaku kategoriju društvenih vrijednosti.</w:t>
      </w:r>
    </w:p>
    <w:p w:rsidR="008F0D85" w:rsidRDefault="00AE42A1">
      <w:r>
        <w:rPr>
          <w:i/>
        </w:rPr>
        <w:t>Napomena:</w:t>
      </w:r>
      <w:r>
        <w:t xml:space="preserve"> Smjernicama za izradu procjene rizika od velikih nesreća na području Koprivničko - križevačke županije, propisano je da za svaki rizik obrađen u procjeni treba izraditi kartu rizika. S ob</w:t>
      </w:r>
      <w:r>
        <w:t>zirom na to da rizici nisu prikazani na razini naselja Općine navedene karte rizika nisu izrađene (točka 3.3.).</w:t>
      </w:r>
    </w:p>
    <w:p w:rsidR="008F0D85" w:rsidRDefault="008F0D85"/>
    <w:p w:rsidR="008F0D85" w:rsidRDefault="008F0D85"/>
    <w:p w:rsidR="008F0D85" w:rsidRDefault="008F0D85"/>
    <w:p w:rsidR="008F0D85" w:rsidRDefault="008F0D85"/>
    <w:p w:rsidR="008F0D85" w:rsidRDefault="008F0D85"/>
    <w:p w:rsidR="008F0D85" w:rsidRDefault="008F0D85"/>
    <w:p w:rsidR="008F0D85" w:rsidRDefault="00AE42A1">
      <w:pPr>
        <w:pStyle w:val="Naslov2"/>
      </w:pPr>
      <w:bookmarkStart w:id="399" w:name="_Toc512434600"/>
      <w:bookmarkStart w:id="400" w:name="_Toc514240155"/>
      <w:bookmarkStart w:id="401" w:name="_Toc516128258"/>
      <w:bookmarkStart w:id="402" w:name="_Toc527969368"/>
      <w:bookmarkEnd w:id="399"/>
      <w:bookmarkEnd w:id="400"/>
      <w:bookmarkEnd w:id="401"/>
      <w:bookmarkEnd w:id="402"/>
      <w:r>
        <w:t>6.1. Epidemije i pandemije</w:t>
      </w:r>
    </w:p>
    <w:p w:rsidR="008F0D85" w:rsidRDefault="00AE42A1">
      <w:pPr>
        <w:pStyle w:val="Naslov3"/>
      </w:pPr>
      <w:bookmarkStart w:id="403" w:name="_Toc512434601"/>
      <w:bookmarkStart w:id="404" w:name="_Toc514240156"/>
      <w:bookmarkStart w:id="405" w:name="_Toc516128259"/>
      <w:bookmarkStart w:id="406" w:name="_Toc527969369"/>
      <w:bookmarkEnd w:id="403"/>
      <w:bookmarkEnd w:id="404"/>
      <w:bookmarkEnd w:id="405"/>
      <w:bookmarkEnd w:id="406"/>
      <w:r>
        <w:t>6.1.1. RIZIK – Epidemije i pandemije</w:t>
      </w:r>
    </w:p>
    <w:p w:rsidR="008F0D85" w:rsidRDefault="00AE42A1">
      <w:pPr>
        <w:pStyle w:val="Naslov4"/>
      </w:pPr>
      <w:bookmarkStart w:id="407" w:name="_Toc512434602"/>
      <w:bookmarkStart w:id="408" w:name="_Toc514240157"/>
      <w:bookmarkStart w:id="409" w:name="_Toc516128260"/>
      <w:bookmarkStart w:id="410" w:name="_Toc527969370"/>
      <w:bookmarkEnd w:id="407"/>
      <w:bookmarkEnd w:id="408"/>
      <w:bookmarkEnd w:id="409"/>
      <w:bookmarkEnd w:id="410"/>
      <w:r>
        <w:t>6.1.1.1. NAZIV SCENARIJA – Epidemija influence virusa tipa A na području O</w:t>
      </w:r>
      <w:r>
        <w:t>pćine</w:t>
      </w:r>
    </w:p>
    <w:p w:rsidR="008F0D85" w:rsidRDefault="008F0D85"/>
    <w:tbl>
      <w:tblPr>
        <w:tblW w:w="9097"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9097"/>
      </w:tblGrid>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Naziv scenarija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szCs w:val="20"/>
              </w:rPr>
            </w:pPr>
            <w:r>
              <w:rPr>
                <w:i/>
                <w:sz w:val="20"/>
                <w:szCs w:val="20"/>
              </w:rPr>
              <w:t>Epidemija influence virusa tipa A na području Općine</w:t>
            </w:r>
          </w:p>
        </w:tc>
      </w:tr>
      <w:tr w:rsidR="008F0D85">
        <w:trPr>
          <w:trHeight w:val="248"/>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Grupa rizika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i/>
                <w:sz w:val="20"/>
              </w:rPr>
              <w:t>Epidemije i pandemije</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left"/>
              <w:rPr>
                <w:b/>
                <w:sz w:val="20"/>
              </w:rPr>
            </w:pPr>
            <w:r>
              <w:rPr>
                <w:b/>
                <w:sz w:val="20"/>
              </w:rPr>
              <w:t>Rizik</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i/>
                <w:sz w:val="20"/>
              </w:rPr>
              <w:t>Epidemije i pandemije</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Radna skupina</w:t>
            </w:r>
          </w:p>
        </w:tc>
      </w:tr>
      <w:tr w:rsidR="008F0D85">
        <w:trPr>
          <w:trHeight w:val="251"/>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rFonts w:cs="Calibri"/>
                <w:i/>
              </w:rPr>
            </w:pPr>
            <w:r>
              <w:rPr>
                <w:rFonts w:cs="Calibri"/>
                <w:b/>
                <w:sz w:val="20"/>
              </w:rPr>
              <w:t xml:space="preserve">Koordinator: </w:t>
            </w:r>
            <w:r>
              <w:rPr>
                <w:rFonts w:cs="Calibri"/>
                <w:i/>
                <w:sz w:val="20"/>
              </w:rPr>
              <w:t>Ivan Čupen, načelnik Stožera civilne zaštite Općine Kloštar Podravski</w:t>
            </w:r>
          </w:p>
        </w:tc>
      </w:tr>
      <w:tr w:rsidR="008F0D85">
        <w:trPr>
          <w:trHeight w:val="255"/>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rFonts w:cs="Calibri"/>
                <w:i/>
                <w:sz w:val="20"/>
              </w:rPr>
            </w:pPr>
            <w:r>
              <w:rPr>
                <w:rFonts w:cs="Calibri"/>
                <w:b/>
                <w:sz w:val="20"/>
              </w:rPr>
              <w:t xml:space="preserve">Nositelj: </w:t>
            </w:r>
            <w:r>
              <w:rPr>
                <w:rFonts w:cs="Calibri"/>
                <w:i/>
                <w:sz w:val="20"/>
              </w:rPr>
              <w:t>Nataša Martinčević, pročelnica JUO Općine Kloštar Podravski</w:t>
            </w:r>
          </w:p>
        </w:tc>
      </w:tr>
      <w:tr w:rsidR="008F0D85">
        <w:trPr>
          <w:trHeight w:val="248"/>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rFonts w:cs="Calibri"/>
                <w:i/>
                <w:sz w:val="20"/>
              </w:rPr>
            </w:pPr>
            <w:r>
              <w:rPr>
                <w:rFonts w:cs="Calibri"/>
                <w:b/>
                <w:sz w:val="20"/>
              </w:rPr>
              <w:t xml:space="preserve">Izvršitelj: </w:t>
            </w:r>
            <w:r>
              <w:rPr>
                <w:rFonts w:cs="Calibri"/>
                <w:i/>
                <w:sz w:val="20"/>
              </w:rPr>
              <w:t xml:space="preserve">Ivica Cmrk, predsjednik DVD-a </w:t>
            </w:r>
          </w:p>
        </w:tc>
      </w:tr>
    </w:tbl>
    <w:p w:rsidR="008F0D85" w:rsidRDefault="008F0D85"/>
    <w:p w:rsidR="008F0D85" w:rsidRDefault="00AE42A1">
      <w:pPr>
        <w:pStyle w:val="Naslov4"/>
      </w:pPr>
      <w:bookmarkStart w:id="411" w:name="_Toc512434603"/>
      <w:bookmarkStart w:id="412" w:name="_Toc514240158"/>
      <w:bookmarkStart w:id="413" w:name="_Toc516128261"/>
      <w:bookmarkStart w:id="414" w:name="_Toc527969371"/>
      <w:bookmarkEnd w:id="411"/>
      <w:bookmarkEnd w:id="412"/>
      <w:bookmarkEnd w:id="413"/>
      <w:bookmarkEnd w:id="414"/>
      <w:r>
        <w:t>6.1.1.2. Uvod – Epidemija influence</w:t>
      </w:r>
    </w:p>
    <w:p w:rsidR="008F0D85" w:rsidRDefault="008F0D85"/>
    <w:p w:rsidR="008F0D85" w:rsidRDefault="00AE42A1">
      <w:pPr>
        <w:spacing w:after="0"/>
        <w:rPr>
          <w:rFonts w:cs="Calibri"/>
          <w:color w:val="000000"/>
          <w:szCs w:val="24"/>
        </w:rPr>
      </w:pPr>
      <w:r>
        <w:rPr>
          <w:rFonts w:cs="Calibri"/>
          <w:color w:val="000000"/>
          <w:szCs w:val="24"/>
        </w:rPr>
        <w:t>Gripa ili influenca jest najteža virusna bolest dišnog sustava koja se lako prenosi, a prouzročena je virusima influence. Gripa se neizostavno pojavljuje svake godine u zimskim mjesecima u obliku manjih ili većih epidemija pa se zato naziva sezonskom gripo</w:t>
      </w:r>
      <w:r>
        <w:rPr>
          <w:rFonts w:cs="Calibri"/>
          <w:color w:val="000000"/>
          <w:szCs w:val="24"/>
        </w:rPr>
        <w:t xml:space="preserve">m. Klinički je obilježena općim simptomima, točnije povišenom temperaturom i glavoboljom te bolovima u mišićima i umorom. Respiratorni simptomi obično nisu izraženi na početku bolesti, a nakon 1 do 2 dana pojavljuje se suhi kašalj i grlobolja. Gripu prate </w:t>
      </w:r>
      <w:r>
        <w:rPr>
          <w:rFonts w:cs="Calibri"/>
          <w:color w:val="000000"/>
          <w:szCs w:val="24"/>
        </w:rPr>
        <w:t xml:space="preserve">brojne komplikacije, među kojima je upala pluća, vrlo česta i teška bolest. </w:t>
      </w:r>
    </w:p>
    <w:p w:rsidR="008F0D85" w:rsidRDefault="008F0D85">
      <w:pPr>
        <w:spacing w:after="0"/>
        <w:rPr>
          <w:rFonts w:cs="Calibri"/>
          <w:color w:val="000000"/>
          <w:szCs w:val="24"/>
        </w:rPr>
      </w:pPr>
    </w:p>
    <w:p w:rsidR="008F0D85" w:rsidRDefault="00AE42A1">
      <w:pPr>
        <w:spacing w:after="0"/>
        <w:rPr>
          <w:rFonts w:cs="Calibri"/>
          <w:color w:val="000000"/>
          <w:szCs w:val="24"/>
        </w:rPr>
      </w:pPr>
      <w:r>
        <w:rPr>
          <w:rFonts w:cs="Calibri"/>
          <w:color w:val="000000"/>
          <w:szCs w:val="24"/>
        </w:rPr>
        <w:t>Postoje tri virusa gripe ili influence (A, B i C). Na površini lipidne ovojnice nalaze se dva osnovna virusna antigena - hemaglutinin (H) i neuraminidaza (N) koji nisu stabilni t</w:t>
      </w:r>
      <w:r>
        <w:rPr>
          <w:rFonts w:cs="Calibri"/>
          <w:color w:val="000000"/>
          <w:szCs w:val="24"/>
        </w:rPr>
        <w:t>e stalno mijenjaju svoja antigenska svojstva pa tako nastaju mutacije virusa influence koje su osobito karakteristične za virus gripe A. Manje se promjene (antigensko skretanje) događaju češće, svake 2 do 3 godine, a veće (antigenski otklon) rjeđe, u prosj</w:t>
      </w:r>
      <w:r>
        <w:rPr>
          <w:rFonts w:cs="Calibri"/>
          <w:color w:val="000000"/>
          <w:szCs w:val="24"/>
        </w:rPr>
        <w:t xml:space="preserve">eku svakih 10 do 40 godina. Zato samo virus gripe A, zbog korjenitih promjena, može prouzročiti velike epidemije i pandemije (epidemije svjetskih razmjera) te čestu pojavu teških kliničkih oblika bolesti s brojnim komplikacijama. </w:t>
      </w:r>
    </w:p>
    <w:p w:rsidR="008F0D85" w:rsidRDefault="008F0D85">
      <w:pPr>
        <w:spacing w:after="0"/>
        <w:rPr>
          <w:rFonts w:cs="Calibri"/>
          <w:color w:val="000000"/>
          <w:szCs w:val="24"/>
        </w:rPr>
      </w:pPr>
    </w:p>
    <w:p w:rsidR="008F0D85" w:rsidRDefault="00AE42A1">
      <w:pPr>
        <w:spacing w:after="0"/>
        <w:rPr>
          <w:rFonts w:cs="Calibri"/>
          <w:color w:val="000000"/>
          <w:szCs w:val="24"/>
        </w:rPr>
      </w:pPr>
      <w:r>
        <w:rPr>
          <w:rFonts w:cs="Calibri"/>
          <w:color w:val="000000"/>
          <w:szCs w:val="24"/>
        </w:rPr>
        <w:lastRenderedPageBreak/>
        <w:t xml:space="preserve">Jedini prirodni </w:t>
      </w:r>
      <w:r>
        <w:rPr>
          <w:rFonts w:cs="Calibri"/>
          <w:color w:val="000000"/>
          <w:szCs w:val="24"/>
        </w:rPr>
        <w:t>izvor infekcije je čovjek. Kao kapljična infekcija, gripa se brzo prenosi i eksplozivno širi među ljudima. Suvremeni brzi ritam života u velikim gradovima, putovanja te rad u velikim kolektivima i svakodnevni kontakt s mnogo ljudi idealni su uvjeti za brzo</w:t>
      </w:r>
      <w:r>
        <w:rPr>
          <w:rFonts w:cs="Calibri"/>
          <w:color w:val="000000"/>
          <w:szCs w:val="24"/>
        </w:rPr>
        <w:t xml:space="preserve"> širenje</w:t>
      </w:r>
      <w:r>
        <w:rPr>
          <w:rFonts w:ascii="Cambria" w:hAnsi="Cambria" w:cs="Calibri"/>
          <w:color w:val="000000"/>
          <w:szCs w:val="24"/>
        </w:rPr>
        <w:t xml:space="preserve"> </w:t>
      </w:r>
      <w:r>
        <w:rPr>
          <w:rFonts w:cs="Calibri"/>
          <w:color w:val="000000"/>
          <w:szCs w:val="24"/>
        </w:rPr>
        <w:t xml:space="preserve">gripe. Virus se prenosi izravnim dodirom ili kapljičnim putem te uporabom inficiranih predmeta. Zaražena osoba, govorom, kašljem ili kihanjem izbacuje infektivni sekret kroz nos i usta raspršen u kapljice različite veličine. </w:t>
      </w:r>
    </w:p>
    <w:p w:rsidR="008F0D85" w:rsidRDefault="008F0D85">
      <w:pPr>
        <w:spacing w:after="0"/>
        <w:rPr>
          <w:rFonts w:cs="Calibri"/>
          <w:color w:val="000000"/>
          <w:szCs w:val="24"/>
        </w:rPr>
      </w:pPr>
    </w:p>
    <w:p w:rsidR="008F0D85" w:rsidRDefault="00AE42A1">
      <w:pPr>
        <w:rPr>
          <w:rFonts w:cs="Calibri"/>
          <w:color w:val="000000"/>
          <w:szCs w:val="24"/>
        </w:rPr>
      </w:pPr>
      <w:r>
        <w:rPr>
          <w:rFonts w:cs="Calibri"/>
          <w:color w:val="000000"/>
          <w:szCs w:val="24"/>
        </w:rPr>
        <w:t>Influenca odnosno gr</w:t>
      </w:r>
      <w:r>
        <w:rPr>
          <w:rFonts w:cs="Calibri"/>
          <w:color w:val="000000"/>
          <w:szCs w:val="24"/>
        </w:rPr>
        <w:t>ipa je sezonska bolest koja se svake godine javlja na području Koprivničko - križevačke županije u zimskim mjesecima, najčešće u periodu od prosinca do travnja.</w:t>
      </w:r>
    </w:p>
    <w:p w:rsidR="008F0D85" w:rsidRDefault="00AE42A1">
      <w:pPr>
        <w:pStyle w:val="Naslov4"/>
      </w:pPr>
      <w:bookmarkStart w:id="415" w:name="_Toc512434604"/>
      <w:bookmarkStart w:id="416" w:name="_Toc514240159"/>
      <w:bookmarkStart w:id="417" w:name="_Toc516128262"/>
      <w:bookmarkStart w:id="418" w:name="_Toc527969372"/>
      <w:bookmarkEnd w:id="415"/>
      <w:bookmarkEnd w:id="416"/>
      <w:bookmarkEnd w:id="417"/>
      <w:bookmarkEnd w:id="418"/>
      <w:r>
        <w:t>6.1.1.3. Prikaz utjecaja na kritičnu infrastrukturu (KI)</w:t>
      </w:r>
    </w:p>
    <w:p w:rsidR="008F0D85" w:rsidRDefault="008F0D85"/>
    <w:tbl>
      <w:tblPr>
        <w:tblW w:w="9107"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958"/>
        <w:gridCol w:w="8149"/>
      </w:tblGrid>
      <w:tr w:rsidR="008F0D85">
        <w:trPr>
          <w:trHeight w:val="384"/>
          <w:tblHeader/>
          <w:jc w:val="center"/>
        </w:trPr>
        <w:tc>
          <w:tcPr>
            <w:tcW w:w="95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Utjecaj</w:t>
            </w:r>
          </w:p>
        </w:tc>
        <w:tc>
          <w:tcPr>
            <w:tcW w:w="814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Sektor</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Komunikacijska i informacijska tehnologija (elektroničke komunikacije, prijenos podataka, informacijski sustavi, pružanje audio i audiovizualnih medijskih usluga)</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Promet (cestovni, željeznički, zračni, pomorski i promet unutarnjim plovnim </w:t>
            </w:r>
            <w:r>
              <w:rPr>
                <w:sz w:val="20"/>
                <w:szCs w:val="20"/>
              </w:rPr>
              <w:t>putevima)</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Zdravstvo (zdravstvena zaštita, proizvodnja, promet i nadzor nad lijekovima)</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Vodno gospodarstvo (regulacijske i zaštitne vodne građevine i komunalne vodne građevine)</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Hrana (proizvodnja i opskrba hranom i sustav sigurnosti hrane, robne zalihe) </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Financije (bankarstvo, burze, investicije, sustavi osiguranja i plaćanja)</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Proizvodnja, skladištenje i prijevoz opasnih tvari (kemijski, biološki, radiološki i </w:t>
            </w:r>
            <w:r>
              <w:rPr>
                <w:sz w:val="20"/>
                <w:szCs w:val="20"/>
              </w:rPr>
              <w:t>nuklearni materijali)</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Javne službe (osiguranje javnog reda i mira, zaštita i spašavanje, hitna medicinska pomoć)</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bookmarkStart w:id="419" w:name="_Hlk512349140"/>
            <w:bookmarkEnd w:id="419"/>
            <w:r>
              <w:rPr>
                <w:sz w:val="20"/>
                <w:szCs w:val="20"/>
              </w:rPr>
              <w:t>Nacionalni spomenici i vrijednosti</w:t>
            </w:r>
          </w:p>
        </w:tc>
      </w:tr>
    </w:tbl>
    <w:p w:rsidR="008F0D85" w:rsidRDefault="008F0D85"/>
    <w:p w:rsidR="008F0D85" w:rsidRDefault="00AE42A1">
      <w:pPr>
        <w:pStyle w:val="Naslov4"/>
      </w:pPr>
      <w:bookmarkStart w:id="420" w:name="_Toc512434605"/>
      <w:bookmarkStart w:id="421" w:name="_Toc514240160"/>
      <w:bookmarkStart w:id="422" w:name="_Toc516128263"/>
      <w:bookmarkStart w:id="423" w:name="_Toc527969373"/>
      <w:bookmarkEnd w:id="420"/>
      <w:bookmarkEnd w:id="421"/>
      <w:bookmarkEnd w:id="422"/>
      <w:bookmarkEnd w:id="423"/>
      <w:r>
        <w:t>6.1.1.4. Kontekst – Epidemija influence</w:t>
      </w:r>
    </w:p>
    <w:p w:rsidR="008F0D85" w:rsidRDefault="008F0D85"/>
    <w:p w:rsidR="008F0D85" w:rsidRDefault="00AE42A1">
      <w:pPr>
        <w:rPr>
          <w:rFonts w:cs="Calibri"/>
          <w:szCs w:val="24"/>
          <w:lang w:eastAsia="zh-CN"/>
        </w:rPr>
      </w:pPr>
      <w:r>
        <w:rPr>
          <w:rFonts w:cs="Calibri"/>
          <w:szCs w:val="24"/>
          <w:lang w:eastAsia="zh-CN"/>
        </w:rPr>
        <w:t>Područje Općine čini površinu od 51,47 km</w:t>
      </w:r>
      <w:r>
        <w:rPr>
          <w:rFonts w:cs="Calibri"/>
          <w:szCs w:val="24"/>
          <w:vertAlign w:val="superscript"/>
          <w:lang w:eastAsia="zh-CN"/>
        </w:rPr>
        <w:t xml:space="preserve">2 </w:t>
      </w:r>
      <w:r>
        <w:rPr>
          <w:rFonts w:cs="Calibri"/>
          <w:szCs w:val="24"/>
          <w:lang w:eastAsia="zh-CN"/>
        </w:rPr>
        <w:t>podijeljenu u 4 naselja. Najveća opasnost od influence očekuje se u istoimenom naselju Kloštar Podravski u kojemu je najveća naseljenost Općine (3.306 st.).</w:t>
      </w:r>
    </w:p>
    <w:p w:rsidR="008F0D85" w:rsidRDefault="00AE42A1">
      <w:pPr>
        <w:spacing w:after="0"/>
      </w:pPr>
      <w:r>
        <w:t>Osobe starije životne dobi, kronični bolesnici te dojenčad starosne su skupine najsklonije komplika</w:t>
      </w:r>
      <w:r>
        <w:t>cijama gripe. Epidemiju karakterizira iznenadno povećanje slučajeva neke zarazne bolesti, u ovome slučaju influence na određenom području, a ako dođe do širenja bolesti na veće područje nastaje pandemija.</w:t>
      </w:r>
    </w:p>
    <w:p w:rsidR="008F0D85" w:rsidRDefault="008F0D85">
      <w:pPr>
        <w:spacing w:after="0"/>
      </w:pPr>
    </w:p>
    <w:p w:rsidR="008F0D85" w:rsidRDefault="00AE42A1">
      <w:pPr>
        <w:spacing w:after="0" w:line="360" w:lineRule="auto"/>
        <w:jc w:val="center"/>
        <w:rPr>
          <w:rFonts w:cs="Arial"/>
          <w:b/>
          <w:bCs/>
          <w:sz w:val="20"/>
          <w:szCs w:val="20"/>
        </w:rPr>
      </w:pPr>
      <w:bookmarkStart w:id="424" w:name="_Toc512434724"/>
      <w:bookmarkStart w:id="425" w:name="_Toc514240318"/>
      <w:bookmarkStart w:id="426" w:name="_Toc516128403"/>
      <w:bookmarkStart w:id="427" w:name="_Toc527969513"/>
      <w:r>
        <w:rPr>
          <w:rFonts w:cs="Arial"/>
          <w:b/>
          <w:bCs/>
          <w:sz w:val="20"/>
          <w:szCs w:val="20"/>
        </w:rPr>
        <w:t xml:space="preserve">Tablica </w:t>
      </w:r>
      <w:r>
        <w:rPr>
          <w:rFonts w:cs="Arial"/>
          <w:b/>
          <w:bCs/>
          <w:sz w:val="20"/>
          <w:szCs w:val="20"/>
        </w:rPr>
        <w:fldChar w:fldCharType="begin"/>
      </w:r>
      <w:r>
        <w:instrText>SEQ Tablica \* ARABIC</w:instrText>
      </w:r>
      <w:r>
        <w:fldChar w:fldCharType="separate"/>
      </w:r>
      <w:r>
        <w:t>31</w:t>
      </w:r>
      <w:r>
        <w:fldChar w:fldCharType="end"/>
      </w:r>
      <w:bookmarkEnd w:id="424"/>
      <w:bookmarkEnd w:id="425"/>
      <w:bookmarkEnd w:id="426"/>
      <w:bookmarkEnd w:id="427"/>
      <w:r>
        <w:rPr>
          <w:rFonts w:cs="Arial"/>
          <w:b/>
          <w:bCs/>
          <w:sz w:val="20"/>
          <w:szCs w:val="20"/>
        </w:rPr>
        <w:t xml:space="preserve">: Prikaz </w:t>
      </w:r>
      <w:r>
        <w:rPr>
          <w:rFonts w:cs="Arial"/>
          <w:b/>
          <w:bCs/>
          <w:sz w:val="20"/>
          <w:szCs w:val="20"/>
        </w:rPr>
        <w:t>kritične skupine stanovnika - Epidemija influence</w:t>
      </w:r>
    </w:p>
    <w:tbl>
      <w:tblPr>
        <w:tblW w:w="6041"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3020"/>
        <w:gridCol w:w="3021"/>
      </w:tblGrid>
      <w:tr w:rsidR="008F0D85">
        <w:trPr>
          <w:jc w:val="center"/>
        </w:trPr>
        <w:tc>
          <w:tcPr>
            <w:tcW w:w="302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Kategorija stanovništva</w:t>
            </w:r>
          </w:p>
        </w:tc>
        <w:tc>
          <w:tcPr>
            <w:tcW w:w="302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Broj stanovnika</w:t>
            </w:r>
          </w:p>
        </w:tc>
      </w:tr>
      <w:tr w:rsidR="008F0D85">
        <w:trPr>
          <w:jc w:val="center"/>
        </w:trPr>
        <w:tc>
          <w:tcPr>
            <w:tcW w:w="30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sz w:val="20"/>
                <w:szCs w:val="20"/>
              </w:rPr>
            </w:pPr>
            <w:r>
              <w:rPr>
                <w:sz w:val="20"/>
                <w:szCs w:val="20"/>
              </w:rPr>
              <w:lastRenderedPageBreak/>
              <w:t>Osobe starije životne dobi 65 i više</w:t>
            </w:r>
          </w:p>
        </w:tc>
        <w:tc>
          <w:tcPr>
            <w:tcW w:w="30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592</w:t>
            </w:r>
          </w:p>
        </w:tc>
      </w:tr>
      <w:tr w:rsidR="008F0D85">
        <w:trPr>
          <w:jc w:val="center"/>
        </w:trPr>
        <w:tc>
          <w:tcPr>
            <w:tcW w:w="30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sz w:val="20"/>
                <w:szCs w:val="20"/>
              </w:rPr>
            </w:pPr>
            <w:r>
              <w:rPr>
                <w:sz w:val="20"/>
                <w:szCs w:val="20"/>
              </w:rPr>
              <w:t>Djeca 0 – 4 g.</w:t>
            </w:r>
          </w:p>
        </w:tc>
        <w:tc>
          <w:tcPr>
            <w:tcW w:w="30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179</w:t>
            </w:r>
          </w:p>
        </w:tc>
      </w:tr>
      <w:tr w:rsidR="008F0D85">
        <w:trPr>
          <w:jc w:val="center"/>
        </w:trPr>
        <w:tc>
          <w:tcPr>
            <w:tcW w:w="30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sz w:val="20"/>
                <w:szCs w:val="20"/>
              </w:rPr>
            </w:pPr>
            <w:r>
              <w:rPr>
                <w:sz w:val="20"/>
                <w:szCs w:val="20"/>
              </w:rPr>
              <w:t xml:space="preserve">Obrazovanje </w:t>
            </w:r>
          </w:p>
        </w:tc>
        <w:tc>
          <w:tcPr>
            <w:tcW w:w="30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41</w:t>
            </w:r>
          </w:p>
        </w:tc>
      </w:tr>
      <w:tr w:rsidR="008F0D85">
        <w:trPr>
          <w:jc w:val="center"/>
        </w:trPr>
        <w:tc>
          <w:tcPr>
            <w:tcW w:w="30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sz w:val="20"/>
                <w:szCs w:val="20"/>
              </w:rPr>
            </w:pPr>
            <w:r>
              <w:rPr>
                <w:sz w:val="20"/>
                <w:szCs w:val="20"/>
              </w:rPr>
              <w:t>Djelatnosti zdravstvene zaštite i socijalne skrbi</w:t>
            </w:r>
          </w:p>
        </w:tc>
        <w:tc>
          <w:tcPr>
            <w:tcW w:w="30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38</w:t>
            </w:r>
          </w:p>
        </w:tc>
      </w:tr>
      <w:tr w:rsidR="008F0D85">
        <w:trPr>
          <w:trHeight w:val="161"/>
          <w:jc w:val="center"/>
        </w:trPr>
        <w:tc>
          <w:tcPr>
            <w:tcW w:w="302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szCs w:val="20"/>
              </w:rPr>
            </w:pPr>
            <w:r>
              <w:rPr>
                <w:b/>
                <w:sz w:val="20"/>
                <w:szCs w:val="20"/>
              </w:rPr>
              <w:t>UKUPNO:</w:t>
            </w:r>
          </w:p>
        </w:tc>
        <w:tc>
          <w:tcPr>
            <w:tcW w:w="30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b/>
                <w:sz w:val="20"/>
                <w:szCs w:val="20"/>
              </w:rPr>
            </w:pPr>
            <w:r>
              <w:rPr>
                <w:b/>
                <w:sz w:val="20"/>
                <w:szCs w:val="20"/>
              </w:rPr>
              <w:t>850</w:t>
            </w:r>
          </w:p>
        </w:tc>
      </w:tr>
    </w:tbl>
    <w:p w:rsidR="008F0D85" w:rsidRDefault="00AE42A1">
      <w:pPr>
        <w:jc w:val="center"/>
        <w:rPr>
          <w:sz w:val="20"/>
          <w:szCs w:val="20"/>
        </w:rPr>
      </w:pPr>
      <w:bookmarkStart w:id="428" w:name="_Hlk512349488"/>
      <w:bookmarkEnd w:id="428"/>
      <w:r>
        <w:rPr>
          <w:sz w:val="20"/>
          <w:szCs w:val="20"/>
        </w:rPr>
        <w:t xml:space="preserve">Izvor: </w:t>
      </w:r>
      <w:r>
        <w:rPr>
          <w:sz w:val="20"/>
          <w:szCs w:val="20"/>
        </w:rPr>
        <w:t>Državni zavod za statistiku, Popis stanovništva 2011. godine</w:t>
      </w:r>
    </w:p>
    <w:p w:rsidR="008F0D85" w:rsidRDefault="00AE42A1">
      <w:pPr>
        <w:jc w:val="center"/>
      </w:pPr>
      <w:r>
        <w:rPr>
          <w:noProof/>
        </w:rPr>
        <w:drawing>
          <wp:inline distT="0" distB="0" distL="0" distR="0">
            <wp:extent cx="5601335" cy="3410585"/>
            <wp:effectExtent l="0" t="0" r="0" b="0"/>
            <wp:docPr id="2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8"/>
                    <pic:cNvPicPr>
                      <a:picLocks noChangeAspect="1" noChangeArrowheads="1"/>
                    </pic:cNvPicPr>
                  </pic:nvPicPr>
                  <pic:blipFill>
                    <a:blip r:embed="rId34"/>
                    <a:stretch>
                      <a:fillRect/>
                    </a:stretch>
                  </pic:blipFill>
                  <pic:spPr bwMode="auto">
                    <a:xfrm>
                      <a:off x="0" y="0"/>
                      <a:ext cx="5601335" cy="3410585"/>
                    </a:xfrm>
                    <a:prstGeom prst="rect">
                      <a:avLst/>
                    </a:prstGeom>
                  </pic:spPr>
                </pic:pic>
              </a:graphicData>
            </a:graphic>
          </wp:inline>
        </w:drawing>
      </w:r>
    </w:p>
    <w:p w:rsidR="008F0D85" w:rsidRDefault="00AE42A1">
      <w:pPr>
        <w:spacing w:after="0" w:line="360" w:lineRule="auto"/>
        <w:rPr>
          <w:rFonts w:cs="Arial"/>
          <w:b/>
          <w:bCs/>
          <w:sz w:val="20"/>
          <w:szCs w:val="20"/>
        </w:rPr>
      </w:pPr>
      <w:bookmarkStart w:id="429" w:name="_Toc512434813"/>
      <w:bookmarkStart w:id="430" w:name="_Toc514240419"/>
      <w:bookmarkStart w:id="431" w:name="_Toc516128508"/>
      <w:bookmarkStart w:id="432" w:name="_Toc527969602"/>
      <w:r>
        <w:rPr>
          <w:rFonts w:cs="Arial"/>
          <w:b/>
          <w:bCs/>
          <w:sz w:val="20"/>
          <w:szCs w:val="20"/>
        </w:rPr>
        <w:t xml:space="preserve">Grafikon </w:t>
      </w:r>
      <w:r>
        <w:rPr>
          <w:rFonts w:cs="Arial"/>
          <w:b/>
          <w:bCs/>
          <w:sz w:val="20"/>
          <w:szCs w:val="20"/>
        </w:rPr>
        <w:fldChar w:fldCharType="begin"/>
      </w:r>
      <w:r>
        <w:instrText>SEQ Grafikon \* ARABIC</w:instrText>
      </w:r>
      <w:r>
        <w:fldChar w:fldCharType="separate"/>
      </w:r>
      <w:r>
        <w:t>1</w:t>
      </w:r>
      <w:r>
        <w:fldChar w:fldCharType="end"/>
      </w:r>
      <w:bookmarkEnd w:id="429"/>
      <w:bookmarkEnd w:id="430"/>
      <w:bookmarkEnd w:id="431"/>
      <w:bookmarkEnd w:id="432"/>
      <w:r>
        <w:rPr>
          <w:rFonts w:cs="Arial"/>
          <w:b/>
          <w:bCs/>
          <w:sz w:val="20"/>
          <w:szCs w:val="20"/>
        </w:rPr>
        <w:t>: Prikaz ukupnog broja oboljelih od gripe u KKŽ u sezoni 2017./2018.god.</w:t>
      </w:r>
    </w:p>
    <w:p w:rsidR="008F0D85" w:rsidRDefault="00AE42A1">
      <w:pPr>
        <w:rPr>
          <w:sz w:val="20"/>
          <w:szCs w:val="20"/>
        </w:rPr>
      </w:pPr>
      <w:r>
        <w:rPr>
          <w:sz w:val="20"/>
          <w:szCs w:val="20"/>
        </w:rPr>
        <w:t>Izvor: Zavod za javno zdravstvo Koprivničko – križevačke županije, 2018.god.</w:t>
      </w:r>
    </w:p>
    <w:p w:rsidR="008F0D85" w:rsidRDefault="00AE42A1">
      <w:pPr>
        <w:jc w:val="center"/>
      </w:pPr>
      <w:r>
        <w:rPr>
          <w:noProof/>
        </w:rPr>
        <w:lastRenderedPageBreak/>
        <w:drawing>
          <wp:inline distT="0" distB="0" distL="0" distR="0">
            <wp:extent cx="5534660" cy="3410585"/>
            <wp:effectExtent l="0" t="0" r="0" b="0"/>
            <wp:docPr id="2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ka 9"/>
                    <pic:cNvPicPr>
                      <a:picLocks noChangeAspect="1" noChangeArrowheads="1"/>
                    </pic:cNvPicPr>
                  </pic:nvPicPr>
                  <pic:blipFill>
                    <a:blip r:embed="rId35"/>
                    <a:stretch>
                      <a:fillRect/>
                    </a:stretch>
                  </pic:blipFill>
                  <pic:spPr bwMode="auto">
                    <a:xfrm>
                      <a:off x="0" y="0"/>
                      <a:ext cx="5534660" cy="3410585"/>
                    </a:xfrm>
                    <a:prstGeom prst="rect">
                      <a:avLst/>
                    </a:prstGeom>
                  </pic:spPr>
                </pic:pic>
              </a:graphicData>
            </a:graphic>
          </wp:inline>
        </w:drawing>
      </w:r>
    </w:p>
    <w:p w:rsidR="008F0D85" w:rsidRDefault="00AE42A1">
      <w:pPr>
        <w:spacing w:after="0" w:line="360" w:lineRule="auto"/>
        <w:rPr>
          <w:rFonts w:cs="Arial"/>
          <w:b/>
          <w:bCs/>
          <w:sz w:val="20"/>
          <w:szCs w:val="20"/>
        </w:rPr>
      </w:pPr>
      <w:bookmarkStart w:id="433" w:name="_Toc512434814"/>
      <w:bookmarkStart w:id="434" w:name="_Toc514240420"/>
      <w:bookmarkStart w:id="435" w:name="_Toc516128509"/>
      <w:bookmarkStart w:id="436" w:name="_Toc527969603"/>
      <w:r>
        <w:rPr>
          <w:rFonts w:cs="Arial"/>
          <w:b/>
          <w:bCs/>
          <w:sz w:val="20"/>
          <w:szCs w:val="20"/>
        </w:rPr>
        <w:t>Grafik</w:t>
      </w:r>
      <w:r>
        <w:rPr>
          <w:rFonts w:cs="Arial"/>
          <w:b/>
          <w:bCs/>
          <w:sz w:val="20"/>
          <w:szCs w:val="20"/>
        </w:rPr>
        <w:t xml:space="preserve">on </w:t>
      </w:r>
      <w:r>
        <w:rPr>
          <w:rFonts w:cs="Arial"/>
          <w:b/>
          <w:bCs/>
          <w:sz w:val="20"/>
          <w:szCs w:val="20"/>
        </w:rPr>
        <w:fldChar w:fldCharType="begin"/>
      </w:r>
      <w:r>
        <w:instrText>SEQ Grafikon \* ARABIC</w:instrText>
      </w:r>
      <w:r>
        <w:fldChar w:fldCharType="separate"/>
      </w:r>
      <w:r>
        <w:t>2</w:t>
      </w:r>
      <w:r>
        <w:fldChar w:fldCharType="end"/>
      </w:r>
      <w:bookmarkEnd w:id="433"/>
      <w:bookmarkEnd w:id="434"/>
      <w:bookmarkEnd w:id="435"/>
      <w:bookmarkEnd w:id="436"/>
      <w:r>
        <w:rPr>
          <w:rFonts w:cs="Arial"/>
          <w:b/>
          <w:bCs/>
          <w:sz w:val="20"/>
          <w:szCs w:val="20"/>
        </w:rPr>
        <w:t>: Prikaz broja oboljelih u sezoni 2017./2018.god. u KKŽ s obzirom na dobne skupine</w:t>
      </w:r>
    </w:p>
    <w:p w:rsidR="008F0D85" w:rsidRDefault="00AE42A1">
      <w:pPr>
        <w:rPr>
          <w:sz w:val="20"/>
          <w:szCs w:val="20"/>
        </w:rPr>
      </w:pPr>
      <w:r>
        <w:rPr>
          <w:sz w:val="20"/>
          <w:szCs w:val="20"/>
        </w:rPr>
        <w:t>Izvor: Zavod za javno zdravstvo Koprivničko – križevačke županije, 2018.god.</w:t>
      </w:r>
    </w:p>
    <w:p w:rsidR="008F0D85" w:rsidRDefault="00AE42A1">
      <w:pPr>
        <w:jc w:val="center"/>
        <w:rPr>
          <w:sz w:val="20"/>
          <w:szCs w:val="20"/>
        </w:rPr>
      </w:pPr>
      <w:r>
        <w:rPr>
          <w:noProof/>
        </w:rPr>
        <w:drawing>
          <wp:inline distT="0" distB="0" distL="0" distR="0">
            <wp:extent cx="5525135" cy="2877185"/>
            <wp:effectExtent l="0" t="0" r="0" b="0"/>
            <wp:docPr id="3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10"/>
                    <pic:cNvPicPr>
                      <a:picLocks noChangeAspect="1" noChangeArrowheads="1"/>
                    </pic:cNvPicPr>
                  </pic:nvPicPr>
                  <pic:blipFill>
                    <a:blip r:embed="rId36"/>
                    <a:stretch>
                      <a:fillRect/>
                    </a:stretch>
                  </pic:blipFill>
                  <pic:spPr bwMode="auto">
                    <a:xfrm>
                      <a:off x="0" y="0"/>
                      <a:ext cx="5525135" cy="2877185"/>
                    </a:xfrm>
                    <a:prstGeom prst="rect">
                      <a:avLst/>
                    </a:prstGeom>
                  </pic:spPr>
                </pic:pic>
              </a:graphicData>
            </a:graphic>
          </wp:inline>
        </w:drawing>
      </w:r>
    </w:p>
    <w:p w:rsidR="008F0D85" w:rsidRDefault="00AE42A1">
      <w:pPr>
        <w:spacing w:after="0" w:line="360" w:lineRule="auto"/>
        <w:rPr>
          <w:rFonts w:cs="Arial"/>
          <w:b/>
          <w:bCs/>
          <w:sz w:val="20"/>
          <w:szCs w:val="20"/>
        </w:rPr>
      </w:pPr>
      <w:bookmarkStart w:id="437" w:name="_Toc514240421"/>
      <w:bookmarkStart w:id="438" w:name="_Toc516128510"/>
      <w:bookmarkStart w:id="439" w:name="_Toc527969604"/>
      <w:r>
        <w:rPr>
          <w:rFonts w:cs="Arial"/>
          <w:b/>
          <w:bCs/>
          <w:sz w:val="20"/>
          <w:szCs w:val="20"/>
        </w:rPr>
        <w:t xml:space="preserve">Grafikon </w:t>
      </w:r>
      <w:r>
        <w:rPr>
          <w:rFonts w:cs="Arial"/>
          <w:b/>
          <w:bCs/>
          <w:sz w:val="20"/>
          <w:szCs w:val="20"/>
        </w:rPr>
        <w:fldChar w:fldCharType="begin"/>
      </w:r>
      <w:r>
        <w:instrText>SEQ Grafikon \* ARABIC</w:instrText>
      </w:r>
      <w:r>
        <w:fldChar w:fldCharType="separate"/>
      </w:r>
      <w:r>
        <w:t>3</w:t>
      </w:r>
      <w:r>
        <w:fldChar w:fldCharType="end"/>
      </w:r>
      <w:bookmarkEnd w:id="437"/>
      <w:bookmarkEnd w:id="438"/>
      <w:bookmarkEnd w:id="439"/>
      <w:r>
        <w:rPr>
          <w:rFonts w:cs="Arial"/>
          <w:b/>
          <w:bCs/>
          <w:sz w:val="20"/>
          <w:szCs w:val="20"/>
        </w:rPr>
        <w:t>: Prikaz broja oboljelih u sez</w:t>
      </w:r>
      <w:r>
        <w:rPr>
          <w:rFonts w:cs="Arial"/>
          <w:b/>
          <w:bCs/>
          <w:sz w:val="20"/>
          <w:szCs w:val="20"/>
        </w:rPr>
        <w:t>oni 2017./2018.god. u KKŽ na tjednoj bazi</w:t>
      </w:r>
    </w:p>
    <w:p w:rsidR="008F0D85" w:rsidRDefault="00AE42A1">
      <w:pPr>
        <w:rPr>
          <w:sz w:val="20"/>
          <w:szCs w:val="20"/>
        </w:rPr>
      </w:pPr>
      <w:r>
        <w:rPr>
          <w:sz w:val="20"/>
          <w:szCs w:val="20"/>
        </w:rPr>
        <w:t>Izvor: Zavod za javno zdravstvo Koprivničko – križevačke županije, 2018.god.</w:t>
      </w:r>
    </w:p>
    <w:p w:rsidR="008F0D85" w:rsidRDefault="00AE42A1">
      <w:pPr>
        <w:pStyle w:val="Naslov4"/>
      </w:pPr>
      <w:bookmarkStart w:id="440" w:name="_Toc512434606"/>
      <w:bookmarkStart w:id="441" w:name="_Toc514240161"/>
      <w:bookmarkStart w:id="442" w:name="_Toc516128264"/>
      <w:bookmarkStart w:id="443" w:name="_Toc527969374"/>
      <w:bookmarkEnd w:id="440"/>
      <w:bookmarkEnd w:id="441"/>
      <w:bookmarkEnd w:id="442"/>
      <w:bookmarkEnd w:id="443"/>
      <w:r>
        <w:t>6.1.1.5. Uzrok epidemije influence</w:t>
      </w:r>
    </w:p>
    <w:p w:rsidR="008F0D85" w:rsidRDefault="008F0D85"/>
    <w:p w:rsidR="008F0D85" w:rsidRDefault="00AE42A1">
      <w:bookmarkStart w:id="444" w:name="_Hlk491084467"/>
      <w:bookmarkStart w:id="445" w:name="_Hlk503348422"/>
      <w:bookmarkEnd w:id="444"/>
      <w:r>
        <w:t>Postoje tri virusa gripe ili influence (A, B i C). Na površini lipidne ovojnice nalaze se dva osnovna</w:t>
      </w:r>
      <w:r>
        <w:t xml:space="preserve"> virusna antigena – hemaglutinin (H) i neuraminidaza (N). Oni nisu stabilni, stalno </w:t>
      </w:r>
      <w:r>
        <w:lastRenderedPageBreak/>
        <w:t>mijenjaju svoja antigenska svojstva pa tako nastaju mutacije virusa influence koje su osobito karakteristične za virus gripe tipa A. Manje se promjene (antigensko skretanje</w:t>
      </w:r>
      <w:r>
        <w:t>) događaju češće, svake 2 do 3 godine, a veće (antigenski otklon) rjeđe, u prosjeku svakih 10 do 40 godina. Zato samo virus gripe A, zbog korjenitih promjena, može prouzročiti velike epidemije i pandemije (epidemije svjetskih razmjera) te čestu pojavu tešk</w:t>
      </w:r>
      <w:r>
        <w:t>ih kliničkih oblika bolesti s brojnim komplikacijama</w:t>
      </w:r>
      <w:bookmarkEnd w:id="445"/>
      <w:r>
        <w:t xml:space="preserve">. </w:t>
      </w:r>
    </w:p>
    <w:p w:rsidR="008F0D85" w:rsidRDefault="00AE42A1">
      <w:pPr>
        <w:pStyle w:val="Naslov5"/>
      </w:pPr>
      <w:bookmarkStart w:id="446" w:name="_Toc512434607"/>
      <w:bookmarkStart w:id="447" w:name="_Toc514240162"/>
      <w:bookmarkStart w:id="448" w:name="_Toc516128265"/>
      <w:bookmarkStart w:id="449" w:name="_Toc527969375"/>
      <w:bookmarkStart w:id="450" w:name="_Hlk4910844671"/>
      <w:bookmarkEnd w:id="446"/>
      <w:bookmarkEnd w:id="447"/>
      <w:bookmarkEnd w:id="448"/>
      <w:bookmarkEnd w:id="449"/>
      <w:bookmarkEnd w:id="450"/>
      <w:r>
        <w:t>6.1.1.5.1. Razvoj događaja koji prethodi velikoj nesreću uslijed pojave epidemije influence</w:t>
      </w:r>
    </w:p>
    <w:p w:rsidR="008F0D85" w:rsidRDefault="008F0D85"/>
    <w:p w:rsidR="008F0D85" w:rsidRDefault="00AE42A1">
      <w:r>
        <w:t>Gripa se razlikuje od obične prehlade, početkom bolesti, simptomima, duljinom trajanja bolesti i mogućim kom</w:t>
      </w:r>
      <w:r>
        <w:t>plikacijama koje mogu biti značajno teže kod gripe nego kod obične prehlade. Gripa, odnosno influenca u obliku epidemije može se pojaviti u bilo koje doba godine, međutim karakteristično sezonsko razdoblje pojave gripe počinje približavanjem hladnijeg dije</w:t>
      </w:r>
      <w:r>
        <w:t>la godine, jeseni i zime.</w:t>
      </w:r>
    </w:p>
    <w:p w:rsidR="008F0D85" w:rsidRDefault="00AE42A1">
      <w:r>
        <w:t xml:space="preserve">Simptomi gripe počinju obično nakon 24 – 48 sati nakon inkubacije i nastaju iznenada. Tresavica, osjećaj zimice, bolovi u mišićima i ekstremitetima, leđima, vratu te ostatku tijela, najčešće su prvi znakovi bolesti. Zatim se javlja glavobolja s vrlo često </w:t>
      </w:r>
      <w:r>
        <w:t xml:space="preserve">popratnim bolovima oko ili iza očiju, osobito kod pokretanja očnih jabučica i potom vrlo brzo vrućica koja se u prva tri </w:t>
      </w:r>
      <w:bookmarkStart w:id="451" w:name="_Hlk497899589"/>
      <w:r>
        <w:t>dana najčešće kreće oko 38 - 39</w:t>
      </w:r>
      <w:r>
        <w:rPr>
          <w:rFonts w:cs="Calibri"/>
        </w:rPr>
        <w:t>°</w:t>
      </w:r>
      <w:r>
        <w:t xml:space="preserve">C. Oboljeli se osjećaju doista bolesno i malaksalo i najčešće ih ovi simptomi primoraju na ostanak u krevetu. Navedeni simptomi obično traju 3 – 5 dana. </w:t>
      </w:r>
    </w:p>
    <w:p w:rsidR="008F0D85" w:rsidRDefault="00AE42A1">
      <w:r>
        <w:t>Za gripu je karakteristična pojava navedenih tzv. općih simptoma, a zatim pojava simptoma dišnih putev</w:t>
      </w:r>
      <w:r>
        <w:t>a. Simptomi dišnih puteva javljaju se 1 – 3 dana nakon početka općih simptoma bolesti, a očituju se umjerenim „grebanjem“ i osjećajem boli u ždrijelu, suhim kašljem, začepljenošću i curenjem prozirnog sekreta iz nosa. Tek nekoliko dana kasnije, kašalj može</w:t>
      </w:r>
      <w:r>
        <w:t xml:space="preserve"> biti produktivan (javlja se oskudno iskašljavanje manje količine sluzavo bijelog sekreta) iz dišnih puteva. Koža oboljelih je najčešće užarena i crvena, sluznice suhe i ispucale, a bjeloočnice crvene, dok oči počinju suziti. </w:t>
      </w:r>
    </w:p>
    <w:p w:rsidR="008F0D85" w:rsidRDefault="00AE42A1">
      <w:bookmarkStart w:id="452" w:name="_Hlk491085407"/>
      <w:r>
        <w:t>Djeca mogu uz navedene simpto</w:t>
      </w:r>
      <w:r>
        <w:t>me imati mučninu, povraćanje te probleme s probavom. Osnovni, opći simptomi bolesti traju 3 – 5 dana, ali kašalj uz malaksalost i osjećaj umora može potrajati te se nakon smirivanja osnovnih simptoma bolesti zadržati i nekoliko tjedana</w:t>
      </w:r>
      <w:bookmarkEnd w:id="451"/>
      <w:bookmarkEnd w:id="452"/>
      <w:r>
        <w:t>.</w:t>
      </w:r>
    </w:p>
    <w:p w:rsidR="008F0D85" w:rsidRDefault="00AE42A1">
      <w:pPr>
        <w:pStyle w:val="Naslov5"/>
      </w:pPr>
      <w:bookmarkStart w:id="453" w:name="_Toc512434608"/>
      <w:bookmarkStart w:id="454" w:name="_Toc514240163"/>
      <w:bookmarkStart w:id="455" w:name="_Toc516128266"/>
      <w:bookmarkStart w:id="456" w:name="_Toc527969376"/>
      <w:bookmarkEnd w:id="453"/>
      <w:bookmarkEnd w:id="454"/>
      <w:bookmarkEnd w:id="455"/>
      <w:bookmarkEnd w:id="456"/>
      <w:r>
        <w:t>6.1.1.5.2. Okidač k</w:t>
      </w:r>
      <w:r>
        <w:t>oji je uzrokovao veliku nesreću uslijed pojave influence</w:t>
      </w:r>
    </w:p>
    <w:p w:rsidR="008F0D85" w:rsidRDefault="008F0D85"/>
    <w:p w:rsidR="008F0D85" w:rsidRDefault="00AE42A1">
      <w:r>
        <w:t>Epidemija se javlja uslijed boravka većeg broja ljudi u istome prostoru, koji nije dovoljno prozračen, javnom prijevozu te drugim prostorima u kojima tijekom dana boravi veći broj ljudi. Valja pazit</w:t>
      </w:r>
      <w:r>
        <w:t xml:space="preserve">i na osobnu higijenu te čistoću ruku jer virus gripe može preživjeti i do 48 sati na metalnim i plastičnim podlogama. </w:t>
      </w:r>
    </w:p>
    <w:p w:rsidR="008F0D85" w:rsidRDefault="00AE42A1">
      <w:r>
        <w:lastRenderedPageBreak/>
        <w:t>Kao i drugi virusi i virus gripe za umnožavanje koristi infrastrukturu stanice domaćina kojeg napada. Ulazak i izlazak umnoženih virusa i</w:t>
      </w:r>
      <w:r>
        <w:t xml:space="preserve">z stanice omogućuju proteini na površini virusa koji čine čak 40% njegove ukupne mase. </w:t>
      </w:r>
    </w:p>
    <w:p w:rsidR="008F0D85" w:rsidRDefault="00AE42A1">
      <w:r>
        <w:t>Površinski proteini hemaglutinini (H) omogućuju ulazak virusa u stanicu i nastanak infekcije. Ulaskom u stanicu, virus preuzima kontrolu nad njezinom normalnom funkcijo</w:t>
      </w:r>
      <w:r>
        <w:t xml:space="preserve">m i započinje s vlastitim umnožavanjem. </w:t>
      </w:r>
    </w:p>
    <w:p w:rsidR="008F0D85" w:rsidRDefault="00AE42A1">
      <w:r>
        <w:t>Izlazak virusa iz stanice i razaranje sluzi koja štiti stanice na površini dišnog sustava omogućuju površinski proteini neuraminidaze (N). Naš organizam brani se stvaranjem zaštitnih proteina koji neutraliziraju dje</w:t>
      </w:r>
      <w:r>
        <w:t xml:space="preserve">lovanje površinskih proteina. Upravo zbog toga i cjepivo protiv gripe mora obavezno sadržavati površinske proteine hemaglutinin i neuraminidazu koji potiču imunološki sustav na stvaranje obrambenih proteina (protutijela). </w:t>
      </w:r>
    </w:p>
    <w:p w:rsidR="008F0D85" w:rsidRDefault="00AE42A1">
      <w:bookmarkStart w:id="457" w:name="_Hlk497899639"/>
      <w:bookmarkStart w:id="458" w:name="_Hlk491086762"/>
      <w:r>
        <w:t>Kao kapljična infekcija, gripa se</w:t>
      </w:r>
      <w:r>
        <w:t xml:space="preserve"> brzo prenosi i eksplozivno širi među ljudima</w:t>
      </w:r>
      <w:bookmarkEnd w:id="457"/>
      <w:bookmarkEnd w:id="458"/>
      <w:r>
        <w:t xml:space="preserve">.  </w:t>
      </w:r>
    </w:p>
    <w:p w:rsidR="008F0D85" w:rsidRDefault="008F0D85">
      <w:pPr>
        <w:rPr>
          <w:sz w:val="20"/>
          <w:szCs w:val="20"/>
        </w:rPr>
      </w:pPr>
    </w:p>
    <w:p w:rsidR="008F0D85" w:rsidRDefault="008F0D85"/>
    <w:p w:rsidR="008F0D85" w:rsidRDefault="008F0D85"/>
    <w:p w:rsidR="008F0D85" w:rsidRDefault="008F0D85">
      <w:pPr>
        <w:widowControl w:val="0"/>
        <w:spacing w:after="0"/>
        <w:ind w:right="23"/>
        <w:rPr>
          <w:iCs/>
          <w:color w:val="000000"/>
          <w:szCs w:val="24"/>
        </w:rPr>
      </w:pPr>
    </w:p>
    <w:p w:rsidR="008F0D85" w:rsidRDefault="00AE42A1">
      <w:pPr>
        <w:pStyle w:val="Naslov3"/>
      </w:pPr>
      <w:bookmarkStart w:id="459" w:name="_Toc512434609"/>
      <w:bookmarkStart w:id="460" w:name="_Toc514240164"/>
      <w:bookmarkStart w:id="461" w:name="_Toc516128267"/>
      <w:bookmarkStart w:id="462" w:name="_Toc527969377"/>
      <w:bookmarkEnd w:id="459"/>
      <w:bookmarkEnd w:id="460"/>
      <w:bookmarkEnd w:id="461"/>
      <w:bookmarkEnd w:id="462"/>
      <w:r>
        <w:t>6.1.2. Opis scenarija – Epidemije i pandemije</w:t>
      </w:r>
    </w:p>
    <w:p w:rsidR="008F0D85" w:rsidRDefault="00AE42A1">
      <w:pPr>
        <w:pStyle w:val="Naslov4"/>
      </w:pPr>
      <w:bookmarkStart w:id="463" w:name="_Toc512434610"/>
      <w:bookmarkStart w:id="464" w:name="_Toc514240165"/>
      <w:bookmarkStart w:id="465" w:name="_Toc516128268"/>
      <w:bookmarkStart w:id="466" w:name="_Toc527969378"/>
      <w:bookmarkEnd w:id="463"/>
      <w:bookmarkEnd w:id="464"/>
      <w:bookmarkEnd w:id="465"/>
      <w:bookmarkEnd w:id="466"/>
      <w:r>
        <w:t>6.1.2.1. Događaj s najgorim mogućim posljedicama – Epidemija influence virusa tipa A na području Općine</w:t>
      </w:r>
    </w:p>
    <w:p w:rsidR="008F0D85" w:rsidRDefault="008F0D85"/>
    <w:p w:rsidR="008F0D85" w:rsidRDefault="00AE42A1">
      <w:r>
        <w:t>Virus gripe tipa A ima sposobnost mutacije (promjene</w:t>
      </w:r>
      <w:r>
        <w:t xml:space="preserve">) izgleda, sastava H i N antigena (glavnih, odnosno virulentnih) dijelova virusa i zato se smatra da taj tip virusa uzrokuje teži tijek bolesti. Upravo virus gripe tipa A uzrokom je pandemije (epidemija diljem svijeta). Velika pandemija ovom grupom virusa </w:t>
      </w:r>
      <w:r>
        <w:t xml:space="preserve">zabilježena je osobito početkom 20. stoljeća kada je od tog virusa umrlo nekoliko milijuna ljudi diljem svijeta. </w:t>
      </w:r>
    </w:p>
    <w:p w:rsidR="008F0D85" w:rsidRDefault="00AE42A1">
      <w:r>
        <w:t xml:space="preserve">Iako je gripa ozbiljna virusna bolest, simptomi u većine oboljelih nastaju kroz 7 – 10 dana. Međutim, poznate su i komplikacije gripe. One se </w:t>
      </w:r>
      <w:r>
        <w:t>javljaju kod osoba koje ne miruju za vrijeme trajanja bolesti, kod jako mladih osoba, djece ili starijih osoba koje boluju od kroničnih bolesti kao što su bolesti srca. KOPB (kronična opstruktivna bolest pluća), kod oboljelih od nervnih bolesti ili kod imu</w:t>
      </w:r>
      <w:r>
        <w:t xml:space="preserve">no kompromitiranih osoba (oboljelih od HIV-a ili kod osoba koje su na terapiji imuno supresivima ili kortikosteroidima). </w:t>
      </w:r>
    </w:p>
    <w:p w:rsidR="008F0D85" w:rsidRDefault="00AE42A1">
      <w:r>
        <w:t xml:space="preserve">Veći problem, a ujedno i najčešći kao komplikacija gripe je nastanak virusne, bakterijske ili mješovite upale pluća. Primarna virusna </w:t>
      </w:r>
      <w:r>
        <w:t xml:space="preserve">upala pluća kao komplikacija gripe je najrjeđa ali i najteža. Takvi bolesnici obično se ne oporavljaju nakon nastanka općih simptoma, već imaju napadaje kašlja s ili bez vrućice, a ponekad iskašljavaju i sukrvavi iskašljaj. Srčani bolesnici sa </w:t>
      </w:r>
      <w:r>
        <w:lastRenderedPageBreak/>
        <w:t>stenozom mit</w:t>
      </w:r>
      <w:r>
        <w:t>ralnog zaliska (suženjem mitralnog zaliska), imaju povećanu sklonost razvoju virusne upale pluća kao komplikacije gripe.</w:t>
      </w:r>
    </w:p>
    <w:p w:rsidR="008F0D85" w:rsidRDefault="00AE42A1">
      <w:r>
        <w:t>Glavno obilježje bakterijske upale pluća nakon gripe je ponovna pojava temperature nakon dva do tri dana poboljšanja tijeka bolesti. Ta</w:t>
      </w:r>
      <w:r>
        <w:t>kvi bolesnici nakon ponovne pojave vrućice imaju produktivni kašalj (iskašljavaju), a na plućima se čuje karakterističan zvuk bakterijske upale pluća. Uzročnici koji najčešće uzrokuju bakterijsku upalu pluća nakon gripe su Streptococcus pneumoniae, Staphyl</w:t>
      </w:r>
      <w:r>
        <w:t xml:space="preserve">ococcus aureus i Haemophilus influenze. Bolesnici s najvećim rizikom za razvoj ove bolesti su srčani bolesnici ili oboljeli od kroničnih plućnih bolesti. </w:t>
      </w:r>
    </w:p>
    <w:p w:rsidR="008F0D85" w:rsidRDefault="00AE42A1">
      <w:bookmarkStart w:id="467" w:name="_Hlk503348622"/>
      <w:bookmarkEnd w:id="467"/>
      <w:r>
        <w:t>Virus gripe rijetko je povezan s komplikacijama na mozgu (upala mozga, encefalitis), srca (upala srča</w:t>
      </w:r>
      <w:r>
        <w:t>nog mišića, miokarditis) ili upale mišića (miozitis). Upala mozga (encefalitis), može izazvati pospanost te komu. Upala srčanog mišića (miokarditis), može uzrokovati šumove na srcu ili zatajenje srca (oslabljen rad srca), ili srčani arest (prestanak rada s</w:t>
      </w:r>
      <w:r>
        <w:t>rca).</w:t>
      </w:r>
    </w:p>
    <w:p w:rsidR="008F0D85" w:rsidRDefault="00AE42A1">
      <w:pPr>
        <w:rPr>
          <w:szCs w:val="24"/>
        </w:rPr>
      </w:pPr>
      <w:r>
        <w:rPr>
          <w:szCs w:val="24"/>
        </w:rPr>
        <w:t xml:space="preserve">Koprivničko – križevačka županija broj oboljelih registrira krajem prosinca te početkom siječnja, a epidemije u prosjeku traju 13 tjedana. Vrhunac epidemije u sezoni kada prevladava tip virusa A/H1N1 bilježi se sredinom veljače te početkom ožujka, a </w:t>
      </w:r>
      <w:r>
        <w:rPr>
          <w:szCs w:val="24"/>
        </w:rPr>
        <w:t>u sezoni kada prevladava tip virusa A/H3N2 početkom veljače.</w:t>
      </w:r>
    </w:p>
    <w:p w:rsidR="008F0D85" w:rsidRDefault="00AE42A1">
      <w:pPr>
        <w:spacing w:after="0"/>
        <w:rPr>
          <w:rFonts w:cs="Calibri"/>
          <w:color w:val="000000"/>
          <w:szCs w:val="24"/>
        </w:rPr>
      </w:pPr>
      <w:r>
        <w:rPr>
          <w:rFonts w:cs="Calibri"/>
          <w:color w:val="000000"/>
          <w:szCs w:val="24"/>
        </w:rPr>
        <w:t>U tijeku razdoblja izrade Procjene rizika od velikih nesreća za Općinu Kloštar Podravski u cirkulaciji su sljedeći tipovi virusa: A/H1N1, A/H3N2 i tip B. Navedeni tipovi virusa na području Republ</w:t>
      </w:r>
      <w:r>
        <w:rPr>
          <w:rFonts w:cs="Calibri"/>
          <w:color w:val="000000"/>
          <w:szCs w:val="24"/>
        </w:rPr>
        <w:t>ike Hrvatske cirkuliraju posljednjih 10 godina. S obzirom na navedene tipove virusa, u preventivnim akcijama koristi se cjepivo koje sadrži površinske antigene (hemaglutinin i neuraminidaza), virusa influence sljedećih sojeva: A/Michigan/45/2015 (H1N1)pdm0</w:t>
      </w:r>
      <w:r>
        <w:rPr>
          <w:rFonts w:cs="Calibri"/>
          <w:color w:val="000000"/>
          <w:szCs w:val="24"/>
        </w:rPr>
        <w:t xml:space="preserve">9, A/Hong Kong/4801/2014 (H3N2) i B/Brisbane/60/2008. </w:t>
      </w:r>
    </w:p>
    <w:p w:rsidR="008F0D85" w:rsidRDefault="008F0D85">
      <w:pPr>
        <w:spacing w:after="0"/>
        <w:rPr>
          <w:rFonts w:cs="Calibri"/>
          <w:color w:val="000000"/>
          <w:szCs w:val="24"/>
        </w:rPr>
      </w:pPr>
    </w:p>
    <w:p w:rsidR="008F0D85" w:rsidRDefault="00AE42A1">
      <w:pPr>
        <w:spacing w:after="0"/>
        <w:rPr>
          <w:rFonts w:cs="Calibri"/>
          <w:color w:val="000000"/>
          <w:szCs w:val="24"/>
        </w:rPr>
      </w:pPr>
      <w:r>
        <w:rPr>
          <w:rFonts w:cs="Calibri"/>
          <w:color w:val="000000"/>
          <w:szCs w:val="24"/>
        </w:rPr>
        <w:t>Prema podacima Zavoda za javno zdravstvo Koprivničko – križevačke županije, u posljednjih 5 godina na području Koprivničko – križevačke županije cijepi se oko 7.100 osoba, točnije 6,15% stanovništva Ž</w:t>
      </w:r>
      <w:r>
        <w:rPr>
          <w:rFonts w:cs="Calibri"/>
          <w:color w:val="000000"/>
          <w:szCs w:val="24"/>
        </w:rPr>
        <w:t xml:space="preserve">upanije. </w:t>
      </w:r>
    </w:p>
    <w:p w:rsidR="008F0D85" w:rsidRDefault="008F0D85">
      <w:pPr>
        <w:spacing w:after="0"/>
        <w:rPr>
          <w:rFonts w:cs="Calibri"/>
          <w:color w:val="000000"/>
          <w:szCs w:val="24"/>
        </w:rPr>
      </w:pPr>
    </w:p>
    <w:p w:rsidR="008F0D85" w:rsidRDefault="00AE42A1">
      <w:pPr>
        <w:spacing w:after="0"/>
        <w:rPr>
          <w:rFonts w:cs="Calibri"/>
          <w:color w:val="000000"/>
          <w:szCs w:val="24"/>
        </w:rPr>
      </w:pPr>
      <w:r>
        <w:rPr>
          <w:rFonts w:cs="Calibri"/>
          <w:color w:val="000000"/>
          <w:szCs w:val="24"/>
        </w:rPr>
        <w:t xml:space="preserve">U epidemiji gripe na području Koprivničko – križevačke županije registrira se različit broj oboljelih, što između ostalog ovisi o prevladavajućem tipu virusa. U proteklih nekoliko godina u sezoni kada je prevladavao tip virusa A/H1N1 </w:t>
      </w:r>
      <w:r>
        <w:rPr>
          <w:rFonts w:cs="Calibri"/>
          <w:color w:val="000000"/>
          <w:szCs w:val="24"/>
        </w:rPr>
        <w:t>registrirano je u prosjeku oko 760 oboljelih (0,66% stanovnika Županije) te u sezoni kada je prevladavao tip virusa A/H3N2 oko 2.900 (2,49% stanovnika Županije).</w:t>
      </w:r>
    </w:p>
    <w:p w:rsidR="008F0D85" w:rsidRDefault="008F0D85">
      <w:pPr>
        <w:spacing w:after="0"/>
        <w:rPr>
          <w:rFonts w:cs="Calibri"/>
          <w:color w:val="000000"/>
          <w:szCs w:val="24"/>
        </w:rPr>
      </w:pPr>
    </w:p>
    <w:p w:rsidR="008F0D85" w:rsidRDefault="00AE42A1">
      <w:pPr>
        <w:spacing w:after="0"/>
        <w:rPr>
          <w:rFonts w:cs="Calibri"/>
          <w:color w:val="000000"/>
          <w:szCs w:val="24"/>
        </w:rPr>
      </w:pPr>
      <w:r>
        <w:rPr>
          <w:rFonts w:cs="Calibri"/>
          <w:color w:val="000000"/>
          <w:szCs w:val="24"/>
        </w:rPr>
        <w:t xml:space="preserve">Epidemija gripe u sezoni 2017./2018.god. je u tijeku i za sada je zabilježeno 3.538 osoba na </w:t>
      </w:r>
      <w:r>
        <w:rPr>
          <w:rFonts w:cs="Calibri"/>
          <w:color w:val="000000"/>
          <w:szCs w:val="24"/>
        </w:rPr>
        <w:t xml:space="preserve">području Koprivničko-križevačke županije (sukladno prikazu Grafikona 2.). </w:t>
      </w:r>
    </w:p>
    <w:p w:rsidR="008F0D85" w:rsidRDefault="008F0D85">
      <w:pPr>
        <w:spacing w:after="0"/>
        <w:rPr>
          <w:rFonts w:cs="Calibri"/>
          <w:color w:val="000000"/>
          <w:szCs w:val="24"/>
        </w:rPr>
      </w:pPr>
    </w:p>
    <w:p w:rsidR="008F0D85" w:rsidRDefault="00AE42A1">
      <w:pPr>
        <w:spacing w:after="0"/>
        <w:rPr>
          <w:rFonts w:cs="Calibri"/>
          <w:color w:val="000000"/>
          <w:szCs w:val="24"/>
        </w:rPr>
      </w:pPr>
      <w:r>
        <w:rPr>
          <w:rFonts w:cs="Calibri"/>
          <w:color w:val="000000"/>
          <w:szCs w:val="24"/>
        </w:rPr>
        <w:t xml:space="preserve">Najrizičnije skupine stanovništva su: </w:t>
      </w:r>
    </w:p>
    <w:p w:rsidR="008F0D85" w:rsidRDefault="008F0D85">
      <w:pPr>
        <w:spacing w:after="0"/>
        <w:rPr>
          <w:rFonts w:cs="Calibri"/>
          <w:color w:val="000000"/>
          <w:szCs w:val="24"/>
        </w:rPr>
      </w:pPr>
    </w:p>
    <w:p w:rsidR="008F0D85" w:rsidRDefault="00AE42A1">
      <w:pPr>
        <w:numPr>
          <w:ilvl w:val="0"/>
          <w:numId w:val="36"/>
        </w:numPr>
        <w:spacing w:after="0"/>
        <w:contextualSpacing/>
        <w:jc w:val="left"/>
        <w:rPr>
          <w:rFonts w:cs="Calibri"/>
          <w:color w:val="000000"/>
          <w:szCs w:val="24"/>
          <w:lang w:val="en-US"/>
        </w:rPr>
      </w:pPr>
      <w:r>
        <w:rPr>
          <w:rFonts w:cs="Calibri"/>
          <w:color w:val="000000"/>
          <w:szCs w:val="24"/>
          <w:lang w:val="en-US"/>
        </w:rPr>
        <w:lastRenderedPageBreak/>
        <w:t xml:space="preserve">starije osobe oboljele od kroničnih srčanih i plućnih bolesti, </w:t>
      </w:r>
    </w:p>
    <w:p w:rsidR="008F0D85" w:rsidRDefault="00AE42A1">
      <w:pPr>
        <w:numPr>
          <w:ilvl w:val="0"/>
          <w:numId w:val="36"/>
        </w:numPr>
        <w:spacing w:after="0"/>
        <w:contextualSpacing/>
        <w:jc w:val="left"/>
        <w:rPr>
          <w:rFonts w:cs="Calibri"/>
          <w:color w:val="000000"/>
          <w:szCs w:val="24"/>
          <w:lang w:val="en-US"/>
        </w:rPr>
      </w:pPr>
      <w:r>
        <w:rPr>
          <w:rFonts w:cs="Calibri"/>
          <w:color w:val="000000"/>
          <w:szCs w:val="24"/>
          <w:lang w:val="en-US"/>
        </w:rPr>
        <w:t xml:space="preserve">oboljeli s dijabetesom – imunosuprimiranih (zato što je cjepivo gripe mrtva </w:t>
      </w:r>
      <w:r>
        <w:rPr>
          <w:rFonts w:cs="Calibri"/>
          <w:color w:val="000000"/>
          <w:szCs w:val="24"/>
          <w:lang w:val="en-US"/>
        </w:rPr>
        <w:t xml:space="preserve">vakcina), </w:t>
      </w:r>
    </w:p>
    <w:p w:rsidR="008F0D85" w:rsidRDefault="00AE42A1">
      <w:pPr>
        <w:numPr>
          <w:ilvl w:val="0"/>
          <w:numId w:val="36"/>
        </w:numPr>
        <w:spacing w:after="0"/>
        <w:contextualSpacing/>
        <w:jc w:val="left"/>
        <w:rPr>
          <w:rFonts w:cs="Calibri"/>
          <w:color w:val="000000"/>
          <w:szCs w:val="24"/>
          <w:lang w:val="en-US"/>
        </w:rPr>
      </w:pPr>
      <w:r>
        <w:rPr>
          <w:rFonts w:cs="Calibri"/>
          <w:color w:val="000000"/>
          <w:szCs w:val="24"/>
          <w:lang w:val="en-US"/>
        </w:rPr>
        <w:t xml:space="preserve">zdravstveni radnici, </w:t>
      </w:r>
    </w:p>
    <w:p w:rsidR="008F0D85" w:rsidRDefault="00AE42A1">
      <w:pPr>
        <w:numPr>
          <w:ilvl w:val="0"/>
          <w:numId w:val="36"/>
        </w:numPr>
        <w:spacing w:after="0"/>
        <w:contextualSpacing/>
        <w:jc w:val="left"/>
        <w:rPr>
          <w:rFonts w:cs="Calibri"/>
          <w:color w:val="000000"/>
          <w:szCs w:val="24"/>
          <w:lang w:val="en-US"/>
        </w:rPr>
      </w:pPr>
      <w:r>
        <w:rPr>
          <w:rFonts w:cs="Calibri"/>
          <w:color w:val="000000"/>
          <w:szCs w:val="24"/>
          <w:lang w:val="en-US"/>
        </w:rPr>
        <w:t xml:space="preserve">oboljeli od kroničnih bubrežnih bolesti, </w:t>
      </w:r>
    </w:p>
    <w:p w:rsidR="008F0D85" w:rsidRDefault="00AE42A1">
      <w:pPr>
        <w:numPr>
          <w:ilvl w:val="0"/>
          <w:numId w:val="36"/>
        </w:numPr>
        <w:spacing w:after="0"/>
        <w:contextualSpacing/>
        <w:jc w:val="left"/>
        <w:rPr>
          <w:rFonts w:cs="Calibri"/>
          <w:color w:val="000000"/>
          <w:szCs w:val="24"/>
          <w:lang w:val="en-US"/>
        </w:rPr>
      </w:pPr>
      <w:r>
        <w:rPr>
          <w:rFonts w:cs="Calibri"/>
          <w:color w:val="000000"/>
          <w:szCs w:val="24"/>
          <w:lang w:val="en-US"/>
        </w:rPr>
        <w:t xml:space="preserve">oboljeli od nervnih bolesti, </w:t>
      </w:r>
    </w:p>
    <w:p w:rsidR="008F0D85" w:rsidRDefault="00AE42A1">
      <w:pPr>
        <w:numPr>
          <w:ilvl w:val="0"/>
          <w:numId w:val="36"/>
        </w:numPr>
        <w:spacing w:after="0"/>
        <w:contextualSpacing/>
        <w:jc w:val="left"/>
        <w:rPr>
          <w:rFonts w:cs="Calibri"/>
          <w:color w:val="000000"/>
          <w:szCs w:val="24"/>
          <w:lang w:val="en-US"/>
        </w:rPr>
      </w:pPr>
      <w:r>
        <w:rPr>
          <w:rFonts w:cs="Calibri"/>
          <w:color w:val="000000"/>
          <w:szCs w:val="24"/>
          <w:lang w:val="en-US"/>
        </w:rPr>
        <w:t xml:space="preserve">djeca starija od 6 mjeseci. </w:t>
      </w:r>
    </w:p>
    <w:p w:rsidR="008F0D85" w:rsidRDefault="008F0D85"/>
    <w:p w:rsidR="008F0D85" w:rsidRDefault="00AE42A1">
      <w:pPr>
        <w:pStyle w:val="Naslov5"/>
      </w:pPr>
      <w:bookmarkStart w:id="468" w:name="_Toc512434611"/>
      <w:bookmarkStart w:id="469" w:name="_Toc514240166"/>
      <w:bookmarkStart w:id="470" w:name="_Toc516128269"/>
      <w:bookmarkStart w:id="471" w:name="_Toc527969379"/>
      <w:bookmarkEnd w:id="468"/>
      <w:bookmarkEnd w:id="469"/>
      <w:bookmarkEnd w:id="470"/>
      <w:bookmarkEnd w:id="471"/>
      <w:r>
        <w:t>6.1.2.1.1. Posljedice – Epidemija influence</w:t>
      </w:r>
    </w:p>
    <w:p w:rsidR="008F0D85" w:rsidRDefault="00AE42A1">
      <w:pPr>
        <w:pStyle w:val="Naslov6"/>
      </w:pPr>
      <w:r>
        <w:t>6.1.2.1.1.1. Procjena posljedica pojave epidemije influence na život i zdravl</w:t>
      </w:r>
      <w:r>
        <w:t>je ljudi</w:t>
      </w:r>
    </w:p>
    <w:p w:rsidR="008F0D85" w:rsidRDefault="008F0D85"/>
    <w:p w:rsidR="008F0D85" w:rsidRDefault="00AE42A1">
      <w:pPr>
        <w:rPr>
          <w:szCs w:val="24"/>
        </w:rPr>
      </w:pPr>
      <w:r>
        <w:rPr>
          <w:szCs w:val="24"/>
        </w:rPr>
        <w:t>Broj oboljelih od gripe na području Općine nije moguće prikazati, a s obzirom na to da se podaci vezani za obolijevanje od gripe prikupljaju zbirno za cijelo područje koje pokriva ispostava Đurđevac, odnosno za cijelu Koprivničko – križevačku žup</w:t>
      </w:r>
      <w:r>
        <w:rPr>
          <w:szCs w:val="24"/>
        </w:rPr>
        <w:t>aniju, a ne prema pojedinim općinama. Sukladno informacijama Zavoda za javno zdravstvo Koprivničko – križevačke županije do 16.04.2018.god. zabilježeno je 313 osoba oboljelih na području Ispostave Đurđevac.</w:t>
      </w:r>
    </w:p>
    <w:p w:rsidR="008F0D85" w:rsidRDefault="00AE42A1">
      <w:pPr>
        <w:rPr>
          <w:rFonts w:cs="Calibri"/>
          <w:szCs w:val="24"/>
        </w:rPr>
      </w:pPr>
      <w:r>
        <w:rPr>
          <w:rFonts w:cs="Calibri"/>
          <w:szCs w:val="24"/>
        </w:rPr>
        <w:t xml:space="preserve">Najviše obolijeva radno aktivno stanovništvo, zatim djeca školske i predškolske dobi. Starije osobe najmanje obolijevaju radi redovitog cijepljenja ali i vlastitog imuniteta stečenog tijekom ranijih godina. </w:t>
      </w:r>
    </w:p>
    <w:p w:rsidR="008F0D85" w:rsidRDefault="00AE42A1">
      <w:pPr>
        <w:rPr>
          <w:szCs w:val="24"/>
        </w:rPr>
      </w:pPr>
      <w:r>
        <w:rPr>
          <w:szCs w:val="24"/>
        </w:rPr>
        <w:t>Procijenjeno je da bi epidemijom influence virus</w:t>
      </w:r>
      <w:r>
        <w:rPr>
          <w:szCs w:val="24"/>
        </w:rPr>
        <w:t>a tipa A bilo zahvaćeno više od 0,01% stanovnika Općine, točnije više od 0,331 stanovnika. S obzirom na mali broj stanovnika Općine, procjenjuje se da bi posljedice epidemije imale katastrofalan utjecaj na život i zdravlje ljudi.</w:t>
      </w:r>
    </w:p>
    <w:p w:rsidR="008F0D85" w:rsidRDefault="00AE42A1">
      <w:pPr>
        <w:spacing w:after="0" w:line="360" w:lineRule="auto"/>
        <w:jc w:val="center"/>
        <w:rPr>
          <w:rFonts w:cs="Arial"/>
          <w:b/>
          <w:bCs/>
          <w:sz w:val="20"/>
          <w:szCs w:val="24"/>
        </w:rPr>
      </w:pPr>
      <w:bookmarkStart w:id="472" w:name="_Toc512434725"/>
      <w:bookmarkStart w:id="473" w:name="_Toc514240319"/>
      <w:bookmarkStart w:id="474" w:name="_Toc516128404"/>
      <w:bookmarkStart w:id="475" w:name="_Toc527969514"/>
      <w:r>
        <w:rPr>
          <w:rFonts w:cs="Arial"/>
          <w:b/>
          <w:bCs/>
          <w:sz w:val="20"/>
          <w:szCs w:val="20"/>
        </w:rPr>
        <w:t xml:space="preserve">Tablica </w:t>
      </w:r>
      <w:r>
        <w:rPr>
          <w:rFonts w:cs="Arial"/>
          <w:b/>
          <w:bCs/>
          <w:sz w:val="20"/>
          <w:szCs w:val="20"/>
        </w:rPr>
        <w:fldChar w:fldCharType="begin"/>
      </w:r>
      <w:r>
        <w:instrText>SEQ Tablica \* ARA</w:instrText>
      </w:r>
      <w:r>
        <w:instrText>BIC</w:instrText>
      </w:r>
      <w:r>
        <w:fldChar w:fldCharType="separate"/>
      </w:r>
      <w:r>
        <w:t>32</w:t>
      </w:r>
      <w:r>
        <w:fldChar w:fldCharType="end"/>
      </w:r>
      <w:bookmarkEnd w:id="472"/>
      <w:bookmarkEnd w:id="473"/>
      <w:bookmarkEnd w:id="474"/>
      <w:bookmarkEnd w:id="475"/>
      <w:r>
        <w:rPr>
          <w:rFonts w:cs="Arial"/>
          <w:b/>
          <w:bCs/>
          <w:sz w:val="20"/>
          <w:szCs w:val="20"/>
        </w:rPr>
        <w:t>: Prikaz prijetnjom nastalih posljedica na život i zdravlje ljudi - Epidemija influence</w:t>
      </w:r>
    </w:p>
    <w:tbl>
      <w:tblPr>
        <w:tblW w:w="7471"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752"/>
        <w:gridCol w:w="2153"/>
        <w:gridCol w:w="2021"/>
        <w:gridCol w:w="1545"/>
      </w:tblGrid>
      <w:tr w:rsidR="008F0D85">
        <w:trPr>
          <w:trHeight w:val="173"/>
          <w:jc w:val="center"/>
        </w:trPr>
        <w:tc>
          <w:tcPr>
            <w:tcW w:w="7470"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Život i zdravlje ljudi</w:t>
            </w: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215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Posljedice</w:t>
            </w:r>
          </w:p>
        </w:tc>
        <w:tc>
          <w:tcPr>
            <w:tcW w:w="202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Broj stanovnika</w:t>
            </w:r>
          </w:p>
        </w:tc>
        <w:tc>
          <w:tcPr>
            <w:tcW w:w="154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Odabrano</w:t>
            </w: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Neznatne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&lt; 0,033</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b/>
                <w:sz w:val="20"/>
                <w:szCs w:val="20"/>
              </w:rPr>
            </w:pP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Malene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 xml:space="preserve">  – 0,152</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0,155 – 0,364</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181"/>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Značajne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0,397 – 1,157</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4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Katastrofalne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1,19</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b/>
                <w:sz w:val="20"/>
                <w:szCs w:val="20"/>
              </w:rPr>
            </w:pPr>
            <w:r>
              <w:rPr>
                <w:b/>
                <w:sz w:val="20"/>
                <w:szCs w:val="20"/>
              </w:rPr>
              <w:t>X</w:t>
            </w:r>
          </w:p>
        </w:tc>
      </w:tr>
    </w:tbl>
    <w:p w:rsidR="008F0D85" w:rsidRDefault="008F0D85">
      <w:pPr>
        <w:keepNext/>
        <w:keepLines/>
        <w:spacing w:before="40" w:after="0"/>
        <w:outlineLvl w:val="5"/>
        <w:rPr>
          <w:rFonts w:ascii="Calibri Light" w:hAnsi="Calibri Light"/>
          <w:color w:val="1F4D78"/>
        </w:rPr>
      </w:pPr>
    </w:p>
    <w:p w:rsidR="008F0D85" w:rsidRDefault="00AE42A1">
      <w:pPr>
        <w:pStyle w:val="Naslov6"/>
      </w:pPr>
      <w:r>
        <w:t>6.1.2.1.1.2. Procjena posljedica pojave epidemije influence na gospodarstvo</w:t>
      </w:r>
    </w:p>
    <w:p w:rsidR="008F0D85" w:rsidRDefault="008F0D85"/>
    <w:p w:rsidR="008F0D85" w:rsidRDefault="00AE42A1">
      <w:r>
        <w:t xml:space="preserve">Gospodarske posljedice epidemije influence virusa tipa A odnose se na izostanak s posla, eventualno smanjeni poslovni učinak radi </w:t>
      </w:r>
      <w:r>
        <w:t xml:space="preserve">nedostataka radne snage te troškove liječenja i hospitaliziranja. Najveći troškovi odnose se na liječenje hitnih medicinskih usluga i hospitalizacije osoba. Također, šteta epidemija i pandemija očituje se i u smanjenju broja </w:t>
      </w:r>
      <w:r>
        <w:lastRenderedPageBreak/>
        <w:t>radno sposobnog stanovništva, o</w:t>
      </w:r>
      <w:r>
        <w:t>dnosno za očekivati je porast bolovanja u prosječnom trajanju od 15 dana po stanovniku, što u konačnici rezultira smanjenim učinkom rada i eventualnim gubicima za gospodarstvo.</w:t>
      </w:r>
    </w:p>
    <w:p w:rsidR="008F0D85" w:rsidRDefault="00AE42A1">
      <w:pPr>
        <w:rPr>
          <w:szCs w:val="24"/>
        </w:rPr>
      </w:pPr>
      <w:bookmarkStart w:id="476" w:name="_Hlk512259503"/>
      <w:bookmarkEnd w:id="476"/>
      <w:r>
        <w:rPr>
          <w:szCs w:val="24"/>
        </w:rPr>
        <w:t>Troškovi liječenja osobe oboljele od gripe mogu značajno varirati, a ovise pona</w:t>
      </w:r>
      <w:r>
        <w:rPr>
          <w:szCs w:val="24"/>
        </w:rPr>
        <w:t>jprije o kliničkoj slici i komplikacijama koje je oboljela osoba razvila. Najveći dio troškova čine izravni medicinski i nemedicinski troškovi (plaće liječnika i medicinskih sestara, lijekovi, pretrage, bolničko liječenje, prijevoz i sl.) i neizravni trošk</w:t>
      </w:r>
      <w:r>
        <w:rPr>
          <w:szCs w:val="24"/>
        </w:rPr>
        <w:t xml:space="preserve">ovi (troškovi vezani uz gubitak radne sposobnosti ili nemogućnosti obavljanja svakodnevnih poslova, dani bolovanja, smanjena produktivnost zbog bolesti ili invaliditeta), no i marginalni ili drugi troškovi (troškovi zbog boli, patnje i sl.) mogu biti vrlo </w:t>
      </w:r>
      <w:r>
        <w:rPr>
          <w:szCs w:val="24"/>
        </w:rPr>
        <w:t xml:space="preserve">važni u konačnom zbiru. </w:t>
      </w:r>
    </w:p>
    <w:p w:rsidR="008F0D85" w:rsidRDefault="00AE42A1">
      <w:r>
        <w:t>Cijena za osiguravanje cjepiva kojim bi zaštitili barem najvulnerabilnije skupine stanovništva u Općini (osobe starije životne dobi, kronično bolesne, djecu, zdravstvene djelatnike) njih barem 900 iznosila bi oko 36.000,00 kuna (ak</w:t>
      </w:r>
      <w:r>
        <w:t xml:space="preserve">o se promatra cijena sezonskog cjepiva protiv gripe od 40 kuna). Cijena pandemijskog cjepiva sigurno je i veća, a ovisi o proizvođaču koji će prvi dati cjepivo na tržište.  Također, pri pojavnosti pandemijske gripe potrebno je zaštiti i osigurati terapiju </w:t>
      </w:r>
      <w:r>
        <w:t xml:space="preserve">i kemoprofilaksu za osobe koje se iz određenih razloga ne cijepe. </w:t>
      </w:r>
    </w:p>
    <w:p w:rsidR="008F0D85" w:rsidRDefault="00AE42A1">
      <w:r>
        <w:t xml:space="preserve">Kemoprofilaksa i terapija provode se antivirusnim lijekom oseltamivirom. Za kemoprofilaksu i terapiju potrebno je osigurati oko 3.350 doza lijeka. </w:t>
      </w:r>
      <w:bookmarkStart w:id="477" w:name="_Hlk512259604"/>
      <w:r>
        <w:t>Tržišna vrijednost jednog pakiranja lijeka</w:t>
      </w:r>
      <w:r>
        <w:t xml:space="preserve"> je oko 200 kuna. Ostale troškove liječenja komplikacija i drugih problema koji proizlaze iz bolničkog terapijskog dijela određuje bolnički sustav. </w:t>
      </w:r>
    </w:p>
    <w:p w:rsidR="008F0D85" w:rsidRDefault="00AE42A1">
      <w:pPr>
        <w:spacing w:after="0" w:line="360" w:lineRule="auto"/>
        <w:jc w:val="center"/>
        <w:rPr>
          <w:rFonts w:cs="Arial"/>
          <w:b/>
          <w:bCs/>
          <w:sz w:val="20"/>
          <w:szCs w:val="20"/>
        </w:rPr>
      </w:pPr>
      <w:bookmarkStart w:id="478" w:name="_Toc527969515"/>
      <w:bookmarkStart w:id="479" w:name="_Toc512434726"/>
      <w:bookmarkStart w:id="480" w:name="_Toc514240320"/>
      <w:bookmarkStart w:id="481" w:name="_Toc516128405"/>
      <w:bookmarkEnd w:id="477"/>
      <w:r>
        <w:rPr>
          <w:rFonts w:cs="Arial"/>
          <w:b/>
          <w:bCs/>
          <w:sz w:val="20"/>
          <w:szCs w:val="20"/>
        </w:rPr>
        <w:t xml:space="preserve">Tablica </w:t>
      </w:r>
      <w:r>
        <w:rPr>
          <w:rFonts w:cs="Arial"/>
          <w:b/>
          <w:bCs/>
          <w:sz w:val="20"/>
          <w:szCs w:val="20"/>
        </w:rPr>
        <w:fldChar w:fldCharType="begin"/>
      </w:r>
      <w:r>
        <w:instrText>SEQ Tablica \* ARABIC</w:instrText>
      </w:r>
      <w:r>
        <w:fldChar w:fldCharType="separate"/>
      </w:r>
      <w:r>
        <w:t>33</w:t>
      </w:r>
      <w:r>
        <w:fldChar w:fldCharType="end"/>
      </w:r>
      <w:r>
        <w:rPr>
          <w:rFonts w:cs="Arial"/>
          <w:b/>
          <w:bCs/>
          <w:sz w:val="20"/>
          <w:szCs w:val="20"/>
        </w:rPr>
        <w:t>: Prikaz prijetnjom nastalih posljedica na gospodarstvo</w:t>
      </w:r>
      <w:bookmarkEnd w:id="478"/>
      <w:bookmarkEnd w:id="479"/>
      <w:bookmarkEnd w:id="480"/>
      <w:bookmarkEnd w:id="481"/>
      <w:r>
        <w:rPr>
          <w:rFonts w:cs="Arial"/>
          <w:b/>
          <w:bCs/>
          <w:sz w:val="20"/>
          <w:szCs w:val="20"/>
        </w:rPr>
        <w:t xml:space="preserve"> – Epidemija influ</w:t>
      </w:r>
      <w:r>
        <w:rPr>
          <w:rFonts w:cs="Arial"/>
          <w:b/>
          <w:bCs/>
          <w:sz w:val="20"/>
          <w:szCs w:val="20"/>
        </w:rPr>
        <w:t>ence</w:t>
      </w:r>
    </w:p>
    <w:tbl>
      <w:tblPr>
        <w:tblW w:w="7100"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477"/>
        <w:gridCol w:w="1781"/>
        <w:gridCol w:w="2693"/>
        <w:gridCol w:w="1149"/>
      </w:tblGrid>
      <w:tr w:rsidR="008F0D85">
        <w:trPr>
          <w:trHeight w:val="302"/>
          <w:jc w:val="center"/>
        </w:trPr>
        <w:tc>
          <w:tcPr>
            <w:tcW w:w="7099"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Gospodarstvo</w:t>
            </w: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Kategorija</w:t>
            </w:r>
          </w:p>
        </w:tc>
        <w:tc>
          <w:tcPr>
            <w:tcW w:w="178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Posljedica</w:t>
            </w:r>
          </w:p>
        </w:tc>
        <w:tc>
          <w:tcPr>
            <w:tcW w:w="269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U kunama (% obzirom na proračun)</w:t>
            </w:r>
          </w:p>
        </w:tc>
        <w:tc>
          <w:tcPr>
            <w:tcW w:w="114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Odabrano</w:t>
            </w: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1</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Neznatne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 – 208.060,00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2</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Malene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208.060,00 – 1.040.300,00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b/>
                <w:sz w:val="20"/>
                <w:szCs w:val="20"/>
              </w:rPr>
            </w:pPr>
            <w:r>
              <w:rPr>
                <w:b/>
                <w:sz w:val="20"/>
                <w:szCs w:val="20"/>
              </w:rPr>
              <w:t>X</w:t>
            </w: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3</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Umjerene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1.040.300,00 – 3.120.900,00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19"/>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4</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Značajne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3.120.900,00 – 5.201.500,00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5</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Katastrofalne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5.201.500,00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bl>
    <w:p w:rsidR="008F0D85" w:rsidRDefault="008F0D85">
      <w:pPr>
        <w:keepNext/>
        <w:keepLines/>
        <w:spacing w:before="40" w:after="0"/>
        <w:outlineLvl w:val="5"/>
        <w:rPr>
          <w:rFonts w:ascii="Calibri Light" w:hAnsi="Calibri Light"/>
          <w:color w:val="1F4D78"/>
        </w:rPr>
      </w:pPr>
    </w:p>
    <w:p w:rsidR="008F0D85" w:rsidRDefault="00AE42A1">
      <w:pPr>
        <w:pStyle w:val="Naslov6"/>
      </w:pPr>
      <w:r>
        <w:t>6.1.2.1.1.3. Procjena posljedica pojave epidemije influence na društvenu stabilnost i politiku</w:t>
      </w:r>
    </w:p>
    <w:p w:rsidR="008F0D85" w:rsidRDefault="008F0D85"/>
    <w:p w:rsidR="008F0D85" w:rsidRDefault="00AE42A1">
      <w:r>
        <w:t xml:space="preserve">S obzirom na to da se posljedice društvene stabilnosti i politike iskazuju u materijalnoj šteti i to za štetu na </w:t>
      </w:r>
      <w:r>
        <w:t>kritičnoj infrastrukturi i šteti na građevinama od društvenog značaja procijenjeno je da bi ukupna materijalna šteta uzrokovana epidemijom influence virusa tipa A imala zanemariv utjecaj na proračun Općine.  Procjenjuje se da bi nastala šteta bila manja od</w:t>
      </w:r>
      <w:r>
        <w:t xml:space="preserve"> 0,5% proračuna, odnosno manja od 104.030,00 kuna. Prema tome šteta je procijenjena zanemarivom te se neće prikazati tablično i putem matrice.</w:t>
      </w:r>
    </w:p>
    <w:p w:rsidR="008F0D85" w:rsidRDefault="00AE42A1">
      <w:pPr>
        <w:pStyle w:val="Naslov5"/>
      </w:pPr>
      <w:bookmarkStart w:id="482" w:name="_Toc512434612"/>
      <w:bookmarkStart w:id="483" w:name="_Toc514240167"/>
      <w:bookmarkStart w:id="484" w:name="_Toc516128270"/>
      <w:bookmarkStart w:id="485" w:name="_Toc527969380"/>
      <w:bookmarkEnd w:id="482"/>
      <w:bookmarkEnd w:id="483"/>
      <w:bookmarkEnd w:id="484"/>
      <w:bookmarkEnd w:id="485"/>
      <w:r>
        <w:lastRenderedPageBreak/>
        <w:t>6.1.2.1.2. Vjerojatnost pojave događaja s najgorim mogućim posljedicama uslijed pojave gripe</w:t>
      </w:r>
    </w:p>
    <w:p w:rsidR="008F0D85" w:rsidRDefault="008F0D85"/>
    <w:p w:rsidR="008F0D85" w:rsidRDefault="00AE42A1">
      <w:pPr>
        <w:spacing w:after="0" w:line="360" w:lineRule="auto"/>
        <w:jc w:val="center"/>
        <w:rPr>
          <w:rFonts w:cs="Arial"/>
          <w:b/>
          <w:bCs/>
          <w:sz w:val="20"/>
          <w:szCs w:val="20"/>
        </w:rPr>
      </w:pPr>
      <w:bookmarkStart w:id="486" w:name="_Toc512434727"/>
      <w:bookmarkStart w:id="487" w:name="_Toc514240321"/>
      <w:bookmarkStart w:id="488" w:name="_Toc516128406"/>
      <w:bookmarkStart w:id="489" w:name="_Toc527969516"/>
      <w:r>
        <w:rPr>
          <w:rFonts w:cs="Arial"/>
          <w:b/>
          <w:bCs/>
          <w:sz w:val="20"/>
          <w:szCs w:val="20"/>
        </w:rPr>
        <w:t xml:space="preserve">Tablica </w:t>
      </w:r>
      <w:r>
        <w:rPr>
          <w:rFonts w:cs="Arial"/>
          <w:b/>
          <w:bCs/>
          <w:sz w:val="20"/>
          <w:szCs w:val="20"/>
        </w:rPr>
        <w:fldChar w:fldCharType="begin"/>
      </w:r>
      <w:r>
        <w:instrText>SEQ Tablica</w:instrText>
      </w:r>
      <w:r>
        <w:instrText xml:space="preserve"> \* ARABIC</w:instrText>
      </w:r>
      <w:r>
        <w:fldChar w:fldCharType="separate"/>
      </w:r>
      <w:r>
        <w:t>34</w:t>
      </w:r>
      <w:r>
        <w:fldChar w:fldCharType="end"/>
      </w:r>
      <w:bookmarkEnd w:id="486"/>
      <w:bookmarkEnd w:id="487"/>
      <w:bookmarkEnd w:id="488"/>
      <w:bookmarkEnd w:id="489"/>
      <w:r>
        <w:rPr>
          <w:rFonts w:cs="Arial"/>
          <w:b/>
          <w:bCs/>
          <w:sz w:val="20"/>
          <w:szCs w:val="20"/>
        </w:rPr>
        <w:t>: Prikaz vjerojatnosti pojave događaja s najgorim mogućim posljedicama uslijed pojave epidemije influence</w:t>
      </w:r>
    </w:p>
    <w:tbl>
      <w:tblPr>
        <w:tblW w:w="9214" w:type="dxa"/>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277"/>
        <w:gridCol w:w="1418"/>
        <w:gridCol w:w="1417"/>
        <w:gridCol w:w="1559"/>
        <w:gridCol w:w="2835"/>
        <w:gridCol w:w="708"/>
      </w:tblGrid>
      <w:tr w:rsidR="008F0D85">
        <w:trPr>
          <w:trHeight w:val="257"/>
        </w:trPr>
        <w:tc>
          <w:tcPr>
            <w:tcW w:w="1276"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1418"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Posljedice</w:t>
            </w:r>
          </w:p>
        </w:tc>
        <w:tc>
          <w:tcPr>
            <w:tcW w:w="6519"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Vjerojatnost/frekvencija</w:t>
            </w:r>
          </w:p>
        </w:tc>
      </w:tr>
      <w:tr w:rsidR="008F0D85">
        <w:trPr>
          <w:trHeight w:val="154"/>
        </w:trPr>
        <w:tc>
          <w:tcPr>
            <w:tcW w:w="1276"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jc w:val="center"/>
              <w:rPr>
                <w:b/>
                <w:sz w:val="20"/>
                <w:szCs w:val="20"/>
              </w:rPr>
            </w:pPr>
          </w:p>
        </w:tc>
        <w:tc>
          <w:tcPr>
            <w:tcW w:w="1418"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rPr>
                <w:b/>
                <w:sz w:val="20"/>
                <w:szCs w:val="20"/>
              </w:rPr>
            </w:pPr>
          </w:p>
        </w:tc>
        <w:tc>
          <w:tcPr>
            <w:tcW w:w="141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Kvalitativno</w:t>
            </w:r>
          </w:p>
        </w:tc>
        <w:tc>
          <w:tcPr>
            <w:tcW w:w="155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Vjerojatnost</w:t>
            </w:r>
          </w:p>
        </w:tc>
        <w:tc>
          <w:tcPr>
            <w:tcW w:w="283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Frekvencija</w:t>
            </w:r>
          </w:p>
        </w:tc>
        <w:tc>
          <w:tcPr>
            <w:tcW w:w="70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spacing w:after="0" w:line="240" w:lineRule="auto"/>
              <w:jc w:val="center"/>
              <w:rPr>
                <w:b/>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Neznatne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Iznimno mala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&lt;1 %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 xml:space="preserve">1 događaj u </w:t>
            </w:r>
            <w:r>
              <w:rPr>
                <w:sz w:val="20"/>
                <w:szCs w:val="20"/>
              </w:rPr>
              <w:t>100 godina i rjeđe</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Malene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 5 %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u 20 do 100 godina</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 – 50 %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u 2 do 20 godina</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Značajne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Velika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51 – 98 %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1 do 2 godine</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b/>
                <w:sz w:val="20"/>
                <w:szCs w:val="20"/>
              </w:rPr>
            </w:pPr>
            <w:r>
              <w:rPr>
                <w:b/>
                <w:sz w:val="20"/>
                <w:szCs w:val="20"/>
              </w:rPr>
              <w:t>X</w:t>
            </w:r>
          </w:p>
        </w:tc>
      </w:tr>
      <w:tr w:rsidR="008F0D85">
        <w:trPr>
          <w:trHeight w:val="273"/>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Katastrofalne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Iznimno velika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&gt; 98 %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 xml:space="preserve">1 događaj godišnje ili </w:t>
            </w:r>
            <w:r>
              <w:rPr>
                <w:sz w:val="20"/>
                <w:szCs w:val="20"/>
              </w:rPr>
              <w:t>češće</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sz w:val="20"/>
                <w:szCs w:val="20"/>
              </w:rPr>
            </w:pPr>
            <w:bookmarkStart w:id="490" w:name="_Hlk512351631"/>
            <w:bookmarkEnd w:id="490"/>
          </w:p>
        </w:tc>
      </w:tr>
    </w:tbl>
    <w:p w:rsidR="008F0D85" w:rsidRDefault="008F0D85">
      <w:pPr>
        <w:rPr>
          <w:sz w:val="20"/>
          <w:szCs w:val="20"/>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AE42A1">
      <w:pPr>
        <w:pStyle w:val="Naslov3"/>
      </w:pPr>
      <w:bookmarkStart w:id="491" w:name="_Toc512434613"/>
      <w:bookmarkStart w:id="492" w:name="_Toc514240168"/>
      <w:bookmarkStart w:id="493" w:name="_Toc516128271"/>
      <w:bookmarkStart w:id="494" w:name="_Toc527969381"/>
      <w:bookmarkEnd w:id="491"/>
      <w:bookmarkEnd w:id="492"/>
      <w:bookmarkEnd w:id="493"/>
      <w:bookmarkEnd w:id="494"/>
      <w:r>
        <w:t>6.1.3. Matrice rizika – Epidemije i pandemije</w:t>
      </w:r>
    </w:p>
    <w:p w:rsidR="008F0D85" w:rsidRDefault="00AE42A1">
      <w:pPr>
        <w:spacing w:after="0"/>
        <w:rPr>
          <w:b/>
        </w:rPr>
      </w:pPr>
      <w:r>
        <w:rPr>
          <w:b/>
        </w:rPr>
        <w:t>RIZIK – Epidemije i pandemije</w:t>
      </w:r>
    </w:p>
    <w:p w:rsidR="008F0D85" w:rsidRDefault="00AE42A1">
      <w:pPr>
        <w:spacing w:after="0"/>
        <w:rPr>
          <w:b/>
        </w:rPr>
      </w:pPr>
      <w:r>
        <w:rPr>
          <w:b/>
        </w:rPr>
        <w:t>NAZIV SCENARIJA – Epidemija influence virusa tipa A na području Općine</w:t>
      </w:r>
    </w:p>
    <w:p w:rsidR="008F0D85" w:rsidRDefault="008F0D85">
      <w:pPr>
        <w:spacing w:after="0"/>
        <w:rPr>
          <w:b/>
        </w:rPr>
      </w:pPr>
    </w:p>
    <w:p w:rsidR="008F0D85" w:rsidRDefault="00AE42A1">
      <w:pPr>
        <w:spacing w:after="0"/>
        <w:rPr>
          <w:u w:val="single"/>
        </w:rPr>
      </w:pPr>
      <w:bookmarkStart w:id="495" w:name="_Hlk512351663"/>
      <w:bookmarkEnd w:id="495"/>
      <w:r>
        <w:rPr>
          <w:u w:val="single"/>
        </w:rPr>
        <w:t xml:space="preserve">DOGAĐAJ S NAJGORIM MOGUĆIM POSLJEDICAMA – Epidemija influence virusa tipa A na </w:t>
      </w:r>
      <w:r>
        <w:rPr>
          <w:u w:val="single"/>
        </w:rPr>
        <w:t>području Općine</w:t>
      </w:r>
    </w:p>
    <w:p w:rsidR="008F0D85" w:rsidRDefault="008F0D85">
      <w:pPr>
        <w:spacing w:after="0"/>
        <w:rPr>
          <w:b/>
        </w:rPr>
      </w:pPr>
    </w:p>
    <w:p w:rsidR="008F0D85" w:rsidRDefault="008F0D85">
      <w:pPr>
        <w:spacing w:after="0"/>
        <w:rPr>
          <w:b/>
        </w:rPr>
      </w:pPr>
    </w:p>
    <w:p w:rsidR="008F0D85" w:rsidRDefault="008F0D85">
      <w:pPr>
        <w:spacing w:after="0"/>
        <w:rPr>
          <w:b/>
        </w:rPr>
      </w:pPr>
    </w:p>
    <w:p w:rsidR="008F0D85" w:rsidRDefault="00AE42A1">
      <w:pPr>
        <w:spacing w:after="0"/>
        <w:rPr>
          <w:sz w:val="18"/>
          <w:szCs w:val="18"/>
        </w:rPr>
      </w:pPr>
      <w:r>
        <w:rPr>
          <w:sz w:val="18"/>
          <w:szCs w:val="18"/>
        </w:rPr>
        <w:t xml:space="preserve">                                   Život i zdravlje ljudi                                                                                        Gospodarstvo</w:t>
      </w:r>
    </w:p>
    <w:p w:rsidR="008F0D85" w:rsidRDefault="00AE42A1">
      <w:r>
        <w:rPr>
          <w:noProof/>
        </w:rPr>
        <w:lastRenderedPageBreak/>
        <mc:AlternateContent>
          <mc:Choice Requires="wps">
            <w:drawing>
              <wp:anchor distT="0" distB="0" distL="114300" distR="114300" simplePos="0" relativeHeight="222" behindDoc="0" locked="0" layoutInCell="1" allowOverlap="1">
                <wp:simplePos x="0" y="0"/>
                <wp:positionH relativeFrom="column">
                  <wp:posOffset>1537970</wp:posOffset>
                </wp:positionH>
                <wp:positionV relativeFrom="paragraph">
                  <wp:posOffset>304800</wp:posOffset>
                </wp:positionV>
                <wp:extent cx="2540" cy="2540"/>
                <wp:effectExtent l="0" t="0" r="0" b="0"/>
                <wp:wrapNone/>
                <wp:docPr id="31" name="Slika1"/>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1DFE2763" id="Slika1" o:spid="_x0000_s1026" style="position:absolute;margin-left:121.1pt;margin-top:24pt;width:.2pt;height:.2pt;z-index:22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" fillcolor="#4472c4" strokecolor="#2f528f" strokeweight=".35mm"/>
            </w:pict>
          </mc:Fallback>
        </mc:AlternateContent>
      </w:r>
      <w:r>
        <w:rPr>
          <w:noProof/>
        </w:rPr>
        <mc:AlternateContent>
          <mc:Choice Requires="wps">
            <w:drawing>
              <wp:anchor distT="0" distB="0" distL="114300" distR="114300" simplePos="0" relativeHeight="223" behindDoc="0" locked="0" layoutInCell="1" allowOverlap="1">
                <wp:simplePos x="0" y="0"/>
                <wp:positionH relativeFrom="column">
                  <wp:posOffset>4576445</wp:posOffset>
                </wp:positionH>
                <wp:positionV relativeFrom="paragraph">
                  <wp:posOffset>1181100</wp:posOffset>
                </wp:positionV>
                <wp:extent cx="2540" cy="2540"/>
                <wp:effectExtent l="0" t="0" r="0" b="0"/>
                <wp:wrapNone/>
                <wp:docPr id="32" name="Slika2"/>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2E39DAEB" id="Slika2" o:spid="_x0000_s1026" style="position:absolute;margin-left:360.35pt;margin-top:93pt;width:.2pt;height:.2pt;z-index:2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" fillcolor="#4472c4" strokecolor="#2f528f" strokeweight=".35mm"/>
            </w:pict>
          </mc:Fallback>
        </mc:AlternateContent>
      </w:r>
      <w:r>
        <w:rPr>
          <w:noProof/>
        </w:rPr>
        <w:drawing>
          <wp:inline distT="0" distB="0" distL="0" distR="0">
            <wp:extent cx="2639060" cy="2258060"/>
            <wp:effectExtent l="0" t="0" r="0" b="0"/>
            <wp:docPr id="33"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ka 62"/>
                    <pic:cNvPicPr>
                      <a:picLocks noChangeAspect="1" noChangeArrowheads="1"/>
                    </pic:cNvPicPr>
                  </pic:nvPicPr>
                  <pic:blipFill>
                    <a:blip r:embed="rId37"/>
                    <a:stretch>
                      <a:fillRect/>
                    </a:stretch>
                  </pic:blipFill>
                  <pic:spPr bwMode="auto">
                    <a:xfrm>
                      <a:off x="0" y="0"/>
                      <a:ext cx="2639060" cy="2258060"/>
                    </a:xfrm>
                    <a:prstGeom prst="rect">
                      <a:avLst/>
                    </a:prstGeom>
                  </pic:spPr>
                </pic:pic>
              </a:graphicData>
            </a:graphic>
          </wp:inline>
        </w:drawing>
      </w:r>
      <w:r>
        <w:t xml:space="preserve">          </w:t>
      </w:r>
      <w:r>
        <w:rPr>
          <w:noProof/>
        </w:rPr>
        <w:drawing>
          <wp:inline distT="0" distB="0" distL="0" distR="0">
            <wp:extent cx="2639060" cy="2258060"/>
            <wp:effectExtent l="0" t="0" r="0" b="0"/>
            <wp:docPr id="34" name="Slik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ka4"/>
                    <pic:cNvPicPr>
                      <a:picLocks noChangeAspect="1" noChangeArrowheads="1"/>
                    </pic:cNvPicPr>
                  </pic:nvPicPr>
                  <pic:blipFill>
                    <a:blip r:embed="rId37"/>
                    <a:stretch>
                      <a:fillRect/>
                    </a:stretch>
                  </pic:blipFill>
                  <pic:spPr bwMode="auto">
                    <a:xfrm>
                      <a:off x="0" y="0"/>
                      <a:ext cx="2639060" cy="2258060"/>
                    </a:xfrm>
                    <a:prstGeom prst="rect">
                      <a:avLst/>
                    </a:prstGeom>
                  </pic:spPr>
                </pic:pic>
              </a:graphicData>
            </a:graphic>
          </wp:inline>
        </w:drawing>
      </w:r>
    </w:p>
    <w:p w:rsidR="008F0D85" w:rsidRDefault="00AE42A1">
      <w:r>
        <w:t xml:space="preserve">                                                                </w:t>
      </w:r>
      <w:r>
        <w:t xml:space="preserve">                                Matrica ukupnog rizika</w:t>
      </w:r>
    </w:p>
    <w:p w:rsidR="008F0D85" w:rsidRDefault="00AE42A1">
      <w:r>
        <w:rPr>
          <w:noProof/>
        </w:rPr>
        <mc:AlternateContent>
          <mc:Choice Requires="wps">
            <w:drawing>
              <wp:anchor distT="0" distB="0" distL="114300" distR="114300" simplePos="0" relativeHeight="224" behindDoc="0" locked="0" layoutInCell="1" allowOverlap="1">
                <wp:simplePos x="0" y="0"/>
                <wp:positionH relativeFrom="column">
                  <wp:posOffset>4252595</wp:posOffset>
                </wp:positionH>
                <wp:positionV relativeFrom="paragraph">
                  <wp:posOffset>1116330</wp:posOffset>
                </wp:positionV>
                <wp:extent cx="2540" cy="2540"/>
                <wp:effectExtent l="0" t="0" r="0" b="0"/>
                <wp:wrapNone/>
                <wp:docPr id="35" name="Slika3"/>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7FAE5E48" id="Slika3" o:spid="_x0000_s1026" style="position:absolute;margin-left:334.85pt;margin-top:87.9pt;width:.2pt;height:.2pt;z-index: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" fillcolor="#4472c4" strokecolor="#2f528f" strokeweight=".35mm"/>
            </w:pict>
          </mc:Fallback>
        </mc:AlternateContent>
      </w:r>
      <w:r>
        <w:rPr>
          <w:noProof/>
        </w:rPr>
        <w:drawing>
          <wp:inline distT="0" distB="0" distL="0" distR="0">
            <wp:extent cx="2324735" cy="924560"/>
            <wp:effectExtent l="0" t="0" r="0" b="0"/>
            <wp:docPr id="36"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ka 79"/>
                    <pic:cNvPicPr>
                      <a:picLocks noChangeAspect="1" noChangeArrowheads="1"/>
                    </pic:cNvPicPr>
                  </pic:nvPicPr>
                  <pic:blipFill>
                    <a:blip r:embed="rId38"/>
                    <a:stretch>
                      <a:fillRect/>
                    </a:stretch>
                  </pic:blipFill>
                  <pic:spPr bwMode="auto">
                    <a:xfrm>
                      <a:off x="0" y="0"/>
                      <a:ext cx="2324735" cy="924560"/>
                    </a:xfrm>
                    <a:prstGeom prst="rect">
                      <a:avLst/>
                    </a:prstGeom>
                  </pic:spPr>
                </pic:pic>
              </a:graphicData>
            </a:graphic>
          </wp:inline>
        </w:drawing>
      </w:r>
      <w:r>
        <w:t xml:space="preserve"> </w:t>
      </w:r>
      <w:r>
        <w:rPr>
          <w:noProof/>
        </w:rPr>
        <w:drawing>
          <wp:inline distT="0" distB="0" distL="0" distR="0">
            <wp:extent cx="3229610" cy="2762885"/>
            <wp:effectExtent l="0" t="0" r="0" b="0"/>
            <wp:docPr id="37" name="Slik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ka5"/>
                    <pic:cNvPicPr>
                      <a:picLocks noChangeAspect="1" noChangeArrowheads="1"/>
                    </pic:cNvPicPr>
                  </pic:nvPicPr>
                  <pic:blipFill>
                    <a:blip r:embed="rId37"/>
                    <a:stretch>
                      <a:fillRect/>
                    </a:stretch>
                  </pic:blipFill>
                  <pic:spPr bwMode="auto">
                    <a:xfrm>
                      <a:off x="0" y="0"/>
                      <a:ext cx="3229610" cy="2762885"/>
                    </a:xfrm>
                    <a:prstGeom prst="rect">
                      <a:avLst/>
                    </a:prstGeom>
                  </pic:spPr>
                </pic:pic>
              </a:graphicData>
            </a:graphic>
          </wp:inline>
        </w:drawing>
      </w:r>
    </w:p>
    <w:p w:rsidR="008F0D85" w:rsidRDefault="008F0D85"/>
    <w:p w:rsidR="008F0D85" w:rsidRDefault="008F0D85">
      <w:pPr>
        <w:rPr>
          <w:rFonts w:cs="Calibri"/>
          <w:szCs w:val="24"/>
        </w:rPr>
      </w:pPr>
    </w:p>
    <w:p w:rsidR="008F0D85" w:rsidRDefault="008F0D85"/>
    <w:p w:rsidR="008F0D85" w:rsidRDefault="00AE42A1">
      <w:pPr>
        <w:pStyle w:val="Naslov3"/>
      </w:pPr>
      <w:bookmarkStart w:id="496" w:name="_Toc512434614"/>
      <w:bookmarkStart w:id="497" w:name="_Toc514240169"/>
      <w:bookmarkStart w:id="498" w:name="_Toc516128272"/>
      <w:bookmarkStart w:id="499" w:name="_Toc527969382"/>
      <w:bookmarkEnd w:id="496"/>
      <w:bookmarkEnd w:id="497"/>
      <w:bookmarkEnd w:id="498"/>
      <w:bookmarkEnd w:id="499"/>
      <w:r>
        <w:t>6.1.4. Izvor podataka</w:t>
      </w:r>
    </w:p>
    <w:p w:rsidR="008F0D85" w:rsidRDefault="008F0D85">
      <w:pPr>
        <w:spacing w:after="0"/>
        <w:rPr>
          <w:b/>
        </w:rPr>
      </w:pPr>
    </w:p>
    <w:p w:rsidR="008F0D85" w:rsidRDefault="00AE42A1">
      <w:pPr>
        <w:numPr>
          <w:ilvl w:val="0"/>
          <w:numId w:val="37"/>
        </w:numPr>
        <w:spacing w:after="51" w:line="240" w:lineRule="auto"/>
        <w:contextualSpacing/>
        <w:jc w:val="left"/>
        <w:rPr>
          <w:rFonts w:cs="Calibri"/>
          <w:color w:val="000000"/>
          <w:sz w:val="20"/>
          <w:szCs w:val="20"/>
          <w:lang w:val="en-US"/>
        </w:rPr>
      </w:pPr>
      <w:r>
        <w:rPr>
          <w:rFonts w:cs="Calibri"/>
          <w:color w:val="000000"/>
          <w:sz w:val="20"/>
          <w:szCs w:val="20"/>
          <w:lang w:val="en-US"/>
        </w:rPr>
        <w:t xml:space="preserve">Državni zavod za statistiku, Popis stanovništva 2011. godine </w:t>
      </w:r>
    </w:p>
    <w:p w:rsidR="008F0D85" w:rsidRDefault="00AE42A1">
      <w:pPr>
        <w:numPr>
          <w:ilvl w:val="0"/>
          <w:numId w:val="37"/>
        </w:numPr>
        <w:spacing w:after="51" w:line="240" w:lineRule="auto"/>
        <w:contextualSpacing/>
        <w:jc w:val="left"/>
        <w:rPr>
          <w:rFonts w:cs="Calibri"/>
          <w:color w:val="000000"/>
          <w:sz w:val="20"/>
          <w:szCs w:val="20"/>
          <w:lang w:val="en-US"/>
        </w:rPr>
      </w:pPr>
      <w:r>
        <w:rPr>
          <w:rFonts w:cs="Calibri"/>
          <w:color w:val="000000"/>
          <w:sz w:val="20"/>
          <w:szCs w:val="20"/>
          <w:lang w:val="en-US"/>
        </w:rPr>
        <w:t>Kriteriji za izradu smjernica koje donose čelnici područne (regionalne) samouprave za potrebe izrade Procjen</w:t>
      </w:r>
      <w:r>
        <w:rPr>
          <w:rFonts w:cs="Calibri"/>
          <w:color w:val="000000"/>
          <w:sz w:val="20"/>
          <w:szCs w:val="20"/>
          <w:lang w:val="en-US"/>
        </w:rPr>
        <w:t xml:space="preserve">a rizika od velikih nesreća na razinama jedinica lokalnih i područnih (regionalnih) samouprave, DUZS, 2016.god. </w:t>
      </w:r>
    </w:p>
    <w:p w:rsidR="008F0D85" w:rsidRDefault="00AE42A1">
      <w:pPr>
        <w:numPr>
          <w:ilvl w:val="0"/>
          <w:numId w:val="37"/>
        </w:numPr>
        <w:spacing w:after="51" w:line="240" w:lineRule="auto"/>
        <w:contextualSpacing/>
        <w:jc w:val="left"/>
        <w:rPr>
          <w:rFonts w:cs="Calibri"/>
          <w:color w:val="000000"/>
          <w:sz w:val="20"/>
          <w:szCs w:val="20"/>
          <w:lang w:val="en-US"/>
        </w:rPr>
      </w:pPr>
      <w:r>
        <w:rPr>
          <w:rFonts w:cs="Calibri"/>
          <w:color w:val="000000"/>
          <w:sz w:val="20"/>
          <w:szCs w:val="20"/>
          <w:lang w:val="en-US"/>
        </w:rPr>
        <w:t xml:space="preserve">Pravilnik o smjernicama za izradu Procjene rizika od katastrofa i velikih nesreća za područje Republike Hrvatske i jedinica lokalne i područne </w:t>
      </w:r>
      <w:r>
        <w:rPr>
          <w:rFonts w:cs="Calibri"/>
          <w:color w:val="000000"/>
          <w:sz w:val="20"/>
          <w:szCs w:val="20"/>
          <w:lang w:val="en-US"/>
        </w:rPr>
        <w:t xml:space="preserve">(regionalne) samouprave (“Narodne Novine” br. 65/16) </w:t>
      </w:r>
    </w:p>
    <w:p w:rsidR="008F0D85" w:rsidRDefault="00AE42A1">
      <w:pPr>
        <w:numPr>
          <w:ilvl w:val="0"/>
          <w:numId w:val="37"/>
        </w:numPr>
        <w:spacing w:after="51" w:line="240" w:lineRule="auto"/>
        <w:contextualSpacing/>
        <w:jc w:val="left"/>
        <w:rPr>
          <w:rFonts w:cs="Calibri"/>
          <w:color w:val="000000"/>
          <w:sz w:val="20"/>
          <w:szCs w:val="20"/>
          <w:lang w:val="en-US"/>
        </w:rPr>
      </w:pPr>
      <w:r>
        <w:rPr>
          <w:rFonts w:cs="Calibri"/>
          <w:color w:val="000000"/>
          <w:sz w:val="20"/>
          <w:szCs w:val="20"/>
          <w:lang w:val="en-US"/>
        </w:rPr>
        <w:t xml:space="preserve">Procjena rizika od katastrofa za Republiku Hrvatsku, 2016.god. </w:t>
      </w:r>
    </w:p>
    <w:p w:rsidR="008F0D85" w:rsidRDefault="00AE42A1">
      <w:pPr>
        <w:numPr>
          <w:ilvl w:val="0"/>
          <w:numId w:val="37"/>
        </w:numPr>
        <w:spacing w:after="51" w:line="240" w:lineRule="auto"/>
        <w:contextualSpacing/>
        <w:jc w:val="left"/>
        <w:rPr>
          <w:rFonts w:cs="Calibri"/>
          <w:color w:val="000000"/>
          <w:sz w:val="20"/>
          <w:szCs w:val="20"/>
          <w:lang w:val="en-US"/>
        </w:rPr>
      </w:pPr>
      <w:r>
        <w:rPr>
          <w:rFonts w:cs="Calibri"/>
          <w:color w:val="000000"/>
          <w:sz w:val="20"/>
          <w:szCs w:val="20"/>
          <w:lang w:val="en-US"/>
        </w:rPr>
        <w:t>Procjena ugroženosti stanovništva, materijalnih i kulturnih dobara i okoliša Općine Kloštar Podravski, 2015.god.</w:t>
      </w:r>
    </w:p>
    <w:p w:rsidR="008F0D85" w:rsidRDefault="00AE42A1">
      <w:pPr>
        <w:numPr>
          <w:ilvl w:val="0"/>
          <w:numId w:val="37"/>
        </w:numPr>
        <w:spacing w:after="51" w:line="240" w:lineRule="auto"/>
        <w:contextualSpacing/>
        <w:jc w:val="left"/>
        <w:rPr>
          <w:rFonts w:cs="Calibri"/>
          <w:color w:val="000000"/>
          <w:sz w:val="20"/>
          <w:szCs w:val="20"/>
          <w:lang w:val="en-US"/>
        </w:rPr>
      </w:pPr>
      <w:r>
        <w:rPr>
          <w:rFonts w:cs="Calibri"/>
          <w:color w:val="000000"/>
          <w:sz w:val="20"/>
          <w:szCs w:val="20"/>
          <w:lang w:val="en-US"/>
        </w:rPr>
        <w:t>Procjena ugroženosti stan</w:t>
      </w:r>
      <w:r>
        <w:rPr>
          <w:rFonts w:cs="Calibri"/>
          <w:color w:val="000000"/>
          <w:sz w:val="20"/>
          <w:szCs w:val="20"/>
          <w:lang w:val="en-US"/>
        </w:rPr>
        <w:t xml:space="preserve">ovništva, materijalnih i kulturnih dobara i okoliša za Koprivničko – križevačku županiju, 2015.god. </w:t>
      </w:r>
    </w:p>
    <w:p w:rsidR="008F0D85" w:rsidRDefault="00AE42A1">
      <w:pPr>
        <w:numPr>
          <w:ilvl w:val="0"/>
          <w:numId w:val="37"/>
        </w:numPr>
        <w:spacing w:after="51" w:line="240" w:lineRule="auto"/>
        <w:contextualSpacing/>
        <w:jc w:val="left"/>
        <w:rPr>
          <w:rFonts w:cs="Calibri"/>
          <w:color w:val="000000"/>
          <w:sz w:val="20"/>
          <w:szCs w:val="20"/>
          <w:lang w:val="en-US"/>
        </w:rPr>
      </w:pPr>
      <w:r>
        <w:rPr>
          <w:rFonts w:cs="Calibri"/>
          <w:color w:val="000000"/>
          <w:sz w:val="20"/>
          <w:szCs w:val="20"/>
          <w:lang w:val="en-US"/>
        </w:rPr>
        <w:lastRenderedPageBreak/>
        <w:t xml:space="preserve">Smjernice za izradu Procjene rizika od velikih nesreća za područje Koprivničko - križevačke županije, 2017.god. </w:t>
      </w:r>
    </w:p>
    <w:p w:rsidR="008F0D85" w:rsidRDefault="00AE42A1">
      <w:pPr>
        <w:numPr>
          <w:ilvl w:val="0"/>
          <w:numId w:val="37"/>
        </w:numPr>
        <w:spacing w:after="51" w:line="240" w:lineRule="auto"/>
        <w:contextualSpacing/>
        <w:jc w:val="left"/>
        <w:rPr>
          <w:rFonts w:cs="Calibri"/>
          <w:color w:val="000000"/>
          <w:sz w:val="20"/>
          <w:szCs w:val="20"/>
          <w:lang w:val="en-US"/>
        </w:rPr>
      </w:pPr>
      <w:r>
        <w:rPr>
          <w:rFonts w:cs="Calibri"/>
          <w:color w:val="000000"/>
          <w:sz w:val="20"/>
          <w:szCs w:val="20"/>
          <w:lang w:val="en-US"/>
        </w:rPr>
        <w:t xml:space="preserve">Zakon o sustavu civilne zaštite (“Narodne </w:t>
      </w:r>
      <w:r>
        <w:rPr>
          <w:rFonts w:cs="Calibri"/>
          <w:color w:val="000000"/>
          <w:sz w:val="20"/>
          <w:szCs w:val="20"/>
          <w:lang w:val="en-US"/>
        </w:rPr>
        <w:t xml:space="preserve">Novine” br. 82/15) </w:t>
      </w:r>
    </w:p>
    <w:p w:rsidR="008F0D85" w:rsidRDefault="00AE42A1">
      <w:pPr>
        <w:numPr>
          <w:ilvl w:val="0"/>
          <w:numId w:val="37"/>
        </w:numPr>
        <w:spacing w:after="51" w:line="240" w:lineRule="auto"/>
        <w:contextualSpacing/>
        <w:jc w:val="left"/>
        <w:rPr>
          <w:rFonts w:cs="Calibri"/>
          <w:color w:val="000000"/>
          <w:sz w:val="20"/>
          <w:szCs w:val="20"/>
          <w:lang w:val="en-US"/>
        </w:rPr>
      </w:pPr>
      <w:r>
        <w:rPr>
          <w:rFonts w:cs="Calibri"/>
          <w:color w:val="000000"/>
          <w:sz w:val="20"/>
          <w:szCs w:val="20"/>
          <w:lang w:val="en-US"/>
        </w:rPr>
        <w:t xml:space="preserve">Zavod za hitnu medicinu Koprivničko – križevačke županije </w:t>
      </w:r>
    </w:p>
    <w:p w:rsidR="008F0D85" w:rsidRDefault="00AE42A1">
      <w:pPr>
        <w:numPr>
          <w:ilvl w:val="0"/>
          <w:numId w:val="37"/>
        </w:numPr>
        <w:spacing w:after="0" w:line="240" w:lineRule="auto"/>
        <w:contextualSpacing/>
        <w:jc w:val="left"/>
        <w:rPr>
          <w:rFonts w:cs="Calibri"/>
          <w:color w:val="000000"/>
          <w:sz w:val="20"/>
          <w:szCs w:val="20"/>
          <w:lang w:val="en-US"/>
        </w:rPr>
      </w:pPr>
      <w:r>
        <w:rPr>
          <w:rFonts w:cs="Calibri"/>
          <w:color w:val="000000"/>
          <w:sz w:val="20"/>
          <w:szCs w:val="20"/>
          <w:lang w:val="en-US"/>
        </w:rPr>
        <w:t xml:space="preserve">Zavod za javno zdravstvo Koprivničko – križevačke županije </w:t>
      </w:r>
    </w:p>
    <w:p w:rsidR="008F0D85" w:rsidRDefault="008F0D85">
      <w:pPr>
        <w:spacing w:after="0" w:line="240" w:lineRule="auto"/>
        <w:contextualSpacing/>
        <w:jc w:val="left"/>
        <w:rPr>
          <w:rFonts w:cs="Calibri"/>
          <w:color w:val="000000"/>
          <w:sz w:val="20"/>
          <w:szCs w:val="20"/>
          <w:lang w:val="en-US"/>
        </w:rPr>
      </w:pPr>
    </w:p>
    <w:p w:rsidR="008F0D85" w:rsidRDefault="008F0D85"/>
    <w:p w:rsidR="008F0D85" w:rsidRDefault="008F0D85"/>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AE42A1">
      <w:pPr>
        <w:pStyle w:val="Naslov2"/>
      </w:pPr>
      <w:bookmarkStart w:id="500" w:name="_Toc512434615"/>
      <w:bookmarkStart w:id="501" w:name="_Toc514240170"/>
      <w:bookmarkStart w:id="502" w:name="_Toc516128273"/>
      <w:bookmarkStart w:id="503" w:name="_Toc527969383"/>
      <w:bookmarkEnd w:id="500"/>
      <w:bookmarkEnd w:id="501"/>
      <w:bookmarkEnd w:id="502"/>
      <w:bookmarkEnd w:id="503"/>
      <w:r>
        <w:t>6.2. Ekstremne vremenske pojave</w:t>
      </w:r>
    </w:p>
    <w:p w:rsidR="008F0D85" w:rsidRDefault="00AE42A1">
      <w:pPr>
        <w:pStyle w:val="Naslov3"/>
      </w:pPr>
      <w:bookmarkStart w:id="504" w:name="_Toc512434616"/>
      <w:bookmarkStart w:id="505" w:name="_Toc514240171"/>
      <w:bookmarkStart w:id="506" w:name="_Toc516128274"/>
      <w:bookmarkStart w:id="507" w:name="_Toc527969384"/>
      <w:bookmarkEnd w:id="504"/>
      <w:bookmarkEnd w:id="505"/>
      <w:bookmarkEnd w:id="506"/>
      <w:bookmarkEnd w:id="507"/>
      <w:r>
        <w:t>6.2.1. RIZIK – Ekstremne temperature</w:t>
      </w:r>
    </w:p>
    <w:p w:rsidR="008F0D85" w:rsidRDefault="00AE42A1">
      <w:pPr>
        <w:pStyle w:val="Naslov4"/>
      </w:pPr>
      <w:bookmarkStart w:id="508" w:name="_Toc512434617"/>
      <w:bookmarkStart w:id="509" w:name="_Toc514240172"/>
      <w:bookmarkStart w:id="510" w:name="_Toc516128275"/>
      <w:bookmarkStart w:id="511" w:name="_Toc527969385"/>
      <w:bookmarkEnd w:id="508"/>
      <w:bookmarkEnd w:id="509"/>
      <w:bookmarkEnd w:id="510"/>
      <w:bookmarkEnd w:id="511"/>
      <w:r>
        <w:t xml:space="preserve">6.2.1.1. NAZIV </w:t>
      </w:r>
      <w:r>
        <w:t>SCENARIJA – Pojava toplinskog vala dužeg trajanja na području Općine</w:t>
      </w:r>
    </w:p>
    <w:p w:rsidR="008F0D85" w:rsidRDefault="008F0D85"/>
    <w:tbl>
      <w:tblPr>
        <w:tblW w:w="9097"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9097"/>
      </w:tblGrid>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Naziv scenarija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pPr>
            <w:r>
              <w:rPr>
                <w:i/>
                <w:sz w:val="20"/>
              </w:rPr>
              <w:t>Pojava toplinskog vala dužeg trajanja na području Općine</w:t>
            </w:r>
          </w:p>
        </w:tc>
      </w:tr>
      <w:tr w:rsidR="008F0D85">
        <w:trPr>
          <w:trHeight w:val="248"/>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Grupa rizika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i/>
                <w:sz w:val="20"/>
              </w:rPr>
              <w:t>Ekstremne vremenske pojave</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Rizik</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i/>
                <w:sz w:val="20"/>
              </w:rPr>
              <w:lastRenderedPageBreak/>
              <w:t>Ekstremne temperature</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Radna skupina</w:t>
            </w:r>
          </w:p>
        </w:tc>
      </w:tr>
      <w:tr w:rsidR="008F0D85">
        <w:trPr>
          <w:trHeight w:val="251"/>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rFonts w:cs="Calibri"/>
                <w:i/>
              </w:rPr>
            </w:pPr>
            <w:r>
              <w:rPr>
                <w:rFonts w:cs="Calibri"/>
                <w:b/>
                <w:sz w:val="20"/>
              </w:rPr>
              <w:t xml:space="preserve">Koordinator: </w:t>
            </w:r>
            <w:r>
              <w:rPr>
                <w:rFonts w:cs="Calibri"/>
                <w:i/>
                <w:sz w:val="20"/>
              </w:rPr>
              <w:t>Ivan Čupen, načelnik Stožera civilne zaštite Općine Kloštar Podravski</w:t>
            </w:r>
          </w:p>
        </w:tc>
      </w:tr>
      <w:tr w:rsidR="008F0D85">
        <w:trPr>
          <w:trHeight w:val="255"/>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tabs>
                <w:tab w:val="left" w:pos="1515"/>
              </w:tabs>
              <w:spacing w:after="0"/>
              <w:rPr>
                <w:rFonts w:cs="Calibri"/>
                <w:i/>
                <w:sz w:val="20"/>
              </w:rPr>
            </w:pPr>
            <w:r>
              <w:rPr>
                <w:rFonts w:cs="Calibri"/>
                <w:b/>
                <w:sz w:val="20"/>
              </w:rPr>
              <w:t xml:space="preserve">Nositelj: </w:t>
            </w:r>
            <w:r>
              <w:rPr>
                <w:rFonts w:cs="Calibri"/>
                <w:i/>
                <w:sz w:val="20"/>
              </w:rPr>
              <w:t>Nataša Martinčević, pročelnica JUO Općine Kloštar Podravski</w:t>
            </w:r>
          </w:p>
        </w:tc>
      </w:tr>
      <w:tr w:rsidR="008F0D85">
        <w:trPr>
          <w:trHeight w:val="248"/>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tabs>
                <w:tab w:val="left" w:pos="1365"/>
              </w:tabs>
              <w:spacing w:after="0"/>
              <w:rPr>
                <w:rFonts w:cs="Calibri"/>
                <w:i/>
                <w:sz w:val="20"/>
              </w:rPr>
            </w:pPr>
            <w:r>
              <w:rPr>
                <w:rFonts w:cs="Calibri"/>
                <w:b/>
                <w:sz w:val="20"/>
              </w:rPr>
              <w:t xml:space="preserve">Izvršitelj: </w:t>
            </w:r>
            <w:r>
              <w:rPr>
                <w:rFonts w:cs="Calibri"/>
                <w:i/>
                <w:sz w:val="20"/>
              </w:rPr>
              <w:t>Ivana Pavunić, medicinska sestra</w:t>
            </w:r>
          </w:p>
        </w:tc>
      </w:tr>
    </w:tbl>
    <w:p w:rsidR="008F0D85" w:rsidRDefault="008F0D85"/>
    <w:p w:rsidR="008F0D85" w:rsidRDefault="00AE42A1">
      <w:pPr>
        <w:pStyle w:val="Naslov4"/>
      </w:pPr>
      <w:bookmarkStart w:id="512" w:name="_Toc512434618"/>
      <w:bookmarkStart w:id="513" w:name="_Toc514240173"/>
      <w:bookmarkStart w:id="514" w:name="_Toc516128276"/>
      <w:bookmarkStart w:id="515" w:name="_Toc527969386"/>
      <w:bookmarkEnd w:id="512"/>
      <w:bookmarkEnd w:id="513"/>
      <w:bookmarkEnd w:id="514"/>
      <w:bookmarkEnd w:id="515"/>
      <w:r>
        <w:t>6.2.1.2. Uvod – Toplinski val</w:t>
      </w:r>
    </w:p>
    <w:p w:rsidR="008F0D85" w:rsidRDefault="00AE42A1">
      <w:r>
        <w:t xml:space="preserve"> </w:t>
      </w:r>
    </w:p>
    <w:p w:rsidR="008F0D85" w:rsidRDefault="00AE42A1">
      <w:r>
        <w:t>Toplinski val predstavlja dugotrajnije razdoblje izrazito toplog vremena te je u većini slučajeva praćen visokim postotkom vlage u zraku. Mjeri se u odnosu na uobičajene temperature za pojedino razdoblje određenog područja. U hladnijim područjima toplinski</w:t>
      </w:r>
      <w:r>
        <w:t xml:space="preserve"> valovi mogu predstavljati temperature koje su uobičajene u toplijim klimatskim područjima, ako se javljaju izvan sezone. Toplinski valovi glavni su uzročnici toplinskih udara, odnosno stanja organizma koje karakterizira povišena tjelesna temperatura koja </w:t>
      </w:r>
      <w:r>
        <w:t>nastaje radi povećane tjelesne aktivnosti u uvjetima visoke temperature i vlage zraka. Toplinski valovi nerijetko izazivaju sunčanicu, prestanak termoregulacije, pretjeranu vrućinu, grčeve, iznenadni kolaps te pad tlaka, glavobolju i slične tegobe. Potrebn</w:t>
      </w:r>
      <w:r>
        <w:t xml:space="preserve">o je napomenuti da su posebno ugrožene skupine: djeca, osobe starije životne dobi, kronični bolesnici te osobe koje rade na otvorenim prostorima. </w:t>
      </w:r>
    </w:p>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AE42A1">
      <w:pPr>
        <w:pStyle w:val="Naslov4"/>
      </w:pPr>
      <w:bookmarkStart w:id="516" w:name="_Toc512434619"/>
      <w:bookmarkStart w:id="517" w:name="_Toc514240174"/>
      <w:bookmarkStart w:id="518" w:name="_Toc516128277"/>
      <w:bookmarkStart w:id="519" w:name="_Toc527969387"/>
      <w:bookmarkEnd w:id="516"/>
      <w:bookmarkEnd w:id="517"/>
      <w:bookmarkEnd w:id="518"/>
      <w:bookmarkEnd w:id="519"/>
      <w:r>
        <w:t>6.2.1.3. Prikaz utjecaja ekstremnih temperatura na kritičnu infrastrukturu (KI)</w:t>
      </w:r>
    </w:p>
    <w:p w:rsidR="008F0D85" w:rsidRDefault="008F0D85"/>
    <w:tbl>
      <w:tblPr>
        <w:tblW w:w="9107"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958"/>
        <w:gridCol w:w="8149"/>
      </w:tblGrid>
      <w:tr w:rsidR="008F0D85">
        <w:trPr>
          <w:trHeight w:val="384"/>
          <w:tblHeader/>
          <w:jc w:val="center"/>
        </w:trPr>
        <w:tc>
          <w:tcPr>
            <w:tcW w:w="95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Utjecaj</w:t>
            </w:r>
          </w:p>
        </w:tc>
        <w:tc>
          <w:tcPr>
            <w:tcW w:w="814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Sektor</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Komunikacijska i informacijska tehnologija (elektroničke komunikacije, prijenos podataka, informacijski sustavi, pružanje audio i audiovizualnih medijskih usluga)</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Promet (cestovni, željeznički, zračni, pomorski i promet unutarnjim plovnim </w:t>
            </w:r>
            <w:r>
              <w:rPr>
                <w:sz w:val="20"/>
                <w:szCs w:val="20"/>
              </w:rPr>
              <w:t>putevima)</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Zdravstvo (zdravstvena zaštita, proizvodnja, promet i nadzor nad lijekovima)</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Vodno gospodarstvo (regulacijske i zaštitne vodne građevine i komunalne vodne građevine)</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Hrana (proizvodnja i opskrba hranom i sustav sigurnosti hrane, robne zalihe) </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Financije (bankarstvo, burze, investicije, sustavi osiguranja i plaćanja)</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Proizvodnja, skladištenje i prijevoz opasnih tvari (kemijski, biološki, radiološki i </w:t>
            </w:r>
            <w:r>
              <w:rPr>
                <w:sz w:val="20"/>
                <w:szCs w:val="20"/>
              </w:rPr>
              <w:t>nuklearni materijali)</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Javne službe (osiguranje javnog reda i mira, zaštita i spašavanje, hitna medicinska pomoć)</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Nacionalni spomenici i vrijednosti</w:t>
            </w:r>
          </w:p>
        </w:tc>
      </w:tr>
    </w:tbl>
    <w:p w:rsidR="008F0D85" w:rsidRDefault="008F0D85">
      <w:pPr>
        <w:shd w:val="clear" w:color="auto" w:fill="FFFFFF"/>
        <w:rPr>
          <w:rFonts w:cs="Calibri"/>
          <w:szCs w:val="24"/>
        </w:rPr>
      </w:pPr>
    </w:p>
    <w:p w:rsidR="008F0D85" w:rsidRDefault="00AE42A1">
      <w:pPr>
        <w:pStyle w:val="Naslov4"/>
      </w:pPr>
      <w:bookmarkStart w:id="520" w:name="_Toc512434620"/>
      <w:bookmarkStart w:id="521" w:name="_Toc514240175"/>
      <w:bookmarkStart w:id="522" w:name="_Toc516128278"/>
      <w:bookmarkStart w:id="523" w:name="_Toc527969388"/>
      <w:r>
        <w:t>6.2.1.4. Kontekst – Toplinski val</w:t>
      </w:r>
      <w:bookmarkEnd w:id="520"/>
      <w:bookmarkEnd w:id="521"/>
      <w:bookmarkEnd w:id="522"/>
      <w:bookmarkEnd w:id="523"/>
      <w:r>
        <w:t xml:space="preserve"> </w:t>
      </w:r>
    </w:p>
    <w:p w:rsidR="008F0D85" w:rsidRDefault="008F0D85"/>
    <w:p w:rsidR="008F0D85" w:rsidRDefault="00AE42A1">
      <w:r>
        <w:t xml:space="preserve">Sustavnim praćenjem klimatoloških prilika Hrvatske utvrđen je </w:t>
      </w:r>
      <w:r>
        <w:t>trend porasta prosječne temperature, promjene količine padalina, kao i veće varijacije klime. Nastavi li se sadašnji trend, u idućih 30 godina na području Hrvatske zimi se očekuje porast temperature do 0,6 °C, a ljeti do 1 °C, dok se će se količina oborina</w:t>
      </w:r>
      <w:r>
        <w:t xml:space="preserve"> neznatno mijenjati. U razdoblju između 2040. i 2070. godine očekuje se još veći porast prosječne mjesečne temperature između 1,6 °C i 3 °C, a količina oborina na obali značajno će se smanjiti tijekom ljetnih mjeseci. Promjena klime direktno utječe na nači</w:t>
      </w:r>
      <w:r>
        <w:t>n gospodarenja vodama, bilo da se radi o većoj potrebi za navodnjavanjem poljoprivrednih površina (povećanje temperature) ili potrebi za većim stupnjem obrane od visokih voda (povećanje oborina). Smanjenjem količine oborina dolazi do pada vodnoga lica te j</w:t>
      </w:r>
      <w:r>
        <w:t>e potrebno uložiti veću energiju za crpljenje podzemne vode. Slijedom navedenoga, klimatološke značajke prepoznate su kao izražen i bitan problem te izazov u budućem planiranju korištenja voda u Republici Hrvatskoj.</w:t>
      </w:r>
    </w:p>
    <w:p w:rsidR="008F0D85" w:rsidRDefault="00AE42A1">
      <w:pPr>
        <w:spacing w:after="0"/>
        <w:rPr>
          <w:szCs w:val="24"/>
        </w:rPr>
      </w:pPr>
      <w:r>
        <w:rPr>
          <w:szCs w:val="24"/>
        </w:rPr>
        <w:t xml:space="preserve">U klimatskom pogledu prostor Općine ima </w:t>
      </w:r>
      <w:r>
        <w:rPr>
          <w:szCs w:val="24"/>
        </w:rPr>
        <w:t>osobine svježih klima kontinentalnog tipa. Kako na prostoru Općine ne postoji postaja koja mjeri sve meteorološke pojave: temperaturu, naoblaku, vjetrove i neke padalinske pokazatelje uzeti su podaci meteorološke postaje Virovitica i Koprivnica.</w:t>
      </w:r>
    </w:p>
    <w:p w:rsidR="008F0D85" w:rsidRDefault="00AE42A1">
      <w:pPr>
        <w:spacing w:after="0"/>
        <w:rPr>
          <w:szCs w:val="24"/>
        </w:rPr>
      </w:pPr>
      <w:r>
        <w:rPr>
          <w:szCs w:val="24"/>
        </w:rPr>
        <w:t xml:space="preserve">Prosječna </w:t>
      </w:r>
      <w:r>
        <w:rPr>
          <w:szCs w:val="24"/>
        </w:rPr>
        <w:t>godišnja temperatura iznosi 10,0</w:t>
      </w:r>
      <w:r>
        <w:rPr>
          <w:szCs w:val="24"/>
          <w:vertAlign w:val="superscript"/>
        </w:rPr>
        <w:t>0</w:t>
      </w:r>
      <w:r>
        <w:rPr>
          <w:szCs w:val="24"/>
        </w:rPr>
        <w:t>C. Temperature zraka su u porastu od srpnja kada dosežu svoj maksimum, a nakon toga u padu sve do siječnja. Srednja godišnja amplituda od 20,0</w:t>
      </w:r>
      <w:r>
        <w:rPr>
          <w:szCs w:val="24"/>
          <w:vertAlign w:val="superscript"/>
        </w:rPr>
        <w:t>0</w:t>
      </w:r>
      <w:r>
        <w:rPr>
          <w:szCs w:val="24"/>
        </w:rPr>
        <w:t>C ukazuje na prijelazne klimatske osobine područja Općine. Najhladnije razdoblje</w:t>
      </w:r>
      <w:r>
        <w:rPr>
          <w:szCs w:val="24"/>
        </w:rPr>
        <w:t xml:space="preserve"> tijekom zime je u siječnju i veljači kada je srednje Podravlje pod utjecajem hladnih zračnih masa sibirske anticiklone. U tom razdoblju zabilježene su i najniže temperature ( -27,5</w:t>
      </w:r>
      <w:r>
        <w:rPr>
          <w:szCs w:val="24"/>
          <w:vertAlign w:val="superscript"/>
        </w:rPr>
        <w:t>0</w:t>
      </w:r>
      <w:r>
        <w:rPr>
          <w:szCs w:val="24"/>
        </w:rPr>
        <w:t>C, 16.02.1956.). Budući da prevladavaju nizinska područja, ljetne temperat</w:t>
      </w:r>
      <w:r>
        <w:rPr>
          <w:szCs w:val="24"/>
        </w:rPr>
        <w:t>ure su često visoke. Tako je apsolutni maksimum dostigao 39,9</w:t>
      </w:r>
      <w:r>
        <w:rPr>
          <w:szCs w:val="24"/>
          <w:vertAlign w:val="superscript"/>
        </w:rPr>
        <w:t>0</w:t>
      </w:r>
      <w:r>
        <w:rPr>
          <w:szCs w:val="24"/>
        </w:rPr>
        <w:t xml:space="preserve">C ( 15.08.1950.). </w:t>
      </w:r>
    </w:p>
    <w:p w:rsidR="008F0D85" w:rsidRDefault="00AE42A1">
      <w:pPr>
        <w:spacing w:after="0"/>
        <w:rPr>
          <w:szCs w:val="24"/>
        </w:rPr>
      </w:pPr>
      <w:r>
        <w:rPr>
          <w:szCs w:val="24"/>
        </w:rPr>
        <w:t>Tijekom godine ima 90,5 dana s mrazom. Najviše ih je u zimskom razdoblju, a manje u jesen i proljeće. Ako se mraz pojavi u vegetacijskom periodu ( 01.04.-30.09.) ima negativan</w:t>
      </w:r>
      <w:r>
        <w:rPr>
          <w:szCs w:val="24"/>
        </w:rPr>
        <w:t xml:space="preserve"> utjecaj na određene poljodjelske kulture. Najneugodniji je svakako travanj u početku vegetacijskog perioda (moguć je u prosjeku 4,2 dana). Iako rijetko, kao rezultat prodora polarnih zračnih masa, mraz je mogući i tijekom svibnja ( 0,3 dana u prosjeku). </w:t>
      </w:r>
    </w:p>
    <w:p w:rsidR="008F0D85" w:rsidRDefault="008F0D85">
      <w:pPr>
        <w:spacing w:after="0"/>
        <w:rPr>
          <w:szCs w:val="24"/>
        </w:rPr>
      </w:pPr>
    </w:p>
    <w:p w:rsidR="008F0D85" w:rsidRDefault="00AE42A1">
      <w:pPr>
        <w:spacing w:after="0"/>
        <w:rPr>
          <w:szCs w:val="24"/>
        </w:rPr>
      </w:pPr>
      <w:r>
        <w:rPr>
          <w:szCs w:val="24"/>
        </w:rPr>
        <w:lastRenderedPageBreak/>
        <w:t>U Općini godišnje u prosjeku padne 878 mm padalina (Virovitica 808 mm). U godišnjem hodu padalina izdvajaju se dva maksimuma, primarni u lipnju i sekundarni u listopadu. Količina padalina karakteristika su zimskih mjeseci (siječanj i veljača) i kasnog lje</w:t>
      </w:r>
      <w:r>
        <w:rPr>
          <w:szCs w:val="24"/>
        </w:rPr>
        <w:t>ta (kolovoz) te početka jeseni (rujan). Vegetacijski period u prosjeku (504 mm) ima relativno veoma povoljan padalinski raspored. Svibanjski i lipanjski maksimum povoljna je okolnost za veći broj poljoprivrednih kultura. Kiše u tom razdoblju najčešće su pl</w:t>
      </w:r>
      <w:r>
        <w:rPr>
          <w:szCs w:val="24"/>
        </w:rPr>
        <w:t>juskovitog karaktera. Snijeg je najčešći u prosincu, siječnju i veljači. Snježni pokrivač se u prosjeku zadržava na tlu 33,7 dana. Za učestalost vjetrova uzeti su podaci najbližih meteoroloških postaja (Koprivnica i Virovitica) za razdoblje 1966.-1995. Slo</w:t>
      </w:r>
      <w:r>
        <w:rPr>
          <w:szCs w:val="24"/>
        </w:rPr>
        <w:t>bodno se može konstatirati da je sjeverozapadnjak i jugozapadnjak najučestaliji vjetar. Nešto veća učestalost jugozapadnjaka i južnjaka kod Koprivnice je lokalna pojava uvjetovana reljefnim odnosima ( Lepavinski prijevoj). Relativno su značajna strujanja z</w:t>
      </w:r>
      <w:r>
        <w:rPr>
          <w:szCs w:val="24"/>
        </w:rPr>
        <w:t xml:space="preserve">raka iz pravca sjeveroistoka i jugoistoka i sjevera, dok su tišine osobine ljetnih mjeseci. </w:t>
      </w:r>
    </w:p>
    <w:p w:rsidR="008F0D85" w:rsidRDefault="008F0D85">
      <w:pPr>
        <w:spacing w:after="0"/>
        <w:rPr>
          <w:szCs w:val="24"/>
        </w:rPr>
      </w:pPr>
    </w:p>
    <w:p w:rsidR="008F0D85" w:rsidRDefault="008F0D85">
      <w:pPr>
        <w:spacing w:after="0"/>
        <w:rPr>
          <w:szCs w:val="24"/>
        </w:rPr>
      </w:pPr>
    </w:p>
    <w:p w:rsidR="008F0D85" w:rsidRDefault="008F0D85">
      <w:pPr>
        <w:spacing w:after="0"/>
        <w:rPr>
          <w:szCs w:val="24"/>
        </w:rPr>
      </w:pPr>
    </w:p>
    <w:p w:rsidR="008F0D85" w:rsidRDefault="00AE42A1">
      <w:pPr>
        <w:spacing w:after="0" w:line="240" w:lineRule="auto"/>
        <w:ind w:right="42"/>
        <w:jc w:val="center"/>
      </w:pPr>
      <w:r>
        <w:rPr>
          <w:noProof/>
        </w:rPr>
        <w:drawing>
          <wp:inline distT="0" distB="0" distL="0" distR="0">
            <wp:extent cx="5191760" cy="3801110"/>
            <wp:effectExtent l="0" t="0" r="0" b="0"/>
            <wp:docPr id="3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 18"/>
                    <pic:cNvPicPr>
                      <a:picLocks noChangeAspect="1" noChangeArrowheads="1"/>
                    </pic:cNvPicPr>
                  </pic:nvPicPr>
                  <pic:blipFill>
                    <a:blip r:embed="rId39"/>
                    <a:stretch>
                      <a:fillRect/>
                    </a:stretch>
                  </pic:blipFill>
                  <pic:spPr bwMode="auto">
                    <a:xfrm>
                      <a:off x="0" y="0"/>
                      <a:ext cx="5191760" cy="3801110"/>
                    </a:xfrm>
                    <a:prstGeom prst="rect">
                      <a:avLst/>
                    </a:prstGeom>
                  </pic:spPr>
                </pic:pic>
              </a:graphicData>
            </a:graphic>
          </wp:inline>
        </w:drawing>
      </w:r>
    </w:p>
    <w:p w:rsidR="008F0D85" w:rsidRDefault="00AE42A1">
      <w:pPr>
        <w:spacing w:after="0" w:line="240" w:lineRule="auto"/>
        <w:rPr>
          <w:rFonts w:cs="Arial"/>
          <w:b/>
          <w:bCs/>
          <w:sz w:val="20"/>
          <w:szCs w:val="20"/>
        </w:rPr>
      </w:pPr>
      <w:bookmarkStart w:id="524" w:name="_Toc512434790"/>
      <w:bookmarkStart w:id="525" w:name="_Toc514240396"/>
      <w:bookmarkStart w:id="526" w:name="_Toc516128478"/>
      <w:bookmarkStart w:id="527" w:name="_Toc527969580"/>
      <w:r>
        <w:rPr>
          <w:rFonts w:cs="Arial"/>
          <w:b/>
          <w:bCs/>
          <w:sz w:val="20"/>
          <w:szCs w:val="20"/>
        </w:rPr>
        <w:t xml:space="preserve">Slika </w:t>
      </w:r>
      <w:r>
        <w:rPr>
          <w:rFonts w:cs="Arial"/>
          <w:b/>
          <w:bCs/>
          <w:sz w:val="20"/>
          <w:szCs w:val="20"/>
        </w:rPr>
        <w:fldChar w:fldCharType="begin"/>
      </w:r>
      <w:r>
        <w:instrText>SEQ Slika \* ARABIC</w:instrText>
      </w:r>
      <w:r>
        <w:fldChar w:fldCharType="separate"/>
      </w:r>
      <w:r>
        <w:t>8</w:t>
      </w:r>
      <w:r>
        <w:fldChar w:fldCharType="end"/>
      </w:r>
      <w:bookmarkEnd w:id="524"/>
      <w:bookmarkEnd w:id="525"/>
      <w:bookmarkEnd w:id="526"/>
      <w:bookmarkEnd w:id="527"/>
      <w:r>
        <w:rPr>
          <w:rFonts w:cs="Arial"/>
          <w:b/>
          <w:bCs/>
          <w:sz w:val="20"/>
          <w:szCs w:val="20"/>
        </w:rPr>
        <w:t>: Odstupanje srednje mjesečne temperature zraka od višegodišnjeg prosjeka za razdoblje 1961. - 1990.god. za srpanj 2017.god.</w:t>
      </w:r>
    </w:p>
    <w:p w:rsidR="008F0D85" w:rsidRDefault="00AE42A1">
      <w:pPr>
        <w:spacing w:after="0" w:line="240" w:lineRule="auto"/>
        <w:rPr>
          <w:sz w:val="20"/>
          <w:szCs w:val="20"/>
        </w:rPr>
      </w:pPr>
      <w:bookmarkStart w:id="528" w:name="_Hlk497907854"/>
      <w:bookmarkEnd w:id="528"/>
      <w:r>
        <w:rPr>
          <w:sz w:val="20"/>
          <w:szCs w:val="20"/>
        </w:rPr>
        <w:t>Izvo</w:t>
      </w:r>
      <w:r>
        <w:rPr>
          <w:sz w:val="20"/>
          <w:szCs w:val="20"/>
        </w:rPr>
        <w:t>r: Državni hidrometeorološki zavod, 2017.god.</w:t>
      </w:r>
    </w:p>
    <w:p w:rsidR="008F0D85" w:rsidRDefault="00AE42A1">
      <w:pPr>
        <w:spacing w:after="0" w:line="240" w:lineRule="auto"/>
        <w:jc w:val="center"/>
      </w:pPr>
      <w:r>
        <w:rPr>
          <w:noProof/>
        </w:rPr>
        <w:lastRenderedPageBreak/>
        <w:drawing>
          <wp:inline distT="0" distB="0" distL="0" distR="0">
            <wp:extent cx="5553710" cy="3953510"/>
            <wp:effectExtent l="0" t="0" r="0" b="0"/>
            <wp:docPr id="3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ka 19"/>
                    <pic:cNvPicPr>
                      <a:picLocks noChangeAspect="1" noChangeArrowheads="1"/>
                    </pic:cNvPicPr>
                  </pic:nvPicPr>
                  <pic:blipFill>
                    <a:blip r:embed="rId40"/>
                    <a:stretch>
                      <a:fillRect/>
                    </a:stretch>
                  </pic:blipFill>
                  <pic:spPr bwMode="auto">
                    <a:xfrm>
                      <a:off x="0" y="0"/>
                      <a:ext cx="5553710" cy="3953510"/>
                    </a:xfrm>
                    <a:prstGeom prst="rect">
                      <a:avLst/>
                    </a:prstGeom>
                  </pic:spPr>
                </pic:pic>
              </a:graphicData>
            </a:graphic>
          </wp:inline>
        </w:drawing>
      </w:r>
    </w:p>
    <w:p w:rsidR="008F0D85" w:rsidRDefault="00AE42A1">
      <w:pPr>
        <w:spacing w:after="0" w:line="240" w:lineRule="auto"/>
        <w:rPr>
          <w:rFonts w:cs="Arial"/>
          <w:b/>
          <w:bCs/>
          <w:sz w:val="20"/>
          <w:szCs w:val="20"/>
        </w:rPr>
      </w:pPr>
      <w:bookmarkStart w:id="529" w:name="_Toc512434791"/>
      <w:bookmarkStart w:id="530" w:name="_Toc514240397"/>
      <w:bookmarkStart w:id="531" w:name="_Toc516128479"/>
      <w:bookmarkStart w:id="532" w:name="_Toc527969581"/>
      <w:r>
        <w:rPr>
          <w:rFonts w:cs="Arial"/>
          <w:b/>
          <w:bCs/>
          <w:sz w:val="20"/>
          <w:szCs w:val="20"/>
        </w:rPr>
        <w:t xml:space="preserve">Slika </w:t>
      </w:r>
      <w:r>
        <w:rPr>
          <w:rFonts w:cs="Arial"/>
          <w:b/>
          <w:bCs/>
          <w:sz w:val="20"/>
          <w:szCs w:val="20"/>
        </w:rPr>
        <w:fldChar w:fldCharType="begin"/>
      </w:r>
      <w:r>
        <w:instrText>SEQ Slika \* ARABIC</w:instrText>
      </w:r>
      <w:r>
        <w:fldChar w:fldCharType="separate"/>
      </w:r>
      <w:r>
        <w:t>9</w:t>
      </w:r>
      <w:r>
        <w:fldChar w:fldCharType="end"/>
      </w:r>
      <w:bookmarkEnd w:id="529"/>
      <w:bookmarkEnd w:id="530"/>
      <w:bookmarkEnd w:id="531"/>
      <w:bookmarkEnd w:id="532"/>
      <w:r>
        <w:rPr>
          <w:rFonts w:cs="Arial"/>
          <w:b/>
          <w:bCs/>
          <w:sz w:val="20"/>
          <w:szCs w:val="20"/>
        </w:rPr>
        <w:t>: Odstupanje srednje mjesečne temperature zraka od višegodišnjeg prosjeka za razdoblje 1961. - 1990.god. za kolovoz 2017.god.</w:t>
      </w:r>
    </w:p>
    <w:p w:rsidR="008F0D85" w:rsidRDefault="00AE42A1">
      <w:pPr>
        <w:spacing w:after="0" w:line="240" w:lineRule="auto"/>
        <w:rPr>
          <w:rFonts w:cs="Arial"/>
          <w:bCs/>
          <w:sz w:val="20"/>
          <w:szCs w:val="20"/>
        </w:rPr>
      </w:pPr>
      <w:r>
        <w:rPr>
          <w:rFonts w:cs="Arial"/>
          <w:bCs/>
          <w:sz w:val="20"/>
          <w:szCs w:val="20"/>
        </w:rPr>
        <w:t xml:space="preserve">Izvor: Državni hidrometeorološki zavod, </w:t>
      </w:r>
      <w:r>
        <w:rPr>
          <w:rFonts w:cs="Arial"/>
          <w:bCs/>
          <w:sz w:val="20"/>
          <w:szCs w:val="20"/>
        </w:rPr>
        <w:t>2017.god.</w:t>
      </w:r>
    </w:p>
    <w:p w:rsidR="008F0D85" w:rsidRDefault="008F0D85">
      <w:pPr>
        <w:spacing w:after="0" w:line="240" w:lineRule="auto"/>
        <w:rPr>
          <w:rFonts w:cs="Arial"/>
          <w:bCs/>
          <w:sz w:val="20"/>
          <w:szCs w:val="20"/>
        </w:rPr>
      </w:pPr>
    </w:p>
    <w:p w:rsidR="008F0D85" w:rsidRDefault="00AE42A1">
      <w:pPr>
        <w:spacing w:after="0"/>
        <w:jc w:val="center"/>
      </w:pPr>
      <w:r>
        <w:rPr>
          <w:noProof/>
        </w:rPr>
        <w:drawing>
          <wp:inline distT="0" distB="0" distL="0" distR="0">
            <wp:extent cx="5144135" cy="3524885"/>
            <wp:effectExtent l="0" t="0" r="0" b="0"/>
            <wp:docPr id="40"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ka 38"/>
                    <pic:cNvPicPr>
                      <a:picLocks noChangeAspect="1" noChangeArrowheads="1"/>
                    </pic:cNvPicPr>
                  </pic:nvPicPr>
                  <pic:blipFill>
                    <a:blip r:embed="rId41"/>
                    <a:stretch>
                      <a:fillRect/>
                    </a:stretch>
                  </pic:blipFill>
                  <pic:spPr bwMode="auto">
                    <a:xfrm>
                      <a:off x="0" y="0"/>
                      <a:ext cx="5144135" cy="3524885"/>
                    </a:xfrm>
                    <a:prstGeom prst="rect">
                      <a:avLst/>
                    </a:prstGeom>
                  </pic:spPr>
                </pic:pic>
              </a:graphicData>
            </a:graphic>
          </wp:inline>
        </w:drawing>
      </w:r>
    </w:p>
    <w:p w:rsidR="008F0D85" w:rsidRDefault="00AE42A1">
      <w:pPr>
        <w:spacing w:after="0" w:line="360" w:lineRule="auto"/>
        <w:rPr>
          <w:rFonts w:cs="Arial"/>
          <w:b/>
          <w:bCs/>
          <w:sz w:val="20"/>
          <w:szCs w:val="20"/>
        </w:rPr>
      </w:pPr>
      <w:bookmarkStart w:id="533" w:name="_Toc516128511"/>
      <w:bookmarkStart w:id="534" w:name="_Toc527969605"/>
      <w:r>
        <w:rPr>
          <w:rFonts w:cs="Arial"/>
          <w:b/>
          <w:bCs/>
          <w:sz w:val="20"/>
          <w:szCs w:val="20"/>
        </w:rPr>
        <w:t xml:space="preserve">Grafikon </w:t>
      </w:r>
      <w:r>
        <w:rPr>
          <w:rFonts w:cs="Arial"/>
          <w:b/>
          <w:bCs/>
          <w:sz w:val="20"/>
          <w:szCs w:val="20"/>
        </w:rPr>
        <w:fldChar w:fldCharType="begin"/>
      </w:r>
      <w:r>
        <w:instrText>SEQ Grafikon \* ARABIC</w:instrText>
      </w:r>
      <w:r>
        <w:fldChar w:fldCharType="separate"/>
      </w:r>
      <w:r>
        <w:t>4</w:t>
      </w:r>
      <w:r>
        <w:fldChar w:fldCharType="end"/>
      </w:r>
      <w:bookmarkEnd w:id="533"/>
      <w:bookmarkEnd w:id="534"/>
      <w:r>
        <w:rPr>
          <w:rFonts w:cs="Arial"/>
          <w:b/>
          <w:bCs/>
          <w:sz w:val="20"/>
          <w:szCs w:val="20"/>
        </w:rPr>
        <w:t>: Prikaz 90 najtoplijih dana od početka meteoroloških motrenja 1861. - 2017.god. Zagreb – Grič</w:t>
      </w:r>
    </w:p>
    <w:p w:rsidR="008F0D85" w:rsidRDefault="00AE42A1">
      <w:pPr>
        <w:spacing w:after="0" w:line="240" w:lineRule="auto"/>
        <w:rPr>
          <w:sz w:val="20"/>
          <w:szCs w:val="20"/>
        </w:rPr>
      </w:pPr>
      <w:r>
        <w:rPr>
          <w:sz w:val="20"/>
          <w:szCs w:val="20"/>
        </w:rPr>
        <w:t>Izvor: DHMZ, 2018.god.</w:t>
      </w:r>
    </w:p>
    <w:p w:rsidR="008F0D85" w:rsidRDefault="008F0D85">
      <w:pPr>
        <w:ind w:right="42"/>
      </w:pPr>
    </w:p>
    <w:p w:rsidR="008F0D85" w:rsidRDefault="00AE42A1">
      <w:pPr>
        <w:jc w:val="center"/>
      </w:pPr>
      <w:r>
        <w:rPr>
          <w:noProof/>
        </w:rPr>
        <w:lastRenderedPageBreak/>
        <w:drawing>
          <wp:inline distT="0" distB="0" distL="0" distR="0">
            <wp:extent cx="5753735" cy="2896235"/>
            <wp:effectExtent l="0" t="0" r="0" b="0"/>
            <wp:docPr id="41"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ka 39"/>
                    <pic:cNvPicPr>
                      <a:picLocks noChangeAspect="1" noChangeArrowheads="1"/>
                    </pic:cNvPicPr>
                  </pic:nvPicPr>
                  <pic:blipFill>
                    <a:blip r:embed="rId42"/>
                    <a:stretch>
                      <a:fillRect/>
                    </a:stretch>
                  </pic:blipFill>
                  <pic:spPr bwMode="auto">
                    <a:xfrm>
                      <a:off x="0" y="0"/>
                      <a:ext cx="5753735" cy="2896235"/>
                    </a:xfrm>
                    <a:prstGeom prst="rect">
                      <a:avLst/>
                    </a:prstGeom>
                  </pic:spPr>
                </pic:pic>
              </a:graphicData>
            </a:graphic>
          </wp:inline>
        </w:drawing>
      </w:r>
    </w:p>
    <w:p w:rsidR="008F0D85" w:rsidRDefault="00AE42A1">
      <w:pPr>
        <w:spacing w:after="0" w:line="360" w:lineRule="auto"/>
        <w:rPr>
          <w:rFonts w:cs="Arial"/>
          <w:b/>
          <w:bCs/>
          <w:sz w:val="20"/>
          <w:szCs w:val="20"/>
        </w:rPr>
      </w:pPr>
      <w:bookmarkStart w:id="535" w:name="_Toc512434816"/>
      <w:bookmarkStart w:id="536" w:name="_Toc514240423"/>
      <w:bookmarkStart w:id="537" w:name="_Toc516128512"/>
      <w:bookmarkStart w:id="538" w:name="_Toc527969606"/>
      <w:r>
        <w:rPr>
          <w:rFonts w:cs="Arial"/>
          <w:b/>
          <w:bCs/>
          <w:sz w:val="20"/>
          <w:szCs w:val="20"/>
        </w:rPr>
        <w:t xml:space="preserve">Grafikon </w:t>
      </w:r>
      <w:r>
        <w:rPr>
          <w:rFonts w:cs="Arial"/>
          <w:b/>
          <w:bCs/>
          <w:sz w:val="20"/>
          <w:szCs w:val="20"/>
        </w:rPr>
        <w:fldChar w:fldCharType="begin"/>
      </w:r>
      <w:r>
        <w:instrText>SEQ Grafikon \* ARABIC</w:instrText>
      </w:r>
      <w:r>
        <w:fldChar w:fldCharType="separate"/>
      </w:r>
      <w:r>
        <w:t>5</w:t>
      </w:r>
      <w:r>
        <w:fldChar w:fldCharType="end"/>
      </w:r>
      <w:bookmarkEnd w:id="535"/>
      <w:bookmarkEnd w:id="536"/>
      <w:bookmarkEnd w:id="537"/>
      <w:bookmarkEnd w:id="538"/>
      <w:r>
        <w:rPr>
          <w:rFonts w:cs="Arial"/>
          <w:b/>
          <w:bCs/>
          <w:sz w:val="20"/>
          <w:szCs w:val="20"/>
        </w:rPr>
        <w:t xml:space="preserve">: Prikaz srednje mjesečne temperature zraka, </w:t>
      </w:r>
      <w:r>
        <w:rPr>
          <w:rFonts w:cs="Arial"/>
          <w:b/>
          <w:bCs/>
          <w:sz w:val="20"/>
          <w:szCs w:val="20"/>
        </w:rPr>
        <w:t>postaja Zagreb - Grič u razdoblju 1861. - 2017.god.</w:t>
      </w:r>
    </w:p>
    <w:p w:rsidR="008F0D85" w:rsidRDefault="00AE42A1">
      <w:pPr>
        <w:rPr>
          <w:sz w:val="20"/>
          <w:szCs w:val="20"/>
        </w:rPr>
      </w:pPr>
      <w:r>
        <w:rPr>
          <w:sz w:val="20"/>
          <w:szCs w:val="20"/>
        </w:rPr>
        <w:t>Izvor: DHMZ, 2018.god.</w:t>
      </w:r>
    </w:p>
    <w:p w:rsidR="008F0D85" w:rsidRDefault="00AE42A1">
      <w:pPr>
        <w:spacing w:after="0"/>
        <w:rPr>
          <w:rFonts w:cs="Calibri"/>
          <w:szCs w:val="24"/>
          <w:highlight w:val="white"/>
        </w:rPr>
      </w:pPr>
      <w:r>
        <w:rPr>
          <w:rFonts w:cs="Calibri"/>
          <w:szCs w:val="24"/>
          <w:shd w:val="clear" w:color="auto" w:fill="FFFFFF"/>
        </w:rPr>
        <w:t>Srednja mjesečna temperatura zraka za srpanj 2017. godine bila je u cijeloj Hrvatskoj iznad višegodišnjeg prosjeka (1961. - 1990.) na što ukazuju pozitivne anomalije srednje mjesečn</w:t>
      </w:r>
      <w:r>
        <w:rPr>
          <w:rFonts w:cs="Calibri"/>
          <w:szCs w:val="24"/>
          <w:shd w:val="clear" w:color="auto" w:fill="FFFFFF"/>
        </w:rPr>
        <w:t>e temperature zraka. Odstupanja srednje mjesečne temperature zraka bila su u rasponu od 1,5°C (Komiža) do 3,7°C (Zagreb-Grič).</w:t>
      </w:r>
    </w:p>
    <w:p w:rsidR="008F0D85" w:rsidRDefault="00AE42A1">
      <w:pPr>
        <w:spacing w:after="0"/>
        <w:rPr>
          <w:rFonts w:cs="Calibri"/>
          <w:szCs w:val="24"/>
          <w:highlight w:val="white"/>
        </w:rPr>
      </w:pPr>
      <w:r>
        <w:rPr>
          <w:rFonts w:cs="Calibri"/>
          <w:szCs w:val="24"/>
          <w:shd w:val="clear" w:color="auto" w:fill="FFFFFF"/>
        </w:rPr>
        <w:t>Prema raspodjeli postotaka, toplinske prilike u Hrvatskoj za srpanj 2017. godine opisane su dominantnom kategorijom </w:t>
      </w:r>
      <w:r>
        <w:rPr>
          <w:rFonts w:cs="Calibri"/>
          <w:bCs/>
          <w:szCs w:val="24"/>
          <w:shd w:val="clear" w:color="auto" w:fill="FFFFFF"/>
        </w:rPr>
        <w:t>ekstremno top</w:t>
      </w:r>
      <w:r>
        <w:rPr>
          <w:rFonts w:cs="Calibri"/>
          <w:bCs/>
          <w:szCs w:val="24"/>
          <w:shd w:val="clear" w:color="auto" w:fill="FFFFFF"/>
        </w:rPr>
        <w:t>lo</w:t>
      </w:r>
      <w:r>
        <w:rPr>
          <w:rFonts w:cs="Calibri"/>
          <w:szCs w:val="24"/>
          <w:shd w:val="clear" w:color="auto" w:fill="FFFFFF"/>
        </w:rPr>
        <w:t> dok se šire područje Pazina, Rijeke i Senja, dio srednjeg Jadrana te dio istočne Hrvatske nalazi u kategoriji </w:t>
      </w:r>
      <w:r>
        <w:rPr>
          <w:rFonts w:cs="Calibri"/>
          <w:bCs/>
          <w:szCs w:val="24"/>
          <w:shd w:val="clear" w:color="auto" w:fill="FFFFFF"/>
        </w:rPr>
        <w:t>vrlo toplo</w:t>
      </w:r>
      <w:r>
        <w:rPr>
          <w:rFonts w:cs="Calibri"/>
          <w:szCs w:val="24"/>
          <w:shd w:val="clear" w:color="auto" w:fill="FFFFFF"/>
        </w:rPr>
        <w:t>.</w:t>
      </w:r>
    </w:p>
    <w:p w:rsidR="008F0D85" w:rsidRDefault="008F0D85">
      <w:pPr>
        <w:spacing w:after="0"/>
        <w:rPr>
          <w:rFonts w:cs="Calibri"/>
          <w:szCs w:val="24"/>
          <w:highlight w:val="white"/>
        </w:rPr>
      </w:pPr>
    </w:p>
    <w:p w:rsidR="008F0D85" w:rsidRDefault="00AE42A1">
      <w:pPr>
        <w:spacing w:after="0"/>
        <w:rPr>
          <w:rFonts w:cs="Calibri"/>
          <w:szCs w:val="24"/>
          <w:highlight w:val="white"/>
        </w:rPr>
      </w:pPr>
      <w:r>
        <w:rPr>
          <w:rFonts w:cs="Calibri"/>
          <w:szCs w:val="24"/>
          <w:shd w:val="clear" w:color="auto" w:fill="FFFFFF"/>
        </w:rPr>
        <w:t>Očigledan je i dalje pozitivan trend srednje godišnje temperature zraka (1,06°C/100 god) za Zagreb-Grič. Navedeno ukazuje na činje</w:t>
      </w:r>
      <w:r>
        <w:rPr>
          <w:rFonts w:cs="Calibri"/>
          <w:szCs w:val="24"/>
          <w:shd w:val="clear" w:color="auto" w:fill="FFFFFF"/>
        </w:rPr>
        <w:t>nicu da temperatura zraka u Hrvatskoj i dalje prati trend globalnog zatopljenja s izvjesnim međugodišnjim kolebanjima.</w:t>
      </w:r>
    </w:p>
    <w:p w:rsidR="008F0D85" w:rsidRDefault="008F0D85">
      <w:pPr>
        <w:spacing w:after="0"/>
        <w:rPr>
          <w:rFonts w:cs="Calibri"/>
          <w:szCs w:val="24"/>
          <w:highlight w:val="white"/>
        </w:rPr>
      </w:pPr>
    </w:p>
    <w:p w:rsidR="008F0D85" w:rsidRDefault="00AE42A1">
      <w:pPr>
        <w:pStyle w:val="Naslov4"/>
      </w:pPr>
      <w:bookmarkStart w:id="539" w:name="_Toc512434621"/>
      <w:bookmarkStart w:id="540" w:name="_Toc514240176"/>
      <w:bookmarkStart w:id="541" w:name="_Toc516128279"/>
      <w:bookmarkStart w:id="542" w:name="_Toc527969389"/>
      <w:bookmarkEnd w:id="539"/>
      <w:bookmarkEnd w:id="540"/>
      <w:bookmarkEnd w:id="541"/>
      <w:bookmarkEnd w:id="542"/>
      <w:r>
        <w:t>6.2.1.5. Uzrok pojave toplinskog vala</w:t>
      </w:r>
    </w:p>
    <w:p w:rsidR="008F0D85" w:rsidRDefault="008F0D85"/>
    <w:p w:rsidR="008F0D85" w:rsidRDefault="00AE42A1">
      <w:pPr>
        <w:rPr>
          <w:rFonts w:cs="Calibri"/>
          <w:szCs w:val="24"/>
        </w:rPr>
      </w:pPr>
      <w:bookmarkStart w:id="543" w:name="_Hlk503351329"/>
      <w:bookmarkStart w:id="544" w:name="_Hlk497908257"/>
      <w:bookmarkEnd w:id="543"/>
      <w:r>
        <w:rPr>
          <w:rFonts w:cs="Calibri"/>
          <w:color w:val="000000"/>
          <w:szCs w:val="24"/>
          <w:shd w:val="clear" w:color="auto" w:fill="FFFFFF"/>
        </w:rPr>
        <w:t>Godina 2016. zabilježena je kao najtoplija godina na Zemlji od 1880-ih godina kada je počelo suvr</w:t>
      </w:r>
      <w:r>
        <w:rPr>
          <w:rFonts w:cs="Calibri"/>
          <w:color w:val="000000"/>
          <w:szCs w:val="24"/>
          <w:shd w:val="clear" w:color="auto" w:fill="FFFFFF"/>
        </w:rPr>
        <w:t xml:space="preserve">emeno praćenje meteoroloških i klimatskih podataka i to je već treća godina zaredom koju </w:t>
      </w:r>
      <w:r>
        <w:rPr>
          <w:rFonts w:cs="Calibri"/>
          <w:szCs w:val="24"/>
          <w:shd w:val="clear" w:color="auto" w:fill="FFFFFF"/>
        </w:rPr>
        <w:t>su obilježile rekordno visoke temperature</w:t>
      </w:r>
      <w:bookmarkEnd w:id="544"/>
      <w:r>
        <w:rPr>
          <w:rFonts w:cs="Calibri"/>
          <w:szCs w:val="24"/>
          <w:shd w:val="clear" w:color="auto" w:fill="FFFFFF"/>
        </w:rPr>
        <w:t>. </w:t>
      </w:r>
    </w:p>
    <w:p w:rsidR="008F0D85" w:rsidRDefault="00AE42A1">
      <w:pPr>
        <w:rPr>
          <w:rFonts w:cs="Calibri"/>
          <w:szCs w:val="24"/>
          <w:highlight w:val="white"/>
        </w:rPr>
      </w:pPr>
      <w:bookmarkStart w:id="545" w:name="_Hlk497908267"/>
      <w:r>
        <w:rPr>
          <w:rFonts w:cs="Calibri"/>
          <w:bCs/>
          <w:szCs w:val="24"/>
          <w:shd w:val="clear" w:color="auto" w:fill="FFFFFF"/>
        </w:rPr>
        <w:t>Toplinski val,</w:t>
      </w:r>
      <w:r>
        <w:rPr>
          <w:rFonts w:cs="Calibri"/>
          <w:color w:val="4E4E4E"/>
          <w:szCs w:val="24"/>
        </w:rPr>
        <w:t xml:space="preserve"> </w:t>
      </w:r>
      <w:r>
        <w:rPr>
          <w:rFonts w:cs="Calibri"/>
          <w:szCs w:val="24"/>
        </w:rPr>
        <w:t>odnosno ekstremna toplina nekog kraja </w:t>
      </w:r>
      <w:r>
        <w:rPr>
          <w:rFonts w:cs="Calibri"/>
          <w:szCs w:val="24"/>
          <w:shd w:val="clear" w:color="auto" w:fill="FFFFFF"/>
        </w:rPr>
        <w:t>je dugotrajnije razdoblje izrazito toplog vremena, točnije</w:t>
      </w:r>
      <w:r>
        <w:rPr>
          <w:rFonts w:cs="Calibri"/>
          <w:color w:val="4E4E4E"/>
          <w:szCs w:val="24"/>
        </w:rPr>
        <w:t xml:space="preserve"> </w:t>
      </w:r>
      <w:r>
        <w:rPr>
          <w:rFonts w:cs="Calibri"/>
          <w:szCs w:val="24"/>
        </w:rPr>
        <w:t>definira se kao ljetna temperatura zraka koja je značajno viša od prosječne temperature u istom periodu godine</w:t>
      </w:r>
      <w:bookmarkEnd w:id="545"/>
      <w:r>
        <w:rPr>
          <w:rFonts w:cs="Calibri"/>
          <w:szCs w:val="24"/>
          <w:shd w:val="clear" w:color="auto" w:fill="FFFFFF"/>
        </w:rPr>
        <w:t xml:space="preserve"> nerijetko praćenog i visokim postotkom vlage u zraku.  Mjeri se u odnosu na uobičajeno vrijeme određenog područja, u odnosu na uobičajene tempera</w:t>
      </w:r>
      <w:r>
        <w:rPr>
          <w:rFonts w:cs="Calibri"/>
          <w:szCs w:val="24"/>
          <w:shd w:val="clear" w:color="auto" w:fill="FFFFFF"/>
        </w:rPr>
        <w:t xml:space="preserve">ture nekog razdoblja ili sezone. Temperature koje su za toplija klimatska </w:t>
      </w:r>
      <w:r>
        <w:rPr>
          <w:rFonts w:cs="Calibri"/>
          <w:szCs w:val="24"/>
          <w:shd w:val="clear" w:color="auto" w:fill="FFFFFF"/>
        </w:rPr>
        <w:lastRenderedPageBreak/>
        <w:t>područja normalne i uobičajene, u hladnijem području mogu predstavljati  toplinski val ako su izvan uobičajenog vremenskog obrasca tog područja.</w:t>
      </w:r>
    </w:p>
    <w:p w:rsidR="008F0D85" w:rsidRDefault="00AE42A1">
      <w:pPr>
        <w:pStyle w:val="Naslov5"/>
      </w:pPr>
      <w:bookmarkStart w:id="546" w:name="_Toc512434622"/>
      <w:bookmarkStart w:id="547" w:name="_Toc514240177"/>
      <w:bookmarkStart w:id="548" w:name="_Toc516128280"/>
      <w:bookmarkStart w:id="549" w:name="_Toc527969390"/>
      <w:bookmarkStart w:id="550" w:name="_Hlk5033513291"/>
      <w:bookmarkEnd w:id="546"/>
      <w:bookmarkEnd w:id="547"/>
      <w:bookmarkEnd w:id="548"/>
      <w:bookmarkEnd w:id="549"/>
      <w:bookmarkEnd w:id="550"/>
      <w:r>
        <w:t>6.2.1.5.1. Razvoj događaja koji preth</w:t>
      </w:r>
      <w:r>
        <w:t>odi velikoj nesreći uslijed pojave toplinskog vala</w:t>
      </w:r>
    </w:p>
    <w:p w:rsidR="008F0D85" w:rsidRDefault="008F0D85"/>
    <w:p w:rsidR="008F0D85" w:rsidRDefault="00AE42A1">
      <w:bookmarkStart w:id="551" w:name="_Hlk503351375"/>
      <w:bookmarkEnd w:id="551"/>
      <w:r>
        <w:t>Visoke temperature izuzetno su opasne za određene skupine stanovništva. Prvenstveno su to mala djeca, starije osobe, pretili i kronični bolesnici, posebno srčano-žilni, plućni i psihički bolesnici. Uziman</w:t>
      </w:r>
      <w:r>
        <w:t>je nekih lijekova može povećati osjetljivost na visoke temperature. Lijekovi za liječenje Parkinsonove bolesti mogu smanjiti znojenje, koje nam je nužno za rashlađivanje, a diuretici (za izlučivanje tekućine), mogu dovesti do smanjene količine znoja i dehi</w:t>
      </w:r>
      <w:r>
        <w:t>dracije. Visoke temperature i izlaganje suncu mogu i kod zdravih osoba izazvati razne tegobe, od onih izravnih, kao što su sunčanica i toplotni udar, do neizravnih, kao što su dehidracija i opće loše stanje. Općenito, pri višim temperaturama javlja se umor</w:t>
      </w:r>
      <w:r>
        <w:t>, tromost, težina u cijelom tijelu, pospanost, dekoncentracija i otežano disanje.</w:t>
      </w:r>
    </w:p>
    <w:p w:rsidR="008F0D85" w:rsidRDefault="00AE42A1">
      <w:r>
        <w:t>Dodatni utjecaj na razmjer posljedica imaju i često promjene vremena u ljetnim mjesecima, odnosno varijacije temperatura, točnije hladniji ljetni dani koje prati nagli rast t</w:t>
      </w:r>
      <w:r>
        <w:t xml:space="preserve">emperature s povećanim udjelom vlage u zraku. </w:t>
      </w:r>
    </w:p>
    <w:p w:rsidR="008F0D85" w:rsidRDefault="00AE42A1">
      <w:r>
        <w:t>Pojava toplinskog vala karakteristična je pojava na području Općine. Valja napomenuti da pravovremeno upozoravanje na pojavu toplinskog vala te praćenje uputa o ponašanju od strane stanovništva može spriječiti</w:t>
      </w:r>
      <w:r>
        <w:t xml:space="preserve"> broj ljudi i životinja koji kojima se javljaju posljedice od pojave toplinskog vala. </w:t>
      </w:r>
    </w:p>
    <w:p w:rsidR="008F0D85" w:rsidRDefault="00AE42A1">
      <w:pPr>
        <w:pStyle w:val="Naslov5"/>
      </w:pPr>
      <w:bookmarkStart w:id="552" w:name="_Toc512434623"/>
      <w:bookmarkStart w:id="553" w:name="_Toc514240178"/>
      <w:bookmarkStart w:id="554" w:name="_Toc516128281"/>
      <w:bookmarkStart w:id="555" w:name="_Toc527969391"/>
      <w:bookmarkStart w:id="556" w:name="_Hlk5033513751"/>
      <w:bookmarkEnd w:id="552"/>
      <w:bookmarkEnd w:id="553"/>
      <w:bookmarkEnd w:id="554"/>
      <w:bookmarkEnd w:id="555"/>
      <w:bookmarkEnd w:id="556"/>
      <w:r>
        <w:t>6.2.1.5.2. Okidač koji je uzrokovao veliku nesreću uslijed pojave toplinskog vala</w:t>
      </w:r>
    </w:p>
    <w:p w:rsidR="008F0D85" w:rsidRDefault="008F0D85"/>
    <w:p w:rsidR="008F0D85" w:rsidRDefault="00AE42A1">
      <w:r>
        <w:t>Ignoriranje upozorenja o pojavi toplinskih valova značajno utječe na stanovništvo te s</w:t>
      </w:r>
      <w:r>
        <w:t>točni fond i poljoprivredni urod. Ne provođenje pravovremenih mjera zaštite rezultira simptomima toplinskog udara kod stanovništva te stočnog fonda i propadanja uroda. Posljedice se javljaju boravkom stanovništva na direktnom suncu te u zatvorenim prostori</w:t>
      </w:r>
      <w:r>
        <w:t xml:space="preserve">jama koje nemaju adekvatan rashladni sistem, odnosno nema potrebnog prozračivanja ili provjetravanja posebno u uvjetima visoke vlage u zraku. </w:t>
      </w:r>
    </w:p>
    <w:p w:rsidR="008F0D85" w:rsidRDefault="00AE42A1">
      <w:r>
        <w:t>Velika količina vlage u zraku opasna je kako za ljudski, tako i za životinjski organizam jer sprječava isparavanj</w:t>
      </w:r>
      <w:r>
        <w:t xml:space="preserve">e vode s kože što je važno za hlađenje organizma. Također, nagli izlasci iz previše rashlađenih prostora, pogotovo automobila dovode do stanja šoka organizma radi prekratkog vremena prilagodbe na nagle promjene temperature. </w:t>
      </w:r>
    </w:p>
    <w:p w:rsidR="008F0D85" w:rsidRDefault="00AE42A1">
      <w:pPr>
        <w:spacing w:after="0"/>
      </w:pPr>
      <w:r>
        <w:t>Rizičnim skupinama posebice osj</w:t>
      </w:r>
      <w:r>
        <w:t xml:space="preserve">etljive na izloženost toplinskim valovima odnosno visokim temperaturama smatraju se: </w:t>
      </w:r>
    </w:p>
    <w:p w:rsidR="008F0D85" w:rsidRDefault="00AE42A1">
      <w:pPr>
        <w:numPr>
          <w:ilvl w:val="0"/>
          <w:numId w:val="38"/>
        </w:numPr>
        <w:suppressAutoHyphens/>
        <w:spacing w:after="0"/>
        <w:textAlignment w:val="baseline"/>
      </w:pPr>
      <w:r>
        <w:t>osobe starije od 65 godina,</w:t>
      </w:r>
    </w:p>
    <w:p w:rsidR="008F0D85" w:rsidRDefault="00AE42A1">
      <w:pPr>
        <w:numPr>
          <w:ilvl w:val="0"/>
          <w:numId w:val="38"/>
        </w:numPr>
        <w:suppressAutoHyphens/>
        <w:spacing w:after="0"/>
        <w:textAlignment w:val="baseline"/>
      </w:pPr>
      <w:r>
        <w:t xml:space="preserve">djeca mlađa od 4 godine, </w:t>
      </w:r>
    </w:p>
    <w:p w:rsidR="008F0D85" w:rsidRDefault="00AE42A1">
      <w:pPr>
        <w:numPr>
          <w:ilvl w:val="0"/>
          <w:numId w:val="38"/>
        </w:numPr>
        <w:suppressAutoHyphens/>
        <w:spacing w:after="0"/>
        <w:textAlignment w:val="baseline"/>
      </w:pPr>
      <w:r>
        <w:lastRenderedPageBreak/>
        <w:t xml:space="preserve">trudnice, </w:t>
      </w:r>
    </w:p>
    <w:p w:rsidR="008F0D85" w:rsidRDefault="00AE42A1">
      <w:pPr>
        <w:numPr>
          <w:ilvl w:val="0"/>
          <w:numId w:val="38"/>
        </w:numPr>
        <w:suppressAutoHyphens/>
        <w:spacing w:after="0"/>
        <w:textAlignment w:val="baseline"/>
      </w:pPr>
      <w:r>
        <w:t xml:space="preserve">teško pokretne osobe, invalidi, </w:t>
      </w:r>
    </w:p>
    <w:p w:rsidR="008F0D85" w:rsidRDefault="00AE42A1">
      <w:pPr>
        <w:numPr>
          <w:ilvl w:val="0"/>
          <w:numId w:val="38"/>
        </w:numPr>
        <w:suppressAutoHyphens/>
        <w:spacing w:after="0"/>
        <w:textAlignment w:val="baseline"/>
      </w:pPr>
      <w:r>
        <w:t xml:space="preserve">osobe koje boluju od raznih kroničnih bolesti, </w:t>
      </w:r>
    </w:p>
    <w:p w:rsidR="008F0D85" w:rsidRDefault="00AE42A1">
      <w:pPr>
        <w:numPr>
          <w:ilvl w:val="0"/>
          <w:numId w:val="38"/>
        </w:numPr>
        <w:suppressAutoHyphens/>
        <w:spacing w:after="0"/>
        <w:textAlignment w:val="baseline"/>
      </w:pPr>
      <w:r>
        <w:t xml:space="preserve">radnici koji rade na otvorenom bez adekvatne zaštitne opreme, </w:t>
      </w:r>
    </w:p>
    <w:p w:rsidR="008F0D85" w:rsidRDefault="00AE42A1">
      <w:pPr>
        <w:numPr>
          <w:ilvl w:val="0"/>
          <w:numId w:val="38"/>
        </w:numPr>
        <w:suppressAutoHyphens/>
        <w:spacing w:after="0"/>
        <w:textAlignment w:val="baseline"/>
      </w:pPr>
      <w:r>
        <w:t>pretile osobe,</w:t>
      </w:r>
    </w:p>
    <w:p w:rsidR="008F0D85" w:rsidRDefault="00AE42A1">
      <w:pPr>
        <w:numPr>
          <w:ilvl w:val="0"/>
          <w:numId w:val="38"/>
        </w:numPr>
        <w:suppressAutoHyphens/>
        <w:spacing w:after="0"/>
        <w:textAlignment w:val="baseline"/>
      </w:pPr>
      <w:r>
        <w:t>osobe koje žive same, bez pomoći drugih (socijalna izolacija).</w:t>
      </w:r>
    </w:p>
    <w:p w:rsidR="008F0D85" w:rsidRDefault="008F0D85">
      <w:pPr>
        <w:suppressAutoHyphens/>
        <w:spacing w:after="0"/>
        <w:ind w:left="1080"/>
        <w:textAlignment w:val="baseline"/>
      </w:pPr>
    </w:p>
    <w:p w:rsidR="008F0D85" w:rsidRDefault="00AE42A1">
      <w:pPr>
        <w:rPr>
          <w:szCs w:val="24"/>
        </w:rPr>
      </w:pPr>
      <w:r>
        <w:rPr>
          <w:szCs w:val="24"/>
        </w:rPr>
        <w:t>Rizični čimbenici koji utječu na posljedice uslijed izloženosti to</w:t>
      </w:r>
      <w:r>
        <w:rPr>
          <w:szCs w:val="24"/>
        </w:rPr>
        <w:t xml:space="preserve">plinskim valovima su: </w:t>
      </w:r>
    </w:p>
    <w:p w:rsidR="008F0D85" w:rsidRDefault="00AE42A1">
      <w:pPr>
        <w:numPr>
          <w:ilvl w:val="0"/>
          <w:numId w:val="39"/>
        </w:numPr>
        <w:contextualSpacing/>
        <w:rPr>
          <w:szCs w:val="24"/>
          <w:lang w:val="en-US"/>
        </w:rPr>
      </w:pPr>
      <w:r>
        <w:rPr>
          <w:szCs w:val="24"/>
          <w:lang w:val="en-US"/>
        </w:rPr>
        <w:t>nedostatak klimatizacijskih uređaja u radnim i stambenim prostorima,</w:t>
      </w:r>
    </w:p>
    <w:p w:rsidR="008F0D85" w:rsidRDefault="00AE42A1">
      <w:pPr>
        <w:numPr>
          <w:ilvl w:val="0"/>
          <w:numId w:val="39"/>
        </w:numPr>
        <w:contextualSpacing/>
        <w:rPr>
          <w:szCs w:val="24"/>
          <w:lang w:val="en-US"/>
        </w:rPr>
      </w:pPr>
      <w:r>
        <w:rPr>
          <w:szCs w:val="24"/>
          <w:lang w:val="en-US"/>
        </w:rPr>
        <w:t>loša termoizolacija i stara infrastruktura zgrada,</w:t>
      </w:r>
    </w:p>
    <w:p w:rsidR="008F0D85" w:rsidRDefault="00AE42A1">
      <w:pPr>
        <w:numPr>
          <w:ilvl w:val="0"/>
          <w:numId w:val="39"/>
        </w:numPr>
        <w:contextualSpacing/>
        <w:rPr>
          <w:szCs w:val="24"/>
          <w:lang w:val="en-US"/>
        </w:rPr>
      </w:pPr>
      <w:r>
        <w:rPr>
          <w:szCs w:val="24"/>
          <w:lang w:val="en-US"/>
        </w:rPr>
        <w:t>život u gradskim (urbanim) sredinama,</w:t>
      </w:r>
    </w:p>
    <w:p w:rsidR="008F0D85" w:rsidRDefault="00AE42A1">
      <w:pPr>
        <w:numPr>
          <w:ilvl w:val="0"/>
          <w:numId w:val="39"/>
        </w:numPr>
        <w:contextualSpacing/>
        <w:rPr>
          <w:szCs w:val="24"/>
          <w:lang w:val="en-US"/>
        </w:rPr>
      </w:pPr>
      <w:r>
        <w:rPr>
          <w:szCs w:val="24"/>
          <w:lang w:val="en-US"/>
        </w:rPr>
        <w:t xml:space="preserve">nedostatak biljne vegetacije i zelenila u gradskim sredinama, </w:t>
      </w:r>
    </w:p>
    <w:p w:rsidR="008F0D85" w:rsidRDefault="00AE42A1">
      <w:pPr>
        <w:numPr>
          <w:ilvl w:val="0"/>
          <w:numId w:val="39"/>
        </w:numPr>
        <w:contextualSpacing/>
        <w:rPr>
          <w:szCs w:val="24"/>
          <w:lang w:val="en-US"/>
        </w:rPr>
      </w:pPr>
      <w:bookmarkStart w:id="557" w:name="_Hlk503351438"/>
      <w:bookmarkEnd w:id="557"/>
      <w:r>
        <w:rPr>
          <w:szCs w:val="24"/>
          <w:lang w:val="en-US"/>
        </w:rPr>
        <w:t>stanovanje (</w:t>
      </w:r>
      <w:r>
        <w:rPr>
          <w:szCs w:val="24"/>
          <w:lang w:val="en-US"/>
        </w:rPr>
        <w:t>rad) na zadnjim katovima ili ispod samog krova zgrada.</w:t>
      </w:r>
    </w:p>
    <w:p w:rsidR="008F0D85" w:rsidRDefault="008F0D85">
      <w:pPr>
        <w:contextualSpacing/>
        <w:rPr>
          <w:szCs w:val="24"/>
          <w:lang w:val="en-US"/>
        </w:rPr>
      </w:pPr>
    </w:p>
    <w:p w:rsidR="008F0D85" w:rsidRDefault="008F0D85">
      <w:pPr>
        <w:spacing w:after="0"/>
        <w:rPr>
          <w:rFonts w:cs="Calibri"/>
          <w:szCs w:val="24"/>
          <w:highlight w:val="white"/>
        </w:rPr>
      </w:pPr>
    </w:p>
    <w:p w:rsidR="008F0D85" w:rsidRDefault="008F0D85">
      <w:pPr>
        <w:spacing w:after="0" w:line="240" w:lineRule="auto"/>
        <w:rPr>
          <w:sz w:val="20"/>
          <w:szCs w:val="20"/>
        </w:rPr>
      </w:pPr>
      <w:bookmarkStart w:id="558" w:name="_Hlk503351188"/>
      <w:bookmarkEnd w:id="558"/>
    </w:p>
    <w:p w:rsidR="008F0D85" w:rsidRDefault="008F0D85">
      <w:pPr>
        <w:ind w:right="42"/>
      </w:pPr>
    </w:p>
    <w:p w:rsidR="008F0D85" w:rsidRDefault="00AE42A1">
      <w:pPr>
        <w:pStyle w:val="Naslov3"/>
      </w:pPr>
      <w:bookmarkStart w:id="559" w:name="_Toc512434624"/>
      <w:bookmarkStart w:id="560" w:name="_Toc514240179"/>
      <w:bookmarkStart w:id="561" w:name="_Toc516128282"/>
      <w:bookmarkStart w:id="562" w:name="_Toc527969392"/>
      <w:bookmarkEnd w:id="559"/>
      <w:bookmarkEnd w:id="560"/>
      <w:bookmarkEnd w:id="561"/>
      <w:bookmarkEnd w:id="562"/>
      <w:r>
        <w:t>6.2.2. Opis događaja – Ekstremne temperature</w:t>
      </w:r>
    </w:p>
    <w:p w:rsidR="008F0D85" w:rsidRDefault="00AE42A1">
      <w:pPr>
        <w:pStyle w:val="Naslov4"/>
      </w:pPr>
      <w:bookmarkStart w:id="563" w:name="_Toc512434625"/>
      <w:bookmarkStart w:id="564" w:name="_Toc514240180"/>
      <w:bookmarkStart w:id="565" w:name="_Toc516128283"/>
      <w:bookmarkStart w:id="566" w:name="_Toc527969393"/>
      <w:bookmarkEnd w:id="563"/>
      <w:bookmarkEnd w:id="564"/>
      <w:bookmarkEnd w:id="565"/>
      <w:bookmarkEnd w:id="566"/>
      <w:r>
        <w:t>6.2.2.1. Događaj s najgorim mogućim posljedicama – Pojava toplinskog vala dužeg trajanja na području Općine</w:t>
      </w:r>
    </w:p>
    <w:p w:rsidR="008F0D85" w:rsidRDefault="008F0D85"/>
    <w:p w:rsidR="008F0D85" w:rsidRDefault="00AE42A1">
      <w:r>
        <w:t>Nastupilo je vrijeme klimatskih promjena. Č</w:t>
      </w:r>
      <w:r>
        <w:t>este promjene vremena koje variraju na većim ljestvicama izrazito negativno utječu na ljudski organizam. Toplinski valovi predstavljaju dugotrajnije razdoblje i produženi period izrazito toplog vremena i visokih temperatura, udruženi s visokim postotkom vl</w:t>
      </w:r>
      <w:r>
        <w:t>age u zraku. Ekstremne toplinske događaje karakteriziraju povišene temperature, više i od 38°C kroz duži niz dana te ustajala i topla zračna masa s toplim noćima iznad uobičajenog prosjeka. Toplinski valovi, uz porast dnevne, ali i noćne temperature, ugrož</w:t>
      </w:r>
      <w:r>
        <w:t xml:space="preserve">avaju zdravlje ljudi. </w:t>
      </w:r>
    </w:p>
    <w:p w:rsidR="008F0D85" w:rsidRDefault="00AE42A1">
      <w:bookmarkStart w:id="567" w:name="_Hlk503351516"/>
      <w:bookmarkStart w:id="568" w:name="_Hlk497908646"/>
      <w:bookmarkEnd w:id="567"/>
      <w:bookmarkEnd w:id="568"/>
      <w:r>
        <w:t>Zdravstveni problemi javljaju se kada organizam više nije u mogućnosti održavati normalnu tjelesnu temperaturu. Kod nagle pojave toplinskog vala u pretpostavljenom trajanju od 10 dana javljaju se poremećaji u prehrani stanovništva št</w:t>
      </w:r>
      <w:r>
        <w:t xml:space="preserve">o uzrokuje poremećaje u organizmu nastale lošom i nepravilnom prehranom u vrijeme velikih vrućina. </w:t>
      </w:r>
    </w:p>
    <w:p w:rsidR="008F0D85" w:rsidRDefault="00AE42A1">
      <w:r>
        <w:rPr>
          <w:u w:val="single"/>
        </w:rPr>
        <w:t>Učinci toplinskih valova u dužem trajanju od 10 dana</w:t>
      </w:r>
    </w:p>
    <w:p w:rsidR="008F0D85" w:rsidRDefault="00AE42A1">
      <w:pPr>
        <w:numPr>
          <w:ilvl w:val="0"/>
          <w:numId w:val="40"/>
        </w:numPr>
        <w:jc w:val="left"/>
      </w:pPr>
      <w:r>
        <w:t>Sunčanica</w:t>
      </w:r>
    </w:p>
    <w:p w:rsidR="008F0D85" w:rsidRDefault="00AE42A1">
      <w:r>
        <w:t>Nastaje i kao rezultat zajedničkog djelovanja opće hipertermije i lokalnog ozračenja infracrvenim zrakama nezaštićenog zatiljnog dijela glave. Ugrožene su sve osobe koje se dugotrajno izlažu sunčevim zrakama ako nemaju pokrivalo za glavu. Osobito su podlož</w:t>
      </w:r>
      <w:r>
        <w:t xml:space="preserve">ne osobe svijetle puti, osobe bez kose te djeca i starije osobe koje se i inače slabije </w:t>
      </w:r>
      <w:r>
        <w:lastRenderedPageBreak/>
        <w:t xml:space="preserve">prilagođavaju naglim promjenama temperature. Blagi ili umjereni simptomi sunčanice su: crvenilo lica, edemi, sinkopa, grčevi, iscrpljenost, suha i topla koža, tjelesna </w:t>
      </w:r>
      <w:r>
        <w:t xml:space="preserve">temperatura iznad normalne, srčani ritam i disanje su ubrzani, zatim glavobolja, problemi s vidom, vrtoglavica, šum u ušima, nemir, pospanost, nemogućnost orijentacije u vremenu i prostoru. U težim slučajevima može nastati proširenje zjenica, omamljenost, </w:t>
      </w:r>
      <w:r>
        <w:t xml:space="preserve">nesvjestica te na kraju koma i smrt. </w:t>
      </w:r>
    </w:p>
    <w:p w:rsidR="008F0D85" w:rsidRDefault="00AE42A1">
      <w:pPr>
        <w:numPr>
          <w:ilvl w:val="0"/>
          <w:numId w:val="40"/>
        </w:numPr>
        <w:jc w:val="left"/>
      </w:pPr>
      <w:r>
        <w:t>Toplinski udar</w:t>
      </w:r>
    </w:p>
    <w:p w:rsidR="008F0D85" w:rsidRDefault="00AE42A1">
      <w:r>
        <w:t>Nastaje nakon dugog i intenzivnog izlaganja visokim temperaturama, kada tijelo više ne može regulirati tjelesnu temperaturu i ne može se rashladiti. U takvim slučajevima tjelesna temperatura može naglo n</w:t>
      </w:r>
      <w:r>
        <w:t>arasti te u razmaku od 10 do 15 minuta dosegnuti i preko 41°C. Toplinski udar može se pojaviti iznenada, bez prethodnih simptoma iscrpljenosti vrućinom i opasno je stanje iz kojeg se organizam ne može izvući sam. Svi takvi bolesnici umiru ako im se ne pruž</w:t>
      </w:r>
      <w:r>
        <w:t>i pomoć. Potrebno je hitno pružanje liječničke pomoći, jer može uzrokovati trajni invaliditet ili smrt. Simptomi toplinskog udara su: vrlo visoka tjelesna temperatura iznad 40°C, crvena, suha i vruća koža, bez znoja, izuzetno brzi otkucaji srca, vrtoglavic</w:t>
      </w:r>
      <w:r>
        <w:t>a, glavobolja, umor, mučnina i povraćanje, zbunjenost, delirij ili gubitak svijesti, nedostatak zraka pa sve do grčeva te krvi u urinu ili stolici.</w:t>
      </w:r>
    </w:p>
    <w:p w:rsidR="008F0D85" w:rsidRDefault="00AE42A1">
      <w:pPr>
        <w:numPr>
          <w:ilvl w:val="0"/>
          <w:numId w:val="40"/>
        </w:numPr>
        <w:jc w:val="left"/>
      </w:pPr>
      <w:r>
        <w:t>Toplinski grčevi</w:t>
      </w:r>
    </w:p>
    <w:p w:rsidR="008F0D85" w:rsidRDefault="00AE42A1">
      <w:r>
        <w:t xml:space="preserve">Nastaju zbog posljedice opadanja koncentracije NaCl u krvi kod osoba koje su zbog znojenja izgubile mnogo soli. Obično se javljaju kao posljedica intenzivnog i teškog fizičkog rada ne aklimatiziranih osoba u ambijentu s visokom temperaturom. Nastup grčeva </w:t>
      </w:r>
      <w:r>
        <w:t>je nagao i unesrećeni obično pada na pod sa savijenim nogama. Zahvaćeni su obično listovi nogu, mišići ruku i trbušni mišići. Koža je blijeda i znojna, temperatura normalna, a na zgrčenom mišiću možemo opipati zadebljanja. Grčevi obično dolaze u napadima t</w:t>
      </w:r>
      <w:r>
        <w:t xml:space="preserve">e se mogu intenzivno ponavljati popraćeni boli. </w:t>
      </w:r>
    </w:p>
    <w:p w:rsidR="008F0D85" w:rsidRDefault="00AE42A1">
      <w:pPr>
        <w:pStyle w:val="Odlomakpopisa"/>
        <w:numPr>
          <w:ilvl w:val="0"/>
          <w:numId w:val="41"/>
        </w:numPr>
        <w:ind w:firstLine="273"/>
        <w:jc w:val="both"/>
        <w:rPr>
          <w:sz w:val="24"/>
          <w:szCs w:val="24"/>
        </w:rPr>
      </w:pPr>
      <w:r>
        <w:rPr>
          <w:sz w:val="24"/>
          <w:szCs w:val="24"/>
        </w:rPr>
        <w:t>Toplinska iscrpljenost</w:t>
      </w:r>
    </w:p>
    <w:p w:rsidR="008F0D85" w:rsidRDefault="00AE42A1">
      <w:pPr>
        <w:rPr>
          <w:rFonts w:cs="Calibri"/>
          <w:szCs w:val="24"/>
        </w:rPr>
      </w:pPr>
      <w:r>
        <w:rPr>
          <w:rFonts w:cs="Calibri"/>
          <w:szCs w:val="24"/>
        </w:rPr>
        <w:t>Toplinska iscrpljenost je klinički sindrom slabosti, malaksalosti, mučnine, sinkope i drugih nespecifičnih simptoma izazvanih izlaganjem toplini, a koji nije opasan po život. Termoregu</w:t>
      </w:r>
      <w:r>
        <w:rPr>
          <w:rFonts w:cs="Calibri"/>
          <w:szCs w:val="24"/>
        </w:rPr>
        <w:t>lacija nije oštećena.</w:t>
      </w:r>
    </w:p>
    <w:p w:rsidR="008F0D85" w:rsidRDefault="00AE42A1">
      <w:pPr>
        <w:rPr>
          <w:rFonts w:cs="Calibri"/>
          <w:szCs w:val="24"/>
        </w:rPr>
      </w:pPr>
      <w:r>
        <w:rPr>
          <w:rFonts w:cs="Calibri"/>
          <w:szCs w:val="24"/>
        </w:rPr>
        <w:t>Toplinska iscrpljenost je posljedica neravnoteže vode i elektrolita izazvana izlaganjem toplini, uz tjelesni napor ili bez njega.</w:t>
      </w:r>
    </w:p>
    <w:p w:rsidR="008F0D85" w:rsidRDefault="00AE42A1">
      <w:pPr>
        <w:rPr>
          <w:rFonts w:cs="Calibri"/>
          <w:szCs w:val="24"/>
        </w:rPr>
      </w:pPr>
      <w:r>
        <w:rPr>
          <w:rFonts w:cs="Calibri"/>
          <w:szCs w:val="24"/>
        </w:rPr>
        <w:t>Simptomi su često neodređeni pa bolesnici ne moraju shvatiti kako im je uzrok toplina. Simptomi mogu ukl</w:t>
      </w:r>
      <w:r>
        <w:rPr>
          <w:rFonts w:cs="Calibri"/>
          <w:szCs w:val="24"/>
        </w:rPr>
        <w:t xml:space="preserve">jučivati slabost, vrtoglavicu, glavobolju, mučninu i ponekad, povraćanje. Sinkopa uslijed dugog stajanja na vrućini (toplinska sinkopa) je česta i može oponašati kardiovaskularne poremećaje. Prilikom pregleda se bolesnici doimaju umornima, a obično su </w:t>
      </w:r>
      <w:r>
        <w:rPr>
          <w:rFonts w:cs="Calibri"/>
          <w:szCs w:val="24"/>
        </w:rPr>
        <w:lastRenderedPageBreak/>
        <w:t>ozno</w:t>
      </w:r>
      <w:r>
        <w:rPr>
          <w:rFonts w:cs="Calibri"/>
          <w:szCs w:val="24"/>
        </w:rPr>
        <w:t>jeni i imaju tahikardiju. Psihičko stanje je tipično nepromijenjeno, za razliku od toplotnog udara. Temperatura je obično normalna, a kad je povišena, ne prelazi 40 °C.</w:t>
      </w:r>
    </w:p>
    <w:p w:rsidR="008F0D85" w:rsidRDefault="00AE42A1">
      <w:pPr>
        <w:rPr>
          <w:rFonts w:cs="Calibri"/>
          <w:szCs w:val="24"/>
        </w:rPr>
      </w:pPr>
      <w:r>
        <w:rPr>
          <w:rFonts w:cs="Calibri"/>
          <w:szCs w:val="24"/>
        </w:rPr>
        <w:t>Dijagnoza se postavlja klinički, a za to je potrebno isključivanje drugih mogućih uzrok</w:t>
      </w:r>
      <w:r>
        <w:rPr>
          <w:rFonts w:cs="Calibri"/>
          <w:szCs w:val="24"/>
        </w:rPr>
        <w:t>a (npr. hipoglikemije, akutnog koronarnog sindroma, raznih infekcija). Laboratorijske pretrage su potrebne samo ako je potrebno isključiti nabrojana stanja.</w:t>
      </w:r>
    </w:p>
    <w:p w:rsidR="008F0D85" w:rsidRDefault="00AE42A1">
      <w:pPr>
        <w:rPr>
          <w:rFonts w:cs="Calibri"/>
          <w:szCs w:val="24"/>
        </w:rPr>
      </w:pPr>
      <w:r>
        <w:rPr>
          <w:rFonts w:cs="Calibri"/>
          <w:szCs w:val="24"/>
        </w:rPr>
        <w:t>Liječenje obuhvaća smještanje bolesnika u hladno okruženje, u ležeći ispruženi položaj uz IV nadokn</w:t>
      </w:r>
      <w:r>
        <w:rPr>
          <w:rFonts w:cs="Calibri"/>
          <w:szCs w:val="24"/>
        </w:rPr>
        <w:t xml:space="preserve">adu tekućine, u pravilu se daje 0,9%–tna fiziološka otopina; peroralnom se rehidracijom ne mogu u dovoljnoj mjeri nadoknaditi elektroliti. Brzina i količina rehidracije ovise o dobi, osnovnim bolestima i kliničkom odgovoru. Često je dovoljno nadomještanje </w:t>
      </w:r>
      <w:r>
        <w:rPr>
          <w:rFonts w:cs="Calibri"/>
          <w:szCs w:val="24"/>
        </w:rPr>
        <w:t>od 1–2 L brzinom od 500 ml/h. Starijim i srčanim bolesnicima može biti potrebna tek nešto sporija nadoknada; bolesnicima u kojih se sumnja na hipovolemiju u početku može biti potrebna brža nadoknada. Hlađenje tijela izvana (vidi str. 2609) nije potrebno. R</w:t>
      </w:r>
      <w:r>
        <w:rPr>
          <w:rFonts w:cs="Calibri"/>
          <w:szCs w:val="24"/>
        </w:rPr>
        <w:t>ijetko, tešku toplinsku iscrpljenost nakon teškog rada može komplicirati rabdomioliza, mioglobinurija, akutno zatajenje bubrega i diseminirana intravaskularna koagulacija.</w:t>
      </w:r>
    </w:p>
    <w:p w:rsidR="008F0D85" w:rsidRDefault="008F0D85">
      <w:pPr>
        <w:ind w:right="42"/>
      </w:pPr>
    </w:p>
    <w:p w:rsidR="008F0D85" w:rsidRDefault="008F0D85">
      <w:pPr>
        <w:ind w:right="42"/>
      </w:pPr>
    </w:p>
    <w:p w:rsidR="008F0D85" w:rsidRDefault="008F0D85">
      <w:pPr>
        <w:ind w:right="42"/>
      </w:pPr>
    </w:p>
    <w:p w:rsidR="008F0D85" w:rsidRDefault="00AE42A1">
      <w:pPr>
        <w:pStyle w:val="Naslov5"/>
      </w:pPr>
      <w:bookmarkStart w:id="569" w:name="_Toc512434626"/>
      <w:bookmarkStart w:id="570" w:name="_Toc514240181"/>
      <w:bookmarkStart w:id="571" w:name="_Toc516128284"/>
      <w:bookmarkStart w:id="572" w:name="_Toc527969394"/>
      <w:bookmarkEnd w:id="569"/>
      <w:bookmarkEnd w:id="570"/>
      <w:bookmarkEnd w:id="571"/>
      <w:bookmarkEnd w:id="572"/>
      <w:r>
        <w:t>6.2.2.1.1. Posljedice – Ekstremne temperature</w:t>
      </w:r>
    </w:p>
    <w:p w:rsidR="008F0D85" w:rsidRDefault="00AE42A1">
      <w:pPr>
        <w:pStyle w:val="Naslov6"/>
      </w:pPr>
      <w:r>
        <w:t>6.2.2.1.1.1. Procjena posljedica po</w:t>
      </w:r>
      <w:r>
        <w:t>jave toplinskog vala na život i zdravlje ljudi</w:t>
      </w:r>
    </w:p>
    <w:p w:rsidR="008F0D85" w:rsidRDefault="008F0D85"/>
    <w:p w:rsidR="008F0D85" w:rsidRDefault="00AE42A1">
      <w:r>
        <w:t>Pojave naglih toplinskih valova značajno utječu na život i zdravlje ljudi. Procjenjuje se da će na području Općine posljedicama dužeg trajanja toplinskog vala biti zahvaćeno više od 0,01% stanovništva Općine,</w:t>
      </w:r>
      <w:r>
        <w:t xml:space="preserve"> odnosno više od 0,331 (1) stanovnika.</w:t>
      </w:r>
    </w:p>
    <w:p w:rsidR="008F0D85" w:rsidRDefault="00AE42A1">
      <w:pPr>
        <w:spacing w:after="0" w:line="360" w:lineRule="auto"/>
        <w:jc w:val="center"/>
        <w:rPr>
          <w:rFonts w:cs="Arial"/>
          <w:b/>
          <w:bCs/>
          <w:sz w:val="20"/>
          <w:szCs w:val="20"/>
        </w:rPr>
      </w:pPr>
      <w:bookmarkStart w:id="573" w:name="_Toc516128407"/>
      <w:bookmarkStart w:id="574" w:name="_Toc527969517"/>
      <w:r>
        <w:rPr>
          <w:rFonts w:cs="Arial"/>
          <w:b/>
          <w:bCs/>
          <w:sz w:val="20"/>
          <w:szCs w:val="20"/>
        </w:rPr>
        <w:t xml:space="preserve">Tablica </w:t>
      </w:r>
      <w:r>
        <w:rPr>
          <w:rFonts w:cs="Arial"/>
          <w:b/>
          <w:bCs/>
          <w:sz w:val="20"/>
          <w:szCs w:val="20"/>
        </w:rPr>
        <w:fldChar w:fldCharType="begin"/>
      </w:r>
      <w:r>
        <w:instrText>SEQ Tablica \* ARABIC</w:instrText>
      </w:r>
      <w:r>
        <w:fldChar w:fldCharType="separate"/>
      </w:r>
      <w:r>
        <w:t>35</w:t>
      </w:r>
      <w:r>
        <w:fldChar w:fldCharType="end"/>
      </w:r>
      <w:bookmarkEnd w:id="573"/>
      <w:bookmarkEnd w:id="574"/>
      <w:r>
        <w:rPr>
          <w:rFonts w:cs="Arial"/>
          <w:b/>
          <w:bCs/>
          <w:sz w:val="20"/>
          <w:szCs w:val="20"/>
        </w:rPr>
        <w:t>: Prikaz prijetnjom nastalih posljedica na život i zdravlje ljudi - Ekstremne temperature</w:t>
      </w:r>
    </w:p>
    <w:tbl>
      <w:tblPr>
        <w:tblW w:w="7471"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752"/>
        <w:gridCol w:w="2153"/>
        <w:gridCol w:w="2021"/>
        <w:gridCol w:w="1545"/>
      </w:tblGrid>
      <w:tr w:rsidR="008F0D85">
        <w:trPr>
          <w:trHeight w:val="173"/>
          <w:jc w:val="center"/>
        </w:trPr>
        <w:tc>
          <w:tcPr>
            <w:tcW w:w="7470"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Život i zdravlje ljudi</w:t>
            </w: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215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Posljedice</w:t>
            </w:r>
          </w:p>
        </w:tc>
        <w:tc>
          <w:tcPr>
            <w:tcW w:w="202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Broj stanovnika</w:t>
            </w:r>
          </w:p>
        </w:tc>
        <w:tc>
          <w:tcPr>
            <w:tcW w:w="154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Odabrano</w:t>
            </w: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Neznatne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 xml:space="preserve">&lt; </w:t>
            </w:r>
            <w:r>
              <w:rPr>
                <w:sz w:val="20"/>
                <w:szCs w:val="20"/>
              </w:rPr>
              <w:t>0,033</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b/>
                <w:sz w:val="20"/>
                <w:szCs w:val="20"/>
              </w:rPr>
            </w:pP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Malene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0,033 – 0,152</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0,155 – 0,364</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181"/>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Značajne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0,397 – 1,157</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4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Katastrofalne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1,19</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b/>
                <w:sz w:val="20"/>
                <w:szCs w:val="20"/>
              </w:rPr>
            </w:pPr>
            <w:r>
              <w:rPr>
                <w:b/>
                <w:sz w:val="20"/>
                <w:szCs w:val="20"/>
              </w:rPr>
              <w:t>X</w:t>
            </w:r>
          </w:p>
        </w:tc>
      </w:tr>
    </w:tbl>
    <w:p w:rsidR="008F0D85" w:rsidRDefault="008F0D85"/>
    <w:p w:rsidR="008F0D85" w:rsidRDefault="00AE42A1">
      <w:pPr>
        <w:pStyle w:val="Naslov6"/>
      </w:pPr>
      <w:r>
        <w:t>6.2.2.1.1.2. Procjena posljedica pojave toplinskog vala na gospodarstvo</w:t>
      </w:r>
    </w:p>
    <w:p w:rsidR="008F0D85" w:rsidRDefault="008F0D85"/>
    <w:p w:rsidR="008F0D85" w:rsidRDefault="00AE42A1">
      <w:pPr>
        <w:rPr>
          <w:szCs w:val="24"/>
        </w:rPr>
      </w:pPr>
      <w:r>
        <w:t xml:space="preserve">Posljedice na gospodarstvo odnose se na ukupnu materijalnu i financijsku štetu u gospodarstvu nastalu utjecajem prijetnje. Materijalna šteta s posljedicama po gospodarstvo </w:t>
      </w:r>
      <w:r>
        <w:lastRenderedPageBreak/>
        <w:t xml:space="preserve">prikazuje se u odnosu na proračun Općine. Procijenjeno je da će toplinski val dužeg </w:t>
      </w:r>
      <w:r>
        <w:t>trajanja smanjiti poljoprivrednu proizvodnju do 30% ovisno o vegetacijskom stadiju poljoprivrednih, imati utjecaja na smanjenje kapaciteta vodocrpilišta što rezultira padom pritiska vode u sustavu te dolazi do ugroze vodoopskrbe. Također, utjecajem toplins</w:t>
      </w:r>
      <w:r>
        <w:t>kog vala, točnije dugotrajnim visokim temperaturama, smanjuje se protok i udio kisika u kopnenim vodenim tijelima što dovodi do pomora vodenih organizama, onečišćenja okoliša te mogućnost nastanka zaraznih bolesti. Također gospodarske posljedice očituju se</w:t>
      </w:r>
      <w:r>
        <w:t xml:space="preserve"> i u troškovima intervencija hitne medicinske pomoći te pružanja pomoći (postupci) tijekom intervencija. </w:t>
      </w:r>
      <w:r>
        <w:rPr>
          <w:szCs w:val="24"/>
        </w:rPr>
        <w:t>Uz troškove intervencija valja napomenuti da za vrijeme ljetnih vrućina raste i potrošnja električne energije.</w:t>
      </w:r>
    </w:p>
    <w:p w:rsidR="008F0D85" w:rsidRDefault="008F0D85"/>
    <w:p w:rsidR="008F0D85" w:rsidRDefault="008F0D85"/>
    <w:p w:rsidR="008F0D85" w:rsidRDefault="008F0D85"/>
    <w:p w:rsidR="008F0D85" w:rsidRDefault="008F0D85"/>
    <w:p w:rsidR="008F0D85" w:rsidRDefault="008F0D85"/>
    <w:p w:rsidR="008F0D85" w:rsidRDefault="008F0D85"/>
    <w:p w:rsidR="008F0D85" w:rsidRDefault="00AE42A1">
      <w:pPr>
        <w:spacing w:after="0" w:line="360" w:lineRule="auto"/>
        <w:jc w:val="center"/>
        <w:rPr>
          <w:rFonts w:cs="Arial"/>
          <w:b/>
          <w:bCs/>
          <w:sz w:val="20"/>
          <w:szCs w:val="20"/>
        </w:rPr>
      </w:pPr>
      <w:bookmarkStart w:id="575" w:name="_Toc512434729"/>
      <w:bookmarkStart w:id="576" w:name="_Toc514240323"/>
      <w:bookmarkStart w:id="577" w:name="_Toc516128408"/>
      <w:bookmarkStart w:id="578" w:name="_Toc527969518"/>
      <w:r>
        <w:rPr>
          <w:rFonts w:cs="Arial"/>
          <w:b/>
          <w:bCs/>
          <w:sz w:val="20"/>
          <w:szCs w:val="20"/>
        </w:rPr>
        <w:t xml:space="preserve">Tablica </w:t>
      </w:r>
      <w:r>
        <w:rPr>
          <w:rFonts w:cs="Arial"/>
          <w:b/>
          <w:bCs/>
          <w:sz w:val="20"/>
          <w:szCs w:val="20"/>
        </w:rPr>
        <w:fldChar w:fldCharType="begin"/>
      </w:r>
      <w:r>
        <w:instrText>SEQ Tablica \* ARABIC</w:instrText>
      </w:r>
      <w:r>
        <w:fldChar w:fldCharType="separate"/>
      </w:r>
      <w:r>
        <w:t>36</w:t>
      </w:r>
      <w:r>
        <w:fldChar w:fldCharType="end"/>
      </w:r>
      <w:bookmarkEnd w:id="575"/>
      <w:bookmarkEnd w:id="576"/>
      <w:bookmarkEnd w:id="577"/>
      <w:bookmarkEnd w:id="578"/>
      <w:r>
        <w:rPr>
          <w:rFonts w:cs="Arial"/>
          <w:b/>
          <w:bCs/>
          <w:sz w:val="20"/>
          <w:szCs w:val="20"/>
        </w:rPr>
        <w:t>: Prikaz prijetnjom nastalih posljedica na gospodarstvo - Ekstremne temperature</w:t>
      </w:r>
    </w:p>
    <w:tbl>
      <w:tblPr>
        <w:tblW w:w="7100"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477"/>
        <w:gridCol w:w="1781"/>
        <w:gridCol w:w="2693"/>
        <w:gridCol w:w="1149"/>
      </w:tblGrid>
      <w:tr w:rsidR="008F0D85">
        <w:trPr>
          <w:trHeight w:val="302"/>
          <w:jc w:val="center"/>
        </w:trPr>
        <w:tc>
          <w:tcPr>
            <w:tcW w:w="7099"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Gospodarstvo</w:t>
            </w: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Kategorija</w:t>
            </w:r>
          </w:p>
        </w:tc>
        <w:tc>
          <w:tcPr>
            <w:tcW w:w="178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Posljedica</w:t>
            </w:r>
          </w:p>
        </w:tc>
        <w:tc>
          <w:tcPr>
            <w:tcW w:w="269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U kunama (% obzirom na proračun)</w:t>
            </w:r>
          </w:p>
        </w:tc>
        <w:tc>
          <w:tcPr>
            <w:tcW w:w="114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Odabrano</w:t>
            </w:r>
          </w:p>
        </w:tc>
      </w:tr>
      <w:tr w:rsidR="008F0D85">
        <w:trPr>
          <w:trHeight w:val="70"/>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1</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Neznatne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 – 208.060,00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259"/>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2</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Malene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208.060,00 – 1.040.300,00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b/>
                <w:sz w:val="20"/>
                <w:szCs w:val="20"/>
              </w:rPr>
            </w:pPr>
            <w:r>
              <w:rPr>
                <w:b/>
                <w:sz w:val="20"/>
                <w:szCs w:val="20"/>
              </w:rPr>
              <w:t>X</w:t>
            </w:r>
          </w:p>
        </w:tc>
      </w:tr>
      <w:tr w:rsidR="008F0D85">
        <w:trPr>
          <w:trHeight w:val="209"/>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3</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Umjerene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1.040.300,00 – 3.120.900,00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19"/>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4</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Značajne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3.120.900,00 – 5.201.500,00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5</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Katastrofalne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5.201.500,00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bl>
    <w:p w:rsidR="008F0D85" w:rsidRDefault="008F0D85">
      <w:pPr>
        <w:ind w:right="42"/>
      </w:pPr>
    </w:p>
    <w:p w:rsidR="008F0D85" w:rsidRDefault="00AE42A1">
      <w:pPr>
        <w:pStyle w:val="Naslov6"/>
      </w:pPr>
      <w:r>
        <w:t>6.2.2.1.1.3. Procjena posljedica pojave toplinskog vala na društvenu stabilnost i politiku</w:t>
      </w:r>
    </w:p>
    <w:p w:rsidR="008F0D85" w:rsidRDefault="00AE42A1">
      <w:r>
        <w:t xml:space="preserve"> </w:t>
      </w:r>
    </w:p>
    <w:p w:rsidR="008F0D85" w:rsidRDefault="00AE42A1">
      <w:r>
        <w:t xml:space="preserve">S obzirom na to da se posljedice društvene </w:t>
      </w:r>
      <w:r>
        <w:t>stabilnosti i politike iskazuju u materijalnoj šteti i to za štetu na kritičnoj infrastrukturi i šteti na građevinama od društvenog značaja procijenjeno je da bi ukupna materijalna šteta uzrokovana ekstremnim temperaturama imala zanemariv utjecaj na prorač</w:t>
      </w:r>
      <w:r>
        <w:t>un Općine.  Procjenjuje se da bi nastala šteta bila manja od 0,5% proračuna, odnosno manja od 104.030,00 kuna. Prema tome šteta je procijenjena zanemarivom te se neće prikazati tablično i putem matrice.</w:t>
      </w:r>
    </w:p>
    <w:p w:rsidR="008F0D85" w:rsidRDefault="00AE42A1">
      <w:pPr>
        <w:pStyle w:val="Naslov5"/>
      </w:pPr>
      <w:bookmarkStart w:id="579" w:name="_Toc512434627"/>
      <w:bookmarkStart w:id="580" w:name="_Toc514240182"/>
      <w:bookmarkStart w:id="581" w:name="_Toc516128285"/>
      <w:bookmarkStart w:id="582" w:name="_Toc527969395"/>
      <w:bookmarkEnd w:id="579"/>
      <w:bookmarkEnd w:id="580"/>
      <w:bookmarkEnd w:id="581"/>
      <w:bookmarkEnd w:id="582"/>
      <w:r>
        <w:lastRenderedPageBreak/>
        <w:t>6.2.2.1.2. Vjerojatnost pojave događaja s najgorim mo</w:t>
      </w:r>
      <w:r>
        <w:t>gućim posljedicama uslijed pojave toplinskog vala</w:t>
      </w:r>
    </w:p>
    <w:p w:rsidR="008F0D85" w:rsidRDefault="008F0D85">
      <w:pPr>
        <w:jc w:val="center"/>
      </w:pPr>
    </w:p>
    <w:p w:rsidR="008F0D85" w:rsidRDefault="00AE42A1">
      <w:pPr>
        <w:spacing w:after="0" w:line="360" w:lineRule="auto"/>
        <w:jc w:val="center"/>
        <w:rPr>
          <w:rFonts w:cs="Arial"/>
          <w:b/>
          <w:bCs/>
          <w:sz w:val="20"/>
          <w:szCs w:val="20"/>
        </w:rPr>
      </w:pPr>
      <w:bookmarkStart w:id="583" w:name="_Toc512434730"/>
      <w:bookmarkStart w:id="584" w:name="_Toc514240324"/>
      <w:bookmarkStart w:id="585" w:name="_Toc516128409"/>
      <w:bookmarkStart w:id="586" w:name="_Toc527969519"/>
      <w:r>
        <w:rPr>
          <w:rFonts w:cs="Arial"/>
          <w:b/>
          <w:bCs/>
          <w:sz w:val="20"/>
          <w:szCs w:val="20"/>
        </w:rPr>
        <w:t xml:space="preserve">Tablica </w:t>
      </w:r>
      <w:r>
        <w:rPr>
          <w:rFonts w:cs="Arial"/>
          <w:b/>
          <w:bCs/>
          <w:sz w:val="20"/>
          <w:szCs w:val="20"/>
        </w:rPr>
        <w:fldChar w:fldCharType="begin"/>
      </w:r>
      <w:r>
        <w:instrText>SEQ Tablica \* ARABIC</w:instrText>
      </w:r>
      <w:r>
        <w:fldChar w:fldCharType="separate"/>
      </w:r>
      <w:r>
        <w:t>37</w:t>
      </w:r>
      <w:r>
        <w:fldChar w:fldCharType="end"/>
      </w:r>
      <w:bookmarkEnd w:id="583"/>
      <w:bookmarkEnd w:id="584"/>
      <w:bookmarkEnd w:id="585"/>
      <w:bookmarkEnd w:id="586"/>
      <w:r>
        <w:rPr>
          <w:rFonts w:cs="Arial"/>
          <w:b/>
          <w:bCs/>
          <w:sz w:val="20"/>
          <w:szCs w:val="20"/>
        </w:rPr>
        <w:t>: Prikaz vjerojatnosti pojave događaja s najgorim mogućim posljedicama uslijed pojave toplinskog vala</w:t>
      </w:r>
    </w:p>
    <w:tbl>
      <w:tblPr>
        <w:tblW w:w="9214" w:type="dxa"/>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277"/>
        <w:gridCol w:w="1418"/>
        <w:gridCol w:w="1417"/>
        <w:gridCol w:w="1559"/>
        <w:gridCol w:w="2835"/>
        <w:gridCol w:w="708"/>
      </w:tblGrid>
      <w:tr w:rsidR="008F0D85">
        <w:trPr>
          <w:trHeight w:val="257"/>
        </w:trPr>
        <w:tc>
          <w:tcPr>
            <w:tcW w:w="1276"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1418"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Posljedice</w:t>
            </w:r>
          </w:p>
        </w:tc>
        <w:tc>
          <w:tcPr>
            <w:tcW w:w="6519"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Vjerojatnost/frekvencija</w:t>
            </w:r>
          </w:p>
        </w:tc>
      </w:tr>
      <w:tr w:rsidR="008F0D85">
        <w:trPr>
          <w:trHeight w:val="154"/>
        </w:trPr>
        <w:tc>
          <w:tcPr>
            <w:tcW w:w="1276"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rPr>
                <w:b/>
                <w:sz w:val="20"/>
                <w:szCs w:val="20"/>
              </w:rPr>
            </w:pPr>
          </w:p>
        </w:tc>
        <w:tc>
          <w:tcPr>
            <w:tcW w:w="1418"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rPr>
                <w:b/>
                <w:sz w:val="20"/>
                <w:szCs w:val="20"/>
              </w:rPr>
            </w:pPr>
          </w:p>
        </w:tc>
        <w:tc>
          <w:tcPr>
            <w:tcW w:w="141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Kvalitativno</w:t>
            </w:r>
          </w:p>
        </w:tc>
        <w:tc>
          <w:tcPr>
            <w:tcW w:w="155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Vjerojatnost</w:t>
            </w:r>
          </w:p>
        </w:tc>
        <w:tc>
          <w:tcPr>
            <w:tcW w:w="283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Frekvencija</w:t>
            </w:r>
          </w:p>
        </w:tc>
        <w:tc>
          <w:tcPr>
            <w:tcW w:w="70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spacing w:after="0" w:line="240" w:lineRule="auto"/>
              <w:jc w:val="center"/>
              <w:rPr>
                <w:b/>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Neznatne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Iznimno mala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&lt;1 %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u 100 godina i rjeđe</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Malene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 5 %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u 20 do 100 godina</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 – 50 %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u 2 do 20 godina</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Značajne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Velika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51 – 98 %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1 do 2 godine</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b/>
                <w:sz w:val="20"/>
                <w:szCs w:val="20"/>
              </w:rPr>
            </w:pPr>
            <w:r>
              <w:rPr>
                <w:b/>
                <w:sz w:val="20"/>
                <w:szCs w:val="20"/>
              </w:rPr>
              <w:t>X</w:t>
            </w:r>
          </w:p>
        </w:tc>
      </w:tr>
      <w:tr w:rsidR="008F0D85">
        <w:trPr>
          <w:trHeight w:val="273"/>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Katastrofalne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Iznimno velika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&gt; 98 %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godišnje ili češće</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sz w:val="20"/>
                <w:szCs w:val="20"/>
              </w:rPr>
            </w:pPr>
          </w:p>
        </w:tc>
      </w:tr>
    </w:tbl>
    <w:p w:rsidR="008F0D85" w:rsidRDefault="008F0D85">
      <w:pPr>
        <w:tabs>
          <w:tab w:val="left" w:pos="6600"/>
        </w:tabs>
      </w:pPr>
    </w:p>
    <w:p w:rsidR="008F0D85" w:rsidRDefault="008F0D85">
      <w:pPr>
        <w:spacing w:after="0"/>
        <w:rPr>
          <w:szCs w:val="24"/>
        </w:rPr>
      </w:pPr>
    </w:p>
    <w:p w:rsidR="008F0D85" w:rsidRDefault="008F0D85">
      <w:pPr>
        <w:spacing w:after="0"/>
        <w:rPr>
          <w:szCs w:val="24"/>
        </w:rPr>
      </w:pPr>
    </w:p>
    <w:p w:rsidR="008F0D85" w:rsidRDefault="008F0D85">
      <w:pPr>
        <w:spacing w:after="0"/>
        <w:rPr>
          <w:szCs w:val="24"/>
        </w:rPr>
      </w:pPr>
    </w:p>
    <w:p w:rsidR="008F0D85" w:rsidRDefault="008F0D85">
      <w:pPr>
        <w:spacing w:after="0"/>
        <w:rPr>
          <w:szCs w:val="24"/>
        </w:rPr>
      </w:pPr>
    </w:p>
    <w:p w:rsidR="008F0D85" w:rsidRDefault="008F0D85">
      <w:pPr>
        <w:spacing w:after="0"/>
        <w:rPr>
          <w:szCs w:val="24"/>
        </w:rPr>
      </w:pPr>
    </w:p>
    <w:p w:rsidR="008F0D85" w:rsidRDefault="008F0D85">
      <w:pPr>
        <w:spacing w:after="0"/>
        <w:rPr>
          <w:szCs w:val="24"/>
        </w:rPr>
      </w:pPr>
    </w:p>
    <w:p w:rsidR="008F0D85" w:rsidRDefault="008F0D85">
      <w:pPr>
        <w:spacing w:after="0"/>
        <w:rPr>
          <w:szCs w:val="24"/>
        </w:rPr>
      </w:pPr>
    </w:p>
    <w:p w:rsidR="008F0D85" w:rsidRDefault="008F0D85">
      <w:pPr>
        <w:spacing w:after="0"/>
        <w:rPr>
          <w:szCs w:val="24"/>
        </w:rPr>
      </w:pPr>
    </w:p>
    <w:p w:rsidR="008F0D85" w:rsidRDefault="00AE42A1">
      <w:pPr>
        <w:pStyle w:val="Naslov3"/>
      </w:pPr>
      <w:bookmarkStart w:id="587" w:name="_Toc512434628"/>
      <w:bookmarkStart w:id="588" w:name="_Toc514240183"/>
      <w:bookmarkStart w:id="589" w:name="_Toc516128286"/>
      <w:bookmarkStart w:id="590" w:name="_Toc527969396"/>
      <w:bookmarkEnd w:id="587"/>
      <w:bookmarkEnd w:id="588"/>
      <w:bookmarkEnd w:id="589"/>
      <w:bookmarkEnd w:id="590"/>
      <w:r>
        <w:t>6.2.3. Matrice rizika – Ekstremne vremenske pojave</w:t>
      </w:r>
    </w:p>
    <w:p w:rsidR="008F0D85" w:rsidRDefault="00AE42A1">
      <w:pPr>
        <w:spacing w:after="0"/>
        <w:rPr>
          <w:b/>
        </w:rPr>
      </w:pPr>
      <w:r>
        <w:rPr>
          <w:b/>
        </w:rPr>
        <w:t>RIZIK – Ekstremne temperature</w:t>
      </w:r>
    </w:p>
    <w:p w:rsidR="008F0D85" w:rsidRDefault="00AE42A1">
      <w:pPr>
        <w:spacing w:after="0"/>
        <w:rPr>
          <w:b/>
        </w:rPr>
      </w:pPr>
      <w:r>
        <w:rPr>
          <w:b/>
        </w:rPr>
        <w:t xml:space="preserve">NAZIV SCENARIJA – Pojava </w:t>
      </w:r>
      <w:r>
        <w:rPr>
          <w:b/>
        </w:rPr>
        <w:t>toplinskog vala dužeg trajanja na području Općine</w:t>
      </w:r>
    </w:p>
    <w:p w:rsidR="008F0D85" w:rsidRDefault="008F0D85"/>
    <w:p w:rsidR="008F0D85" w:rsidRDefault="00AE42A1">
      <w:pPr>
        <w:spacing w:after="0"/>
        <w:rPr>
          <w:u w:val="single"/>
        </w:rPr>
      </w:pPr>
      <w:r>
        <w:rPr>
          <w:u w:val="single"/>
        </w:rPr>
        <w:t>DOGAĐAJ S NAJGORIM MOGUĆIM POSLJEDICAMA – Pojava toplinskog vala dužeg trajanja na području Općine</w:t>
      </w:r>
    </w:p>
    <w:p w:rsidR="008F0D85" w:rsidRDefault="008F0D85"/>
    <w:p w:rsidR="008F0D85" w:rsidRDefault="008F0D85"/>
    <w:p w:rsidR="008F0D85" w:rsidRDefault="00AE42A1">
      <w:pPr>
        <w:rPr>
          <w:sz w:val="18"/>
          <w:szCs w:val="18"/>
        </w:rPr>
      </w:pPr>
      <w:r>
        <w:rPr>
          <w:sz w:val="18"/>
          <w:szCs w:val="18"/>
        </w:rPr>
        <w:t xml:space="preserve">                                     Život i zdravlje ljudi                                             </w:t>
      </w:r>
      <w:r>
        <w:rPr>
          <w:sz w:val="18"/>
          <w:szCs w:val="18"/>
        </w:rPr>
        <w:t xml:space="preserve">                                          Gospodarstvo</w:t>
      </w:r>
    </w:p>
    <w:p w:rsidR="008F0D85" w:rsidRDefault="00AE42A1">
      <w:pPr>
        <w:rPr>
          <w:sz w:val="18"/>
          <w:szCs w:val="18"/>
        </w:rPr>
      </w:pPr>
      <w:r>
        <w:rPr>
          <w:noProof/>
        </w:rPr>
        <w:lastRenderedPageBreak/>
        <mc:AlternateContent>
          <mc:Choice Requires="wps">
            <w:drawing>
              <wp:anchor distT="0" distB="0" distL="114300" distR="114300" simplePos="0" relativeHeight="225" behindDoc="0" locked="0" layoutInCell="1" allowOverlap="1">
                <wp:simplePos x="0" y="0"/>
                <wp:positionH relativeFrom="column">
                  <wp:posOffset>1537970</wp:posOffset>
                </wp:positionH>
                <wp:positionV relativeFrom="paragraph">
                  <wp:posOffset>294640</wp:posOffset>
                </wp:positionV>
                <wp:extent cx="2540" cy="2540"/>
                <wp:effectExtent l="0" t="0" r="0" b="0"/>
                <wp:wrapNone/>
                <wp:docPr id="42" name="Slika4"/>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6F565A18" id="Slika4" o:spid="_x0000_s1026" style="position:absolute;margin-left:121.1pt;margin-top:23.2pt;width:.2pt;height:.2pt;z-index:22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" fillcolor="#4472c4" strokecolor="#2f528f" strokeweight=".35mm"/>
            </w:pict>
          </mc:Fallback>
        </mc:AlternateContent>
      </w:r>
      <w:r>
        <w:rPr>
          <w:noProof/>
        </w:rPr>
        <mc:AlternateContent>
          <mc:Choice Requires="wps">
            <w:drawing>
              <wp:anchor distT="0" distB="0" distL="114300" distR="114300" simplePos="0" relativeHeight="226" behindDoc="0" locked="0" layoutInCell="1" allowOverlap="1">
                <wp:simplePos x="0" y="0"/>
                <wp:positionH relativeFrom="column">
                  <wp:posOffset>4614545</wp:posOffset>
                </wp:positionH>
                <wp:positionV relativeFrom="paragraph">
                  <wp:posOffset>1189990</wp:posOffset>
                </wp:positionV>
                <wp:extent cx="2540" cy="2540"/>
                <wp:effectExtent l="0" t="0" r="0" b="0"/>
                <wp:wrapNone/>
                <wp:docPr id="43" name="Slika5"/>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36A9A639" id="Slika5" o:spid="_x0000_s1026" style="position:absolute;margin-left:363.35pt;margin-top:93.7pt;width:.2pt;height:.2pt;z-index:22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" fillcolor="#4472c4" strokecolor="#2f528f" strokeweight=".35mm"/>
            </w:pict>
          </mc:Fallback>
        </mc:AlternateContent>
      </w:r>
      <w:r>
        <w:rPr>
          <w:noProof/>
        </w:rPr>
        <w:drawing>
          <wp:inline distT="0" distB="0" distL="0" distR="0">
            <wp:extent cx="2639060" cy="2258060"/>
            <wp:effectExtent l="0" t="0" r="0" b="0"/>
            <wp:docPr id="44" name="Slik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ka6"/>
                    <pic:cNvPicPr>
                      <a:picLocks noChangeAspect="1" noChangeArrowheads="1"/>
                    </pic:cNvPicPr>
                  </pic:nvPicPr>
                  <pic:blipFill>
                    <a:blip r:embed="rId37"/>
                    <a:stretch>
                      <a:fillRect/>
                    </a:stretch>
                  </pic:blipFill>
                  <pic:spPr bwMode="auto">
                    <a:xfrm>
                      <a:off x="0" y="0"/>
                      <a:ext cx="2639060" cy="2258060"/>
                    </a:xfrm>
                    <a:prstGeom prst="rect">
                      <a:avLst/>
                    </a:prstGeom>
                  </pic:spPr>
                </pic:pic>
              </a:graphicData>
            </a:graphic>
          </wp:inline>
        </w:drawing>
      </w:r>
      <w:r>
        <w:rPr>
          <w:sz w:val="18"/>
          <w:szCs w:val="18"/>
        </w:rPr>
        <w:t xml:space="preserve">                  </w:t>
      </w:r>
      <w:r>
        <w:rPr>
          <w:noProof/>
          <w:sz w:val="18"/>
          <w:szCs w:val="18"/>
        </w:rPr>
        <w:drawing>
          <wp:inline distT="0" distB="0" distL="0" distR="0">
            <wp:extent cx="2639060" cy="2258060"/>
            <wp:effectExtent l="0" t="0" r="0" b="0"/>
            <wp:docPr id="45" name="Slik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ka7"/>
                    <pic:cNvPicPr>
                      <a:picLocks noChangeAspect="1" noChangeArrowheads="1"/>
                    </pic:cNvPicPr>
                  </pic:nvPicPr>
                  <pic:blipFill>
                    <a:blip r:embed="rId37"/>
                    <a:stretch>
                      <a:fillRect/>
                    </a:stretch>
                  </pic:blipFill>
                  <pic:spPr bwMode="auto">
                    <a:xfrm>
                      <a:off x="0" y="0"/>
                      <a:ext cx="2639060" cy="2258060"/>
                    </a:xfrm>
                    <a:prstGeom prst="rect">
                      <a:avLst/>
                    </a:prstGeom>
                  </pic:spPr>
                </pic:pic>
              </a:graphicData>
            </a:graphic>
          </wp:inline>
        </w:drawing>
      </w:r>
    </w:p>
    <w:p w:rsidR="008F0D85" w:rsidRDefault="00AE42A1">
      <w:pPr>
        <w:rPr>
          <w:sz w:val="18"/>
          <w:szCs w:val="18"/>
        </w:rPr>
      </w:pPr>
      <w:r>
        <w:rPr>
          <w:noProof/>
        </w:rPr>
        <mc:AlternateContent>
          <mc:Choice Requires="wps">
            <w:drawing>
              <wp:anchor distT="0" distB="0" distL="114300" distR="114300" simplePos="0" relativeHeight="227" behindDoc="0" locked="0" layoutInCell="1" allowOverlap="1">
                <wp:simplePos x="0" y="0"/>
                <wp:positionH relativeFrom="column">
                  <wp:posOffset>4252595</wp:posOffset>
                </wp:positionH>
                <wp:positionV relativeFrom="paragraph">
                  <wp:posOffset>1094105</wp:posOffset>
                </wp:positionV>
                <wp:extent cx="2540" cy="2540"/>
                <wp:effectExtent l="0" t="0" r="0" b="0"/>
                <wp:wrapNone/>
                <wp:docPr id="46" name="Slika6"/>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33419781" id="Slika6" o:spid="_x0000_s1026" style="position:absolute;margin-left:334.85pt;margin-top:86.15pt;width:.2pt;height:.2pt;z-index:2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" fillcolor="#4472c4" strokecolor="#2f528f" strokeweight=".35mm"/>
            </w:pict>
          </mc:Fallback>
        </mc:AlternateContent>
      </w:r>
      <w:r>
        <w:rPr>
          <w:noProof/>
        </w:rPr>
        <w:drawing>
          <wp:inline distT="0" distB="0" distL="0" distR="0">
            <wp:extent cx="2324735" cy="924560"/>
            <wp:effectExtent l="0" t="0" r="0" b="0"/>
            <wp:docPr id="47"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21"/>
                    <pic:cNvPicPr>
                      <a:picLocks noChangeAspect="1" noChangeArrowheads="1"/>
                    </pic:cNvPicPr>
                  </pic:nvPicPr>
                  <pic:blipFill>
                    <a:blip r:embed="rId38"/>
                    <a:stretch>
                      <a:fillRect/>
                    </a:stretch>
                  </pic:blipFill>
                  <pic:spPr bwMode="auto">
                    <a:xfrm>
                      <a:off x="0" y="0"/>
                      <a:ext cx="2324735" cy="924560"/>
                    </a:xfrm>
                    <a:prstGeom prst="rect">
                      <a:avLst/>
                    </a:prstGeom>
                  </pic:spPr>
                </pic:pic>
              </a:graphicData>
            </a:graphic>
          </wp:inline>
        </w:drawing>
      </w:r>
      <w:r>
        <w:rPr>
          <w:sz w:val="18"/>
          <w:szCs w:val="18"/>
        </w:rPr>
        <w:t xml:space="preserve"> </w:t>
      </w:r>
      <w:r>
        <w:rPr>
          <w:noProof/>
          <w:sz w:val="18"/>
          <w:szCs w:val="18"/>
        </w:rPr>
        <w:drawing>
          <wp:inline distT="0" distB="0" distL="0" distR="0">
            <wp:extent cx="3229610" cy="2762885"/>
            <wp:effectExtent l="0" t="0" r="0" b="0"/>
            <wp:docPr id="48" name="Slik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ka8"/>
                    <pic:cNvPicPr>
                      <a:picLocks noChangeAspect="1" noChangeArrowheads="1"/>
                    </pic:cNvPicPr>
                  </pic:nvPicPr>
                  <pic:blipFill>
                    <a:blip r:embed="rId37"/>
                    <a:stretch>
                      <a:fillRect/>
                    </a:stretch>
                  </pic:blipFill>
                  <pic:spPr bwMode="auto">
                    <a:xfrm>
                      <a:off x="0" y="0"/>
                      <a:ext cx="3229610" cy="2762885"/>
                    </a:xfrm>
                    <a:prstGeom prst="rect">
                      <a:avLst/>
                    </a:prstGeom>
                  </pic:spPr>
                </pic:pic>
              </a:graphicData>
            </a:graphic>
          </wp:inline>
        </w:drawing>
      </w:r>
    </w:p>
    <w:p w:rsidR="008F0D85" w:rsidRDefault="008F0D85">
      <w:pPr>
        <w:spacing w:after="0"/>
        <w:rPr>
          <w:szCs w:val="24"/>
        </w:rPr>
      </w:pPr>
    </w:p>
    <w:p w:rsidR="008F0D85" w:rsidRDefault="008F0D85"/>
    <w:p w:rsidR="008F0D85" w:rsidRDefault="008F0D85"/>
    <w:p w:rsidR="008F0D85" w:rsidRDefault="00AE42A1">
      <w:pPr>
        <w:pStyle w:val="Naslov3"/>
      </w:pPr>
      <w:bookmarkStart w:id="591" w:name="_Toc512434629"/>
      <w:bookmarkStart w:id="592" w:name="_Toc514240184"/>
      <w:bookmarkStart w:id="593" w:name="_Toc516128287"/>
      <w:bookmarkStart w:id="594" w:name="_Toc527969397"/>
      <w:bookmarkEnd w:id="591"/>
      <w:bookmarkEnd w:id="592"/>
      <w:bookmarkEnd w:id="593"/>
      <w:bookmarkEnd w:id="594"/>
      <w:r>
        <w:t>6.2.4. Izvor podataka</w:t>
      </w:r>
    </w:p>
    <w:p w:rsidR="008F0D85" w:rsidRDefault="008F0D85"/>
    <w:p w:rsidR="008F0D85" w:rsidRDefault="00AE42A1">
      <w:pPr>
        <w:numPr>
          <w:ilvl w:val="0"/>
          <w:numId w:val="42"/>
        </w:numPr>
        <w:spacing w:after="51" w:line="240" w:lineRule="auto"/>
        <w:contextualSpacing/>
        <w:jc w:val="left"/>
        <w:rPr>
          <w:rFonts w:cs="Calibri"/>
          <w:color w:val="000000"/>
          <w:sz w:val="20"/>
          <w:szCs w:val="20"/>
          <w:lang w:val="en-US"/>
        </w:rPr>
      </w:pPr>
      <w:r>
        <w:rPr>
          <w:rFonts w:cs="Calibri"/>
          <w:color w:val="000000"/>
          <w:sz w:val="20"/>
          <w:szCs w:val="20"/>
          <w:lang w:val="en-US"/>
        </w:rPr>
        <w:t xml:space="preserve">Državni hidrometeorološki zavod (DHMZ, 2016., 2017.god.) </w:t>
      </w:r>
    </w:p>
    <w:p w:rsidR="008F0D85" w:rsidRDefault="00AE42A1">
      <w:pPr>
        <w:numPr>
          <w:ilvl w:val="0"/>
          <w:numId w:val="42"/>
        </w:numPr>
        <w:spacing w:after="51" w:line="240" w:lineRule="auto"/>
        <w:contextualSpacing/>
        <w:jc w:val="left"/>
        <w:rPr>
          <w:rFonts w:cs="Calibri"/>
          <w:color w:val="000000"/>
          <w:sz w:val="20"/>
          <w:szCs w:val="20"/>
          <w:lang w:val="en-US"/>
        </w:rPr>
      </w:pPr>
      <w:r>
        <w:rPr>
          <w:rFonts w:cs="Calibri"/>
          <w:color w:val="000000"/>
          <w:sz w:val="20"/>
          <w:szCs w:val="20"/>
          <w:lang w:val="en-US"/>
        </w:rPr>
        <w:t xml:space="preserve">Državni zavod za statistiku, Popis stanovništva 2011.god. </w:t>
      </w:r>
    </w:p>
    <w:p w:rsidR="008F0D85" w:rsidRDefault="00AE42A1">
      <w:pPr>
        <w:numPr>
          <w:ilvl w:val="0"/>
          <w:numId w:val="42"/>
        </w:numPr>
        <w:spacing w:after="51" w:line="240" w:lineRule="auto"/>
        <w:contextualSpacing/>
        <w:jc w:val="left"/>
        <w:rPr>
          <w:rFonts w:cs="Calibri"/>
          <w:color w:val="000000"/>
          <w:sz w:val="20"/>
          <w:szCs w:val="20"/>
          <w:lang w:val="en-US"/>
        </w:rPr>
      </w:pPr>
      <w:r>
        <w:rPr>
          <w:rFonts w:cs="Calibri"/>
          <w:color w:val="000000"/>
          <w:sz w:val="20"/>
          <w:szCs w:val="20"/>
          <w:lang w:val="en-US"/>
        </w:rPr>
        <w:t xml:space="preserve">Kriteriji za izradu smjernica </w:t>
      </w:r>
      <w:r>
        <w:rPr>
          <w:rFonts w:cs="Calibri"/>
          <w:color w:val="000000"/>
          <w:sz w:val="20"/>
          <w:szCs w:val="20"/>
          <w:lang w:val="en-US"/>
        </w:rPr>
        <w:t xml:space="preserve">koje donose čelnici područne (regionalne) samouprave za potrebe izrade Procjena rizika od velikih nesreća na razinama jedinica lokalnih i područnih (regionalnih) samouprave, DUZS, 2016.god. </w:t>
      </w:r>
    </w:p>
    <w:p w:rsidR="008F0D85" w:rsidRDefault="00AE42A1">
      <w:pPr>
        <w:numPr>
          <w:ilvl w:val="0"/>
          <w:numId w:val="42"/>
        </w:numPr>
        <w:spacing w:after="51" w:line="240" w:lineRule="auto"/>
        <w:contextualSpacing/>
        <w:jc w:val="left"/>
        <w:rPr>
          <w:rFonts w:cs="Calibri"/>
          <w:color w:val="000000"/>
          <w:sz w:val="20"/>
          <w:szCs w:val="20"/>
          <w:lang w:val="en-US"/>
        </w:rPr>
      </w:pPr>
      <w:r>
        <w:rPr>
          <w:rFonts w:cs="Calibri"/>
          <w:color w:val="000000"/>
          <w:sz w:val="20"/>
          <w:szCs w:val="20"/>
          <w:lang w:val="en-US"/>
        </w:rPr>
        <w:t>Pravilnik o smjernicama za izradu Procjene rizika od katastrofa i</w:t>
      </w:r>
      <w:r>
        <w:rPr>
          <w:rFonts w:cs="Calibri"/>
          <w:color w:val="000000"/>
          <w:sz w:val="20"/>
          <w:szCs w:val="20"/>
          <w:lang w:val="en-US"/>
        </w:rPr>
        <w:t xml:space="preserve"> velikih nesreća za područje Republike Hrvatske i jedinica lokalne i područne (regionalne) samouprave (“Narodne Novine” br. 65/16) </w:t>
      </w:r>
    </w:p>
    <w:p w:rsidR="008F0D85" w:rsidRDefault="00AE42A1">
      <w:pPr>
        <w:numPr>
          <w:ilvl w:val="0"/>
          <w:numId w:val="42"/>
        </w:numPr>
        <w:spacing w:after="51" w:line="240" w:lineRule="auto"/>
        <w:contextualSpacing/>
        <w:jc w:val="left"/>
        <w:rPr>
          <w:rFonts w:cs="Calibri"/>
          <w:color w:val="000000"/>
          <w:sz w:val="20"/>
          <w:szCs w:val="20"/>
          <w:lang w:val="en-US"/>
        </w:rPr>
      </w:pPr>
      <w:r>
        <w:rPr>
          <w:rFonts w:cs="Calibri"/>
          <w:color w:val="000000"/>
          <w:sz w:val="20"/>
          <w:szCs w:val="20"/>
          <w:lang w:val="en-US"/>
        </w:rPr>
        <w:t xml:space="preserve">Procjena rizika od katastrofa za Republiku Hrvatsku, 2016.god. </w:t>
      </w:r>
    </w:p>
    <w:p w:rsidR="008F0D85" w:rsidRDefault="00AE42A1">
      <w:pPr>
        <w:numPr>
          <w:ilvl w:val="0"/>
          <w:numId w:val="42"/>
        </w:numPr>
        <w:spacing w:after="51" w:line="240" w:lineRule="auto"/>
        <w:contextualSpacing/>
        <w:jc w:val="left"/>
        <w:rPr>
          <w:rFonts w:cs="Calibri"/>
          <w:color w:val="000000"/>
          <w:sz w:val="20"/>
          <w:szCs w:val="20"/>
          <w:lang w:val="en-US"/>
        </w:rPr>
      </w:pPr>
      <w:r>
        <w:rPr>
          <w:rFonts w:cs="Calibri"/>
          <w:color w:val="000000"/>
          <w:sz w:val="20"/>
          <w:szCs w:val="20"/>
          <w:lang w:val="en-US"/>
        </w:rPr>
        <w:t xml:space="preserve">Procjena ugroženosti stanovništva, materijalnih i kulturnih </w:t>
      </w:r>
      <w:r>
        <w:rPr>
          <w:rFonts w:cs="Calibri"/>
          <w:color w:val="000000"/>
          <w:sz w:val="20"/>
          <w:szCs w:val="20"/>
          <w:lang w:val="en-US"/>
        </w:rPr>
        <w:t>dobara i okoliša Općine Kloštar Podravski, 2015.god.</w:t>
      </w:r>
    </w:p>
    <w:p w:rsidR="008F0D85" w:rsidRDefault="00AE42A1">
      <w:pPr>
        <w:numPr>
          <w:ilvl w:val="0"/>
          <w:numId w:val="42"/>
        </w:numPr>
        <w:spacing w:after="51" w:line="240" w:lineRule="auto"/>
        <w:contextualSpacing/>
        <w:jc w:val="left"/>
        <w:rPr>
          <w:rFonts w:cs="Calibri"/>
          <w:color w:val="000000"/>
          <w:sz w:val="20"/>
          <w:szCs w:val="20"/>
          <w:lang w:val="en-US"/>
        </w:rPr>
      </w:pPr>
      <w:r>
        <w:rPr>
          <w:rFonts w:cs="Calibri"/>
          <w:color w:val="000000"/>
          <w:sz w:val="20"/>
          <w:szCs w:val="20"/>
          <w:lang w:val="en-US"/>
        </w:rPr>
        <w:t xml:space="preserve">Procjena ugroženosti stanovništva, materijalnih i kulturnih dobara i okoliša za Koprivničko – križevačku županiju, 2015.god. </w:t>
      </w:r>
    </w:p>
    <w:p w:rsidR="008F0D85" w:rsidRDefault="00AE42A1">
      <w:pPr>
        <w:numPr>
          <w:ilvl w:val="0"/>
          <w:numId w:val="42"/>
        </w:numPr>
        <w:spacing w:after="51" w:line="240" w:lineRule="auto"/>
        <w:contextualSpacing/>
        <w:jc w:val="left"/>
        <w:rPr>
          <w:rFonts w:cs="Calibri"/>
          <w:color w:val="000000"/>
          <w:sz w:val="20"/>
          <w:szCs w:val="20"/>
          <w:lang w:val="en-US"/>
        </w:rPr>
      </w:pPr>
      <w:r>
        <w:rPr>
          <w:rFonts w:cs="Calibri"/>
          <w:color w:val="000000"/>
          <w:sz w:val="20"/>
          <w:szCs w:val="20"/>
          <w:lang w:val="en-US"/>
        </w:rPr>
        <w:lastRenderedPageBreak/>
        <w:t xml:space="preserve">Smjernice za izradu Procjene rizika od velikih nesreća na području Koprivničko - križevačke županije, 2017.god. </w:t>
      </w:r>
    </w:p>
    <w:p w:rsidR="008F0D85" w:rsidRDefault="00AE42A1">
      <w:pPr>
        <w:numPr>
          <w:ilvl w:val="0"/>
          <w:numId w:val="42"/>
        </w:numPr>
        <w:spacing w:after="51" w:line="240" w:lineRule="auto"/>
        <w:contextualSpacing/>
        <w:jc w:val="left"/>
        <w:rPr>
          <w:rFonts w:cs="Calibri"/>
          <w:color w:val="000000"/>
          <w:sz w:val="20"/>
          <w:szCs w:val="20"/>
          <w:lang w:val="en-US"/>
        </w:rPr>
      </w:pPr>
      <w:r>
        <w:rPr>
          <w:rFonts w:cs="Calibri"/>
          <w:color w:val="000000"/>
          <w:sz w:val="20"/>
          <w:szCs w:val="20"/>
          <w:lang w:val="en-US"/>
        </w:rPr>
        <w:t xml:space="preserve">Zakon o sustavu civilne zaštite („Narodne Novine“ br. 82/15) </w:t>
      </w:r>
    </w:p>
    <w:p w:rsidR="008F0D85" w:rsidRDefault="00AE42A1">
      <w:pPr>
        <w:numPr>
          <w:ilvl w:val="0"/>
          <w:numId w:val="42"/>
        </w:numPr>
        <w:spacing w:after="0" w:line="240" w:lineRule="auto"/>
        <w:contextualSpacing/>
        <w:jc w:val="left"/>
        <w:rPr>
          <w:rFonts w:cs="Calibri"/>
          <w:color w:val="000000"/>
          <w:sz w:val="20"/>
          <w:szCs w:val="20"/>
          <w:lang w:val="en-US"/>
        </w:rPr>
      </w:pPr>
      <w:r>
        <w:rPr>
          <w:rFonts w:cs="Calibri"/>
          <w:color w:val="000000"/>
          <w:sz w:val="20"/>
          <w:szCs w:val="20"/>
          <w:lang w:val="en-US"/>
        </w:rPr>
        <w:t xml:space="preserve">Zavod za hitnu medicinu Koprivničko – križevačke županije </w:t>
      </w:r>
    </w:p>
    <w:p w:rsidR="008F0D85" w:rsidRDefault="008F0D85">
      <w:pPr>
        <w:spacing w:after="0" w:line="240" w:lineRule="auto"/>
        <w:rPr>
          <w:rFonts w:cs="Calibri"/>
          <w:color w:val="000000"/>
          <w:sz w:val="20"/>
          <w:szCs w:val="20"/>
          <w:highlight w:val="yellow"/>
          <w:lang w:val="en-US"/>
        </w:rPr>
      </w:pPr>
    </w:p>
    <w:p w:rsidR="008F0D85" w:rsidRDefault="008F0D85"/>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8F0D85">
      <w:pPr>
        <w:shd w:val="clear" w:color="auto" w:fill="FFFFFF"/>
        <w:rPr>
          <w:rFonts w:cs="Calibri"/>
          <w:szCs w:val="24"/>
        </w:rPr>
      </w:pPr>
    </w:p>
    <w:p w:rsidR="008F0D85" w:rsidRDefault="00AE42A1">
      <w:pPr>
        <w:pStyle w:val="Naslov2"/>
      </w:pPr>
      <w:bookmarkStart w:id="595" w:name="_Toc512434630"/>
      <w:bookmarkStart w:id="596" w:name="_Toc514240199"/>
      <w:bookmarkStart w:id="597" w:name="_Toc516128303"/>
      <w:bookmarkStart w:id="598" w:name="_Toc527969398"/>
      <w:bookmarkEnd w:id="595"/>
      <w:bookmarkEnd w:id="596"/>
      <w:bookmarkEnd w:id="597"/>
      <w:bookmarkEnd w:id="598"/>
      <w:r>
        <w:t>6.3. Suša</w:t>
      </w:r>
    </w:p>
    <w:p w:rsidR="008F0D85" w:rsidRDefault="00AE42A1">
      <w:pPr>
        <w:pStyle w:val="Naslov3"/>
      </w:pPr>
      <w:bookmarkStart w:id="599" w:name="_Toc512434631"/>
      <w:bookmarkStart w:id="600" w:name="_Toc514240200"/>
      <w:bookmarkStart w:id="601" w:name="_Toc516128304"/>
      <w:bookmarkStart w:id="602" w:name="_Toc527969399"/>
      <w:bookmarkEnd w:id="599"/>
      <w:bookmarkEnd w:id="600"/>
      <w:bookmarkEnd w:id="601"/>
      <w:bookmarkEnd w:id="602"/>
      <w:r>
        <w:t>6.3.1. RIZIK – Suša</w:t>
      </w:r>
    </w:p>
    <w:p w:rsidR="008F0D85" w:rsidRDefault="00AE42A1">
      <w:pPr>
        <w:pStyle w:val="Naslov4"/>
      </w:pPr>
      <w:bookmarkStart w:id="603" w:name="_Toc512434632"/>
      <w:bookmarkStart w:id="604" w:name="_Toc514240201"/>
      <w:bookmarkStart w:id="605" w:name="_Toc516128305"/>
      <w:bookmarkStart w:id="606" w:name="_Toc527969400"/>
      <w:bookmarkEnd w:id="603"/>
      <w:bookmarkEnd w:id="604"/>
      <w:bookmarkEnd w:id="605"/>
      <w:bookmarkEnd w:id="606"/>
      <w:r>
        <w:t>6.3.1.1. NAZIV SCENARIJA – Pojava suše uslijed dužeg vremenskog razdoblja bez oborina</w:t>
      </w:r>
    </w:p>
    <w:p w:rsidR="008F0D85" w:rsidRDefault="008F0D85"/>
    <w:tbl>
      <w:tblPr>
        <w:tblW w:w="9097"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9097"/>
      </w:tblGrid>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Naziv scenarija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tabs>
                <w:tab w:val="left" w:pos="1395"/>
              </w:tabs>
              <w:spacing w:after="0"/>
              <w:rPr>
                <w:rFonts w:cs="Calibri"/>
                <w:i/>
                <w:sz w:val="20"/>
                <w:szCs w:val="20"/>
              </w:rPr>
            </w:pPr>
            <w:r>
              <w:rPr>
                <w:rFonts w:cs="Calibri"/>
                <w:i/>
                <w:sz w:val="20"/>
                <w:szCs w:val="20"/>
              </w:rPr>
              <w:t xml:space="preserve">Pojava suše uslijed dužeg vremenskog </w:t>
            </w:r>
            <w:r>
              <w:rPr>
                <w:rFonts w:cs="Calibri"/>
                <w:i/>
                <w:sz w:val="20"/>
                <w:szCs w:val="20"/>
              </w:rPr>
              <w:t>razdoblja bez oborina</w:t>
            </w:r>
          </w:p>
        </w:tc>
      </w:tr>
      <w:tr w:rsidR="008F0D85">
        <w:trPr>
          <w:trHeight w:val="248"/>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Grupa rizika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i/>
                <w:sz w:val="20"/>
              </w:rPr>
              <w:t>Suša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Rizik</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i/>
                <w:sz w:val="20"/>
              </w:rPr>
              <w:t>Suša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Radna skupina</w:t>
            </w:r>
          </w:p>
        </w:tc>
      </w:tr>
      <w:tr w:rsidR="008F0D85">
        <w:trPr>
          <w:trHeight w:val="251"/>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rFonts w:cs="Calibri"/>
                <w:i/>
              </w:rPr>
            </w:pPr>
            <w:r>
              <w:rPr>
                <w:b/>
                <w:sz w:val="20"/>
              </w:rPr>
              <w:t xml:space="preserve">Koordinator: </w:t>
            </w:r>
            <w:r>
              <w:rPr>
                <w:i/>
                <w:sz w:val="20"/>
              </w:rPr>
              <w:t>Ivan Čupen, načelnik Stožera civilne zaštite Općine Kloštar Podravski</w:t>
            </w:r>
          </w:p>
        </w:tc>
      </w:tr>
      <w:tr w:rsidR="008F0D85">
        <w:trPr>
          <w:trHeight w:val="255"/>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b/>
                <w:sz w:val="20"/>
              </w:rPr>
              <w:lastRenderedPageBreak/>
              <w:t xml:space="preserve">Nositelj: </w:t>
            </w:r>
            <w:r>
              <w:rPr>
                <w:i/>
                <w:sz w:val="20"/>
              </w:rPr>
              <w:t>Martin Krupski, predsjednik Vatrogasne zajednice</w:t>
            </w:r>
          </w:p>
        </w:tc>
      </w:tr>
      <w:tr w:rsidR="008F0D85">
        <w:trPr>
          <w:trHeight w:val="248"/>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b/>
                <w:sz w:val="20"/>
              </w:rPr>
              <w:t xml:space="preserve">Izvršitelj: </w:t>
            </w:r>
            <w:r>
              <w:rPr>
                <w:i/>
                <w:sz w:val="20"/>
              </w:rPr>
              <w:t xml:space="preserve">Mladen Klikić, član DVD-a </w:t>
            </w:r>
          </w:p>
        </w:tc>
      </w:tr>
    </w:tbl>
    <w:p w:rsidR="008F0D85" w:rsidRDefault="008F0D85"/>
    <w:p w:rsidR="008F0D85" w:rsidRDefault="00AE42A1">
      <w:pPr>
        <w:pStyle w:val="Naslov4"/>
      </w:pPr>
      <w:bookmarkStart w:id="607" w:name="_Toc512434633"/>
      <w:bookmarkStart w:id="608" w:name="_Toc514240202"/>
      <w:bookmarkStart w:id="609" w:name="_Toc516128306"/>
      <w:bookmarkStart w:id="610" w:name="_Toc527969401"/>
      <w:bookmarkEnd w:id="607"/>
      <w:bookmarkEnd w:id="608"/>
      <w:bookmarkEnd w:id="609"/>
      <w:bookmarkEnd w:id="610"/>
      <w:r>
        <w:t>6.3.1.2. Uvod – Suša</w:t>
      </w:r>
    </w:p>
    <w:p w:rsidR="008F0D85" w:rsidRDefault="008F0D85"/>
    <w:p w:rsidR="008F0D85" w:rsidRDefault="00AE42A1">
      <w:pPr>
        <w:rPr>
          <w:rFonts w:cs="Calibri"/>
          <w:szCs w:val="24"/>
        </w:rPr>
      </w:pPr>
      <w:r>
        <w:rPr>
          <w:rFonts w:cs="Calibri"/>
          <w:szCs w:val="24"/>
        </w:rPr>
        <w:t xml:space="preserve">Suša predstavlja dugotrajnu i regionalno sveobuhvatnu pojavu količina svih vrsta voda nižih od prosječnih. Može biti karakterizirana količinama oborina manjim od prosječnih, ali i </w:t>
      </w:r>
      <w:r>
        <w:rPr>
          <w:rFonts w:cs="Calibri"/>
          <w:szCs w:val="24"/>
        </w:rPr>
        <w:t>preraspodjelom oborina tijekom godine različitom od uobičajene raspodjele u regiji. Na pojavu suša bitno utječu povećane (iznadprosječne) temperature zraka. Sušu karakteriziraju manje od prosječnih količina:</w:t>
      </w:r>
    </w:p>
    <w:p w:rsidR="008F0D85" w:rsidRDefault="00AE42A1">
      <w:pPr>
        <w:numPr>
          <w:ilvl w:val="2"/>
          <w:numId w:val="43"/>
        </w:numPr>
        <w:contextualSpacing/>
        <w:jc w:val="left"/>
        <w:rPr>
          <w:rFonts w:cs="Calibri"/>
          <w:szCs w:val="24"/>
          <w:lang w:val="en-US"/>
        </w:rPr>
      </w:pPr>
      <w:r>
        <w:rPr>
          <w:rFonts w:cs="Calibri"/>
          <w:szCs w:val="24"/>
          <w:lang w:val="en-US"/>
        </w:rPr>
        <w:t xml:space="preserve">površinskih voda (protoka i/ili </w:t>
      </w:r>
      <w:r>
        <w:rPr>
          <w:rFonts w:cs="Calibri"/>
          <w:szCs w:val="24"/>
          <w:lang w:val="en-US"/>
        </w:rPr>
        <w:t>vodostaja),</w:t>
      </w:r>
    </w:p>
    <w:p w:rsidR="008F0D85" w:rsidRDefault="00AE42A1">
      <w:pPr>
        <w:numPr>
          <w:ilvl w:val="2"/>
          <w:numId w:val="43"/>
        </w:numPr>
        <w:contextualSpacing/>
        <w:jc w:val="left"/>
        <w:rPr>
          <w:rFonts w:cs="Calibri"/>
          <w:szCs w:val="24"/>
          <w:lang w:val="en-US"/>
        </w:rPr>
      </w:pPr>
      <w:r>
        <w:rPr>
          <w:rFonts w:cs="Calibri"/>
          <w:szCs w:val="24"/>
          <w:lang w:val="en-US"/>
        </w:rPr>
        <w:t>razina podzemnih voda,</w:t>
      </w:r>
    </w:p>
    <w:p w:rsidR="008F0D85" w:rsidRDefault="00AE42A1">
      <w:pPr>
        <w:numPr>
          <w:ilvl w:val="2"/>
          <w:numId w:val="43"/>
        </w:numPr>
        <w:contextualSpacing/>
        <w:jc w:val="left"/>
        <w:rPr>
          <w:rFonts w:cs="Calibri"/>
          <w:szCs w:val="24"/>
          <w:lang w:val="en-US"/>
        </w:rPr>
      </w:pPr>
      <w:r>
        <w:rPr>
          <w:rFonts w:cs="Calibri"/>
          <w:szCs w:val="24"/>
          <w:lang w:val="en-US"/>
        </w:rPr>
        <w:t>vlage u tlu itd.</w:t>
      </w:r>
    </w:p>
    <w:p w:rsidR="008F0D85" w:rsidRDefault="008F0D85">
      <w:pPr>
        <w:ind w:left="2160"/>
        <w:contextualSpacing/>
        <w:jc w:val="left"/>
        <w:rPr>
          <w:rFonts w:cs="Calibri"/>
          <w:szCs w:val="24"/>
          <w:lang w:val="en-US"/>
        </w:rPr>
      </w:pPr>
    </w:p>
    <w:p w:rsidR="008F0D85" w:rsidRDefault="00AE42A1">
      <w:r>
        <w:t>Svjetska meteorološka organizacija (WMO, 1992) je definirala sušu kroz nekoliko pojava:</w:t>
      </w:r>
    </w:p>
    <w:p w:rsidR="008F0D85" w:rsidRDefault="00AE42A1">
      <w:pPr>
        <w:numPr>
          <w:ilvl w:val="0"/>
          <w:numId w:val="44"/>
        </w:numPr>
        <w:contextualSpacing/>
        <w:jc w:val="left"/>
        <w:rPr>
          <w:szCs w:val="24"/>
          <w:lang w:val="en-US"/>
        </w:rPr>
      </w:pPr>
      <w:r>
        <w:rPr>
          <w:szCs w:val="24"/>
          <w:lang w:val="en-US"/>
        </w:rPr>
        <w:t xml:space="preserve">produljeni izostanak ili naglašeni deficit oborine, </w:t>
      </w:r>
    </w:p>
    <w:p w:rsidR="008F0D85" w:rsidRDefault="00AE42A1">
      <w:pPr>
        <w:numPr>
          <w:ilvl w:val="0"/>
          <w:numId w:val="44"/>
        </w:numPr>
        <w:contextualSpacing/>
        <w:jc w:val="left"/>
        <w:rPr>
          <w:szCs w:val="24"/>
          <w:lang w:val="en-US"/>
        </w:rPr>
      </w:pPr>
      <w:r>
        <w:rPr>
          <w:szCs w:val="24"/>
          <w:lang w:val="en-US"/>
        </w:rPr>
        <w:t>period neočekivano suhog vremena u kojem nedostatak oborine uz</w:t>
      </w:r>
      <w:r>
        <w:rPr>
          <w:szCs w:val="24"/>
          <w:lang w:val="en-US"/>
        </w:rPr>
        <w:t>rokuje ozbiljnu hidrološku neravnotežu,</w:t>
      </w:r>
    </w:p>
    <w:p w:rsidR="008F0D85" w:rsidRDefault="00AE42A1">
      <w:pPr>
        <w:numPr>
          <w:ilvl w:val="0"/>
          <w:numId w:val="44"/>
        </w:numPr>
        <w:contextualSpacing/>
        <w:jc w:val="left"/>
        <w:rPr>
          <w:szCs w:val="24"/>
          <w:lang w:val="en-US"/>
        </w:rPr>
      </w:pPr>
      <w:r>
        <w:rPr>
          <w:szCs w:val="24"/>
          <w:lang w:val="en-US"/>
        </w:rPr>
        <w:t xml:space="preserve">deficit oborine koji uzrokuje manjak vode za određenu djelatnost, Američko meteorološko društvo definiralo je 1997. četiri tipa suše (Heim, 2002): meteorološka ili klimatološka suša, agronomska suša, hidrološka suša </w:t>
      </w:r>
      <w:r>
        <w:rPr>
          <w:szCs w:val="24"/>
          <w:lang w:val="en-US"/>
        </w:rPr>
        <w:t>i socio-ekonomska suša.</w:t>
      </w:r>
    </w:p>
    <w:p w:rsidR="008F0D85" w:rsidRDefault="008F0D85">
      <w:pPr>
        <w:ind w:left="720"/>
        <w:contextualSpacing/>
        <w:jc w:val="left"/>
        <w:rPr>
          <w:szCs w:val="24"/>
          <w:lang w:val="en-US"/>
        </w:rPr>
      </w:pPr>
    </w:p>
    <w:p w:rsidR="008F0D85" w:rsidRDefault="00AE42A1">
      <w:r>
        <w:rPr>
          <w:i/>
        </w:rPr>
        <w:t>Meteorološka suša</w:t>
      </w:r>
      <w:r>
        <w:t xml:space="preserve"> uzrokovana je smanjenom količinom oborine u odnosu na višegodišnji prosjek ili potpunim izostankom oborine u određenom vremenskom razdoblju. Meteorološka suša se može naglo razviti i naglo prestati. </w:t>
      </w:r>
    </w:p>
    <w:p w:rsidR="008F0D85" w:rsidRDefault="00AE42A1">
      <w:r>
        <w:rPr>
          <w:i/>
        </w:rPr>
        <w:t>Hidrološka suša</w:t>
      </w:r>
      <w:r>
        <w:t>, točnije deficit oborina u duljem vremenskom razdoblju utječe na površinske i podzemne zalihe vode: na protok vode u rijekama i potocima, na razinu vode u jezerima i na razinu podzemnih voda. Kada se protoci i razine smanje govori se o hidr</w:t>
      </w:r>
      <w:r>
        <w:t xml:space="preserve">ološkoj suši. Početak hidrološke suše može zaostajati nekoliko mjeseci za početkom meteorološke suše, no i trajati i nakon završetka meteorološke suše. </w:t>
      </w:r>
    </w:p>
    <w:p w:rsidR="008F0D85" w:rsidRDefault="00AE42A1">
      <w:r>
        <w:rPr>
          <w:i/>
        </w:rPr>
        <w:t>Agronomska suša</w:t>
      </w:r>
      <w:r>
        <w:t xml:space="preserve"> predstavlja kratkoročan manjak vode u razdoblju od nekoliko tjedana u površinskom sloju</w:t>
      </w:r>
      <w:r>
        <w:t xml:space="preserve"> tla, koji se događa u kritično vrijeme za razvoj biljaka, može uzrokovati agronomsku sušu. Početak agronomske suše može zaostajati za meteorološkom sušom, ovisno o stanju površinskog sloja tla. Visoke temperature, niska relativna vlažnost zraka i vjetar p</w:t>
      </w:r>
      <w:r>
        <w:t xml:space="preserve">ojačavaju negativne posljedice agronomske suše. </w:t>
      </w:r>
    </w:p>
    <w:p w:rsidR="008F0D85" w:rsidRDefault="00AE42A1">
      <w:r>
        <w:rPr>
          <w:i/>
        </w:rPr>
        <w:lastRenderedPageBreak/>
        <w:t>Socio-ekonomska suša</w:t>
      </w:r>
      <w:r>
        <w:t xml:space="preserve"> povezuje potražnju i opskrbu određenog ekonomskog dobra (vrijednost) s elementima meteorološke, hidrološke i agronomske suše.</w:t>
      </w:r>
      <w:r>
        <w:rPr>
          <w:rStyle w:val="Sidrofusnote"/>
        </w:rPr>
        <w:footnoteReference w:id="2"/>
      </w:r>
    </w:p>
    <w:p w:rsidR="008F0D85" w:rsidRDefault="008F0D85">
      <w:pPr>
        <w:keepNext/>
        <w:keepLines/>
        <w:spacing w:before="200" w:after="0"/>
        <w:outlineLvl w:val="3"/>
        <w:rPr>
          <w:bCs/>
          <w:iCs/>
          <w:sz w:val="20"/>
          <w:lang w:eastAsia="hr-HR"/>
        </w:rPr>
      </w:pPr>
    </w:p>
    <w:p w:rsidR="008F0D85" w:rsidRDefault="00AE42A1">
      <w:pPr>
        <w:pStyle w:val="Naslov4"/>
      </w:pPr>
      <w:bookmarkStart w:id="613" w:name="_Toc512434634"/>
      <w:bookmarkStart w:id="614" w:name="_Toc514240203"/>
      <w:bookmarkStart w:id="615" w:name="_Toc516128307"/>
      <w:bookmarkStart w:id="616" w:name="_Toc527969402"/>
      <w:bookmarkEnd w:id="613"/>
      <w:bookmarkEnd w:id="614"/>
      <w:bookmarkEnd w:id="615"/>
      <w:bookmarkEnd w:id="616"/>
      <w:r>
        <w:t xml:space="preserve">6.3.1.3. Prikaz utjecaja suše na kritičnu infrastrukturu </w:t>
      </w:r>
      <w:r>
        <w:t>(KI)</w:t>
      </w:r>
    </w:p>
    <w:p w:rsidR="008F0D85" w:rsidRDefault="008F0D85"/>
    <w:tbl>
      <w:tblPr>
        <w:tblW w:w="9107"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958"/>
        <w:gridCol w:w="8149"/>
      </w:tblGrid>
      <w:tr w:rsidR="008F0D85">
        <w:trPr>
          <w:trHeight w:val="384"/>
          <w:tblHeader/>
          <w:jc w:val="center"/>
        </w:trPr>
        <w:tc>
          <w:tcPr>
            <w:tcW w:w="95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Utjecaj</w:t>
            </w:r>
          </w:p>
        </w:tc>
        <w:tc>
          <w:tcPr>
            <w:tcW w:w="814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Sektor</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Komunikacijska i informacijska tehnologija (elektroničke komunikacije, prijenos podataka, informacijski sustavi, pružanje audio i audiovizualnih medijskih usluga)</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Promet (cestovni, željeznički, zračni, pomorski i promet </w:t>
            </w:r>
            <w:r>
              <w:rPr>
                <w:sz w:val="20"/>
                <w:szCs w:val="20"/>
              </w:rPr>
              <w:t>unutarnjim plovnim putevima)</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Zdravstvo (zdravstvena zaštita, proizvodnja, promet i nadzor nad lijekovima)</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Vodno gospodarstvo (regulacijske i zaštitne vodne građevine i komunalne vodne građevine)</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Hrana (proizvodnja i opskrba hranom i sustav sigurnosti hrane, robne zalihe) </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Financije (bankarstvo, burze, investicije, sustavi osiguranja i plaćanja)</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Proizvodnja, skladištenje i prijevoz opasnih tvari (kemijski, biološki, radiološki i </w:t>
            </w:r>
            <w:r>
              <w:rPr>
                <w:sz w:val="20"/>
                <w:szCs w:val="20"/>
              </w:rPr>
              <w:t>nuklearni materijali)</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Javne službe (osiguranje javnog reda i mira, zaštita i spašavanje, hitna medicinska pomoć)</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Nacionalni spomenici i vrijednosti</w:t>
            </w:r>
          </w:p>
        </w:tc>
      </w:tr>
    </w:tbl>
    <w:p w:rsidR="008F0D85" w:rsidRDefault="008F0D85">
      <w:pPr>
        <w:rPr>
          <w:sz w:val="20"/>
          <w:szCs w:val="20"/>
        </w:rPr>
      </w:pPr>
    </w:p>
    <w:p w:rsidR="008F0D85" w:rsidRDefault="00AE42A1">
      <w:pPr>
        <w:pStyle w:val="Naslov4"/>
      </w:pPr>
      <w:bookmarkStart w:id="617" w:name="_Toc512434635"/>
      <w:bookmarkStart w:id="618" w:name="_Toc514240204"/>
      <w:bookmarkStart w:id="619" w:name="_Toc516128308"/>
      <w:bookmarkStart w:id="620" w:name="_Toc527969403"/>
      <w:bookmarkEnd w:id="617"/>
      <w:bookmarkEnd w:id="618"/>
      <w:bookmarkEnd w:id="619"/>
      <w:bookmarkEnd w:id="620"/>
      <w:r>
        <w:t>6.3.1.4. Kontekst – Pojava suše</w:t>
      </w:r>
    </w:p>
    <w:p w:rsidR="008F0D85" w:rsidRDefault="008F0D85"/>
    <w:p w:rsidR="008F0D85" w:rsidRDefault="00AE42A1">
      <w:pPr>
        <w:rPr>
          <w:rFonts w:cs="Cambria"/>
          <w:color w:val="000000"/>
          <w:szCs w:val="24"/>
          <w:lang w:eastAsia="hr-HR"/>
        </w:rPr>
      </w:pPr>
      <w:r>
        <w:rPr>
          <w:rFonts w:cs="Calibri"/>
          <w:szCs w:val="24"/>
          <w:shd w:val="clear" w:color="auto" w:fill="FFFFFF"/>
        </w:rPr>
        <w:t>Suša je jedna od najčešće istraživanih pojava zbog interakcije između klimatskog sustava i ljudi i obilježava društva na svim razinama ekonomske razvijenosti. Pojava hidrološke i agrometeorološke suše na području Općine česta je pojava  posljednjih 20 godi</w:t>
      </w:r>
      <w:r>
        <w:rPr>
          <w:rFonts w:cs="Calibri"/>
          <w:szCs w:val="24"/>
          <w:shd w:val="clear" w:color="auto" w:fill="FFFFFF"/>
        </w:rPr>
        <w:t xml:space="preserve">na, a elementarne nepogode zabilježene su nekoliko puta. Meteorološka suša ili dulje razdoblje bez oborina, povremeno uzrokuje ozbiljne štete prvenstveno u poljoprivredi. </w:t>
      </w:r>
      <w:r>
        <w:rPr>
          <w:rFonts w:cs="Cambria"/>
          <w:bCs/>
          <w:color w:val="000000"/>
          <w:szCs w:val="24"/>
        </w:rPr>
        <w:t>Učinci</w:t>
      </w:r>
      <w:r>
        <w:rPr>
          <w:rFonts w:cs="Cambria"/>
          <w:b/>
          <w:bCs/>
          <w:color w:val="000000"/>
          <w:szCs w:val="24"/>
        </w:rPr>
        <w:t xml:space="preserve"> </w:t>
      </w:r>
      <w:r>
        <w:rPr>
          <w:rFonts w:cs="Cambria"/>
          <w:color w:val="000000"/>
          <w:szCs w:val="24"/>
        </w:rPr>
        <w:t>suše, uvjetovani duljim nedostatkom oborina, visokom temperaturom i niskom vla</w:t>
      </w:r>
      <w:r>
        <w:rPr>
          <w:rFonts w:cs="Cambria"/>
          <w:color w:val="000000"/>
          <w:szCs w:val="24"/>
        </w:rPr>
        <w:t>žnošću zraka, očitovali bi se ubrzanim isparavanjem vode iz zemljišta i biljaka, postupnom isušivanju zemljišta, najprije površinskih slojeva, a kasnije i dubljih gdje se nalazi korijenje biljaka. Najveći gubici javljaju se u poljoprivrednoj proizvodnji ko</w:t>
      </w:r>
      <w:r>
        <w:rPr>
          <w:rFonts w:cs="Cambria"/>
          <w:color w:val="000000"/>
          <w:szCs w:val="24"/>
        </w:rPr>
        <w:t>jom se bavi stanovništvo Općine. Sama pojava suše nema direktan utjecaj na život i zdravlje ljudi te ne predstavlja ugrozu na život i zdravlje ljudi, međutim p</w:t>
      </w:r>
      <w:r>
        <w:rPr>
          <w:rFonts w:cs="Cambria"/>
          <w:color w:val="000000"/>
          <w:szCs w:val="24"/>
          <w:lang w:eastAsia="hr-HR"/>
        </w:rPr>
        <w:t>osljedice suše, intenziteta elementarne nepogode, mogu se negativno odraziti i na opskrbu stanovn</w:t>
      </w:r>
      <w:r>
        <w:rPr>
          <w:rFonts w:cs="Cambria"/>
          <w:color w:val="000000"/>
          <w:szCs w:val="24"/>
          <w:lang w:eastAsia="hr-HR"/>
        </w:rPr>
        <w:t>ištva vodom zbog smanjenja kapaciteta vodocrpilišta i presušivanjem bunara u privatnom vlasništvu.</w:t>
      </w:r>
    </w:p>
    <w:p w:rsidR="008F0D85" w:rsidRDefault="00AE42A1">
      <w:pPr>
        <w:jc w:val="center"/>
      </w:pPr>
      <w:r>
        <w:rPr>
          <w:noProof/>
        </w:rPr>
        <w:lastRenderedPageBreak/>
        <w:drawing>
          <wp:inline distT="0" distB="0" distL="0" distR="0">
            <wp:extent cx="5696585" cy="4382135"/>
            <wp:effectExtent l="0" t="0" r="0" b="0"/>
            <wp:docPr id="49"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lika 35"/>
                    <pic:cNvPicPr>
                      <a:picLocks noChangeAspect="1" noChangeArrowheads="1"/>
                    </pic:cNvPicPr>
                  </pic:nvPicPr>
                  <pic:blipFill>
                    <a:blip r:embed="rId43"/>
                    <a:stretch>
                      <a:fillRect/>
                    </a:stretch>
                  </pic:blipFill>
                  <pic:spPr bwMode="auto">
                    <a:xfrm>
                      <a:off x="0" y="0"/>
                      <a:ext cx="5696585" cy="4382135"/>
                    </a:xfrm>
                    <a:prstGeom prst="rect">
                      <a:avLst/>
                    </a:prstGeom>
                  </pic:spPr>
                </pic:pic>
              </a:graphicData>
            </a:graphic>
          </wp:inline>
        </w:drawing>
      </w:r>
    </w:p>
    <w:p w:rsidR="008F0D85" w:rsidRDefault="00AE42A1">
      <w:pPr>
        <w:spacing w:after="0" w:line="360" w:lineRule="auto"/>
        <w:rPr>
          <w:rFonts w:cs="Arial"/>
          <w:b/>
          <w:bCs/>
          <w:sz w:val="20"/>
          <w:szCs w:val="20"/>
        </w:rPr>
      </w:pPr>
      <w:bookmarkStart w:id="621" w:name="_Toc512434792"/>
      <w:bookmarkStart w:id="622" w:name="_Toc514240400"/>
      <w:bookmarkStart w:id="623" w:name="_Toc516128482"/>
      <w:bookmarkStart w:id="624" w:name="_Toc527969582"/>
      <w:r>
        <w:rPr>
          <w:rFonts w:cs="Arial"/>
          <w:b/>
          <w:bCs/>
          <w:sz w:val="20"/>
          <w:szCs w:val="20"/>
        </w:rPr>
        <w:t xml:space="preserve">Slika </w:t>
      </w:r>
      <w:r>
        <w:rPr>
          <w:rFonts w:cs="Arial"/>
          <w:b/>
          <w:bCs/>
          <w:sz w:val="20"/>
          <w:szCs w:val="20"/>
        </w:rPr>
        <w:fldChar w:fldCharType="begin"/>
      </w:r>
      <w:r>
        <w:instrText>SEQ Slika \* ARABIC</w:instrText>
      </w:r>
      <w:r>
        <w:fldChar w:fldCharType="separate"/>
      </w:r>
      <w:r>
        <w:t>10</w:t>
      </w:r>
      <w:r>
        <w:fldChar w:fldCharType="end"/>
      </w:r>
      <w:bookmarkEnd w:id="621"/>
      <w:bookmarkEnd w:id="622"/>
      <w:bookmarkEnd w:id="623"/>
      <w:bookmarkEnd w:id="624"/>
      <w:r>
        <w:rPr>
          <w:rFonts w:cs="Arial"/>
          <w:b/>
          <w:bCs/>
          <w:sz w:val="20"/>
          <w:szCs w:val="20"/>
        </w:rPr>
        <w:t>: Odstupanje srednje mjesečne temperature zraka od višegodišnjih prosjeka za razdoblje 1961. - 1990.god. za 2017.god.</w:t>
      </w:r>
    </w:p>
    <w:p w:rsidR="008F0D85" w:rsidRDefault="00AE42A1">
      <w:pPr>
        <w:spacing w:after="0" w:line="240" w:lineRule="auto"/>
        <w:rPr>
          <w:sz w:val="20"/>
          <w:szCs w:val="20"/>
        </w:rPr>
      </w:pPr>
      <w:r>
        <w:rPr>
          <w:sz w:val="20"/>
          <w:szCs w:val="20"/>
        </w:rPr>
        <w:t xml:space="preserve">Izvor: </w:t>
      </w:r>
      <w:r>
        <w:rPr>
          <w:sz w:val="20"/>
          <w:szCs w:val="20"/>
        </w:rPr>
        <w:t>Državni hidrometeorološki zavod, 2018.god.</w:t>
      </w:r>
    </w:p>
    <w:p w:rsidR="008F0D85" w:rsidRDefault="008F0D85">
      <w:pPr>
        <w:spacing w:after="0" w:line="240" w:lineRule="auto"/>
        <w:rPr>
          <w:sz w:val="20"/>
          <w:szCs w:val="20"/>
        </w:rPr>
      </w:pPr>
    </w:p>
    <w:p w:rsidR="008F0D85" w:rsidRDefault="008F0D85">
      <w:pPr>
        <w:spacing w:after="0" w:line="240" w:lineRule="auto"/>
        <w:rPr>
          <w:sz w:val="20"/>
          <w:szCs w:val="20"/>
        </w:rPr>
      </w:pPr>
    </w:p>
    <w:p w:rsidR="008F0D85" w:rsidRDefault="008F0D85">
      <w:pPr>
        <w:spacing w:after="0" w:line="240" w:lineRule="auto"/>
        <w:rPr>
          <w:sz w:val="20"/>
          <w:szCs w:val="20"/>
        </w:rPr>
      </w:pPr>
    </w:p>
    <w:p w:rsidR="008F0D85" w:rsidRDefault="008F0D85">
      <w:pPr>
        <w:spacing w:after="0" w:line="240" w:lineRule="auto"/>
        <w:rPr>
          <w:sz w:val="20"/>
          <w:szCs w:val="20"/>
        </w:rPr>
      </w:pPr>
    </w:p>
    <w:p w:rsidR="008F0D85" w:rsidRDefault="008F0D85">
      <w:pPr>
        <w:spacing w:after="0" w:line="240" w:lineRule="auto"/>
        <w:rPr>
          <w:sz w:val="20"/>
          <w:szCs w:val="20"/>
        </w:rPr>
      </w:pPr>
    </w:p>
    <w:p w:rsidR="008F0D85" w:rsidRDefault="008F0D85">
      <w:pPr>
        <w:spacing w:after="0" w:line="240" w:lineRule="auto"/>
        <w:rPr>
          <w:sz w:val="20"/>
          <w:szCs w:val="20"/>
        </w:rPr>
      </w:pPr>
    </w:p>
    <w:p w:rsidR="008F0D85" w:rsidRDefault="008F0D85">
      <w:pPr>
        <w:spacing w:after="0" w:line="240" w:lineRule="auto"/>
        <w:rPr>
          <w:sz w:val="20"/>
          <w:szCs w:val="20"/>
        </w:rPr>
      </w:pPr>
    </w:p>
    <w:p w:rsidR="008F0D85" w:rsidRDefault="008F0D85">
      <w:pPr>
        <w:spacing w:after="0" w:line="240" w:lineRule="auto"/>
        <w:rPr>
          <w:sz w:val="20"/>
          <w:szCs w:val="20"/>
        </w:rPr>
      </w:pPr>
    </w:p>
    <w:p w:rsidR="008F0D85" w:rsidRDefault="008F0D85">
      <w:pPr>
        <w:spacing w:after="0" w:line="240" w:lineRule="auto"/>
        <w:rPr>
          <w:sz w:val="20"/>
          <w:szCs w:val="20"/>
        </w:rPr>
      </w:pPr>
    </w:p>
    <w:p w:rsidR="008F0D85" w:rsidRDefault="008F0D85">
      <w:pPr>
        <w:spacing w:after="0" w:line="240" w:lineRule="auto"/>
        <w:rPr>
          <w:sz w:val="20"/>
          <w:szCs w:val="20"/>
        </w:rPr>
      </w:pPr>
    </w:p>
    <w:p w:rsidR="008F0D85" w:rsidRDefault="008F0D85">
      <w:pPr>
        <w:spacing w:after="0" w:line="240" w:lineRule="auto"/>
        <w:rPr>
          <w:sz w:val="20"/>
          <w:szCs w:val="20"/>
        </w:rPr>
      </w:pPr>
    </w:p>
    <w:p w:rsidR="008F0D85" w:rsidRDefault="00AE42A1">
      <w:pPr>
        <w:spacing w:after="0"/>
        <w:jc w:val="center"/>
      </w:pPr>
      <w:r>
        <w:rPr>
          <w:noProof/>
        </w:rPr>
        <w:lastRenderedPageBreak/>
        <w:drawing>
          <wp:inline distT="0" distB="0" distL="0" distR="0">
            <wp:extent cx="5048885" cy="3886835"/>
            <wp:effectExtent l="0" t="0" r="0" b="0"/>
            <wp:docPr id="50"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ka 36"/>
                    <pic:cNvPicPr>
                      <a:picLocks noChangeAspect="1" noChangeArrowheads="1"/>
                    </pic:cNvPicPr>
                  </pic:nvPicPr>
                  <pic:blipFill>
                    <a:blip r:embed="rId44"/>
                    <a:stretch>
                      <a:fillRect/>
                    </a:stretch>
                  </pic:blipFill>
                  <pic:spPr bwMode="auto">
                    <a:xfrm>
                      <a:off x="0" y="0"/>
                      <a:ext cx="5048885" cy="3886835"/>
                    </a:xfrm>
                    <a:prstGeom prst="rect">
                      <a:avLst/>
                    </a:prstGeom>
                  </pic:spPr>
                </pic:pic>
              </a:graphicData>
            </a:graphic>
          </wp:inline>
        </w:drawing>
      </w:r>
    </w:p>
    <w:p w:rsidR="008F0D85" w:rsidRDefault="00AE42A1">
      <w:pPr>
        <w:spacing w:after="0" w:line="360" w:lineRule="auto"/>
        <w:rPr>
          <w:rFonts w:cs="Arial"/>
          <w:b/>
          <w:bCs/>
          <w:sz w:val="20"/>
          <w:szCs w:val="20"/>
        </w:rPr>
      </w:pPr>
      <w:bookmarkStart w:id="625" w:name="_Toc512434793"/>
      <w:bookmarkStart w:id="626" w:name="_Toc514240401"/>
      <w:bookmarkStart w:id="627" w:name="_Toc516128483"/>
      <w:bookmarkStart w:id="628" w:name="_Toc527969583"/>
      <w:r>
        <w:rPr>
          <w:rFonts w:cs="Arial"/>
          <w:b/>
          <w:bCs/>
          <w:sz w:val="20"/>
          <w:szCs w:val="20"/>
        </w:rPr>
        <w:t xml:space="preserve">Slika </w:t>
      </w:r>
      <w:r>
        <w:rPr>
          <w:rFonts w:cs="Arial"/>
          <w:b/>
          <w:bCs/>
          <w:sz w:val="20"/>
          <w:szCs w:val="20"/>
        </w:rPr>
        <w:fldChar w:fldCharType="begin"/>
      </w:r>
      <w:r>
        <w:instrText>SEQ Slika \* ARABIC</w:instrText>
      </w:r>
      <w:r>
        <w:fldChar w:fldCharType="separate"/>
      </w:r>
      <w:r>
        <w:t>11</w:t>
      </w:r>
      <w:r>
        <w:fldChar w:fldCharType="end"/>
      </w:r>
      <w:bookmarkEnd w:id="625"/>
      <w:bookmarkEnd w:id="626"/>
      <w:bookmarkEnd w:id="627"/>
      <w:bookmarkEnd w:id="628"/>
      <w:r>
        <w:rPr>
          <w:rFonts w:cs="Arial"/>
          <w:b/>
          <w:bCs/>
          <w:sz w:val="20"/>
          <w:szCs w:val="20"/>
        </w:rPr>
        <w:t>: Odstupanje godišnjih količina oborina od  višegodišnjih prosjeka 1961. - 1990.god. za srpanj 2017.god.</w:t>
      </w:r>
    </w:p>
    <w:p w:rsidR="008F0D85" w:rsidRDefault="00AE42A1">
      <w:pPr>
        <w:spacing w:after="0" w:line="240" w:lineRule="auto"/>
        <w:rPr>
          <w:sz w:val="20"/>
          <w:szCs w:val="20"/>
        </w:rPr>
      </w:pPr>
      <w:bookmarkStart w:id="629" w:name="_Hlk503357313"/>
      <w:r>
        <w:rPr>
          <w:sz w:val="20"/>
          <w:szCs w:val="20"/>
        </w:rPr>
        <w:t>Izvor: Praćenje klime, HDMZ, 2018.god</w:t>
      </w:r>
      <w:bookmarkStart w:id="630" w:name="_Hlk512262454"/>
      <w:bookmarkEnd w:id="629"/>
      <w:bookmarkEnd w:id="630"/>
      <w:r>
        <w:rPr>
          <w:sz w:val="20"/>
          <w:szCs w:val="20"/>
        </w:rPr>
        <w:t>.</w:t>
      </w:r>
    </w:p>
    <w:p w:rsidR="008F0D85" w:rsidRDefault="00AE42A1">
      <w:pPr>
        <w:spacing w:after="0" w:line="240" w:lineRule="auto"/>
        <w:jc w:val="center"/>
        <w:rPr>
          <w:sz w:val="20"/>
          <w:szCs w:val="20"/>
        </w:rPr>
      </w:pPr>
      <w:r>
        <w:rPr>
          <w:noProof/>
        </w:rPr>
        <w:drawing>
          <wp:inline distT="0" distB="0" distL="0" distR="0">
            <wp:extent cx="5029835" cy="3886835"/>
            <wp:effectExtent l="0" t="0" r="0" b="0"/>
            <wp:docPr id="51"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37"/>
                    <pic:cNvPicPr>
                      <a:picLocks noChangeAspect="1" noChangeArrowheads="1"/>
                    </pic:cNvPicPr>
                  </pic:nvPicPr>
                  <pic:blipFill>
                    <a:blip r:embed="rId45"/>
                    <a:stretch>
                      <a:fillRect/>
                    </a:stretch>
                  </pic:blipFill>
                  <pic:spPr bwMode="auto">
                    <a:xfrm>
                      <a:off x="0" y="0"/>
                      <a:ext cx="5029835" cy="3886835"/>
                    </a:xfrm>
                    <a:prstGeom prst="rect">
                      <a:avLst/>
                    </a:prstGeom>
                  </pic:spPr>
                </pic:pic>
              </a:graphicData>
            </a:graphic>
          </wp:inline>
        </w:drawing>
      </w:r>
    </w:p>
    <w:p w:rsidR="008F0D85" w:rsidRDefault="00AE42A1">
      <w:pPr>
        <w:spacing w:after="0" w:line="240" w:lineRule="auto"/>
        <w:rPr>
          <w:rFonts w:cs="Arial"/>
          <w:b/>
          <w:bCs/>
          <w:sz w:val="20"/>
          <w:szCs w:val="20"/>
        </w:rPr>
      </w:pPr>
      <w:bookmarkStart w:id="631" w:name="_Toc512434794"/>
      <w:bookmarkStart w:id="632" w:name="_Toc514240402"/>
      <w:bookmarkStart w:id="633" w:name="_Toc516128484"/>
      <w:bookmarkStart w:id="634" w:name="_Toc527969584"/>
      <w:r>
        <w:rPr>
          <w:rFonts w:cs="Arial"/>
          <w:b/>
          <w:bCs/>
          <w:sz w:val="20"/>
          <w:szCs w:val="20"/>
        </w:rPr>
        <w:t xml:space="preserve">Slika </w:t>
      </w:r>
      <w:r>
        <w:rPr>
          <w:rFonts w:cs="Arial"/>
          <w:b/>
          <w:bCs/>
          <w:sz w:val="20"/>
          <w:szCs w:val="20"/>
        </w:rPr>
        <w:fldChar w:fldCharType="begin"/>
      </w:r>
      <w:r>
        <w:instrText>SEQ Slika \* ARABI</w:instrText>
      </w:r>
      <w:r>
        <w:instrText>C</w:instrText>
      </w:r>
      <w:r>
        <w:fldChar w:fldCharType="separate"/>
      </w:r>
      <w:r>
        <w:t>12</w:t>
      </w:r>
      <w:r>
        <w:fldChar w:fldCharType="end"/>
      </w:r>
      <w:bookmarkEnd w:id="631"/>
      <w:bookmarkEnd w:id="632"/>
      <w:bookmarkEnd w:id="633"/>
      <w:bookmarkEnd w:id="634"/>
      <w:r>
        <w:rPr>
          <w:rFonts w:cs="Arial"/>
          <w:b/>
          <w:bCs/>
          <w:sz w:val="20"/>
          <w:szCs w:val="20"/>
        </w:rPr>
        <w:t>: Odstupanje godišnjih količina oborina od višegodišnjih prosjeka 1961. - 1990.god. za kolovoz 2017.god.</w:t>
      </w:r>
    </w:p>
    <w:p w:rsidR="008F0D85" w:rsidRDefault="00AE42A1">
      <w:pPr>
        <w:spacing w:after="0" w:line="240" w:lineRule="auto"/>
        <w:rPr>
          <w:sz w:val="20"/>
          <w:szCs w:val="20"/>
        </w:rPr>
      </w:pPr>
      <w:r>
        <w:rPr>
          <w:sz w:val="20"/>
          <w:szCs w:val="20"/>
        </w:rPr>
        <w:lastRenderedPageBreak/>
        <w:t>Izvor: Praćenje klime, HDMZ, 2018.god.</w:t>
      </w:r>
    </w:p>
    <w:p w:rsidR="008F0D85" w:rsidRDefault="008F0D85">
      <w:pPr>
        <w:spacing w:after="0" w:line="240" w:lineRule="auto"/>
        <w:rPr>
          <w:sz w:val="20"/>
          <w:szCs w:val="20"/>
        </w:rPr>
      </w:pPr>
    </w:p>
    <w:p w:rsidR="008F0D85" w:rsidRDefault="00AE42A1">
      <w:pPr>
        <w:spacing w:after="0" w:line="240" w:lineRule="auto"/>
        <w:jc w:val="center"/>
        <w:rPr>
          <w:sz w:val="20"/>
          <w:szCs w:val="20"/>
        </w:rPr>
      </w:pPr>
      <w:r>
        <w:rPr>
          <w:noProof/>
        </w:rPr>
        <w:drawing>
          <wp:inline distT="0" distB="0" distL="0" distR="0">
            <wp:extent cx="5715635" cy="4210685"/>
            <wp:effectExtent l="0" t="0" r="0" b="0"/>
            <wp:docPr id="52"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ka 27"/>
                    <pic:cNvPicPr>
                      <a:picLocks noChangeAspect="1" noChangeArrowheads="1"/>
                    </pic:cNvPicPr>
                  </pic:nvPicPr>
                  <pic:blipFill>
                    <a:blip r:embed="rId46"/>
                    <a:stretch>
                      <a:fillRect/>
                    </a:stretch>
                  </pic:blipFill>
                  <pic:spPr bwMode="auto">
                    <a:xfrm>
                      <a:off x="0" y="0"/>
                      <a:ext cx="5715635" cy="4210685"/>
                    </a:xfrm>
                    <a:prstGeom prst="rect">
                      <a:avLst/>
                    </a:prstGeom>
                  </pic:spPr>
                </pic:pic>
              </a:graphicData>
            </a:graphic>
          </wp:inline>
        </w:drawing>
      </w:r>
    </w:p>
    <w:p w:rsidR="008F0D85" w:rsidRDefault="00AE42A1">
      <w:pPr>
        <w:spacing w:after="0" w:line="360" w:lineRule="auto"/>
        <w:rPr>
          <w:rFonts w:cs="Arial"/>
          <w:b/>
          <w:bCs/>
          <w:sz w:val="20"/>
          <w:szCs w:val="20"/>
        </w:rPr>
      </w:pPr>
      <w:bookmarkStart w:id="635" w:name="_Toc512434817"/>
      <w:bookmarkStart w:id="636" w:name="_Toc514240424"/>
      <w:bookmarkStart w:id="637" w:name="_Toc516128513"/>
      <w:bookmarkStart w:id="638" w:name="_Toc527969607"/>
      <w:r>
        <w:rPr>
          <w:rFonts w:cs="Arial"/>
          <w:b/>
          <w:bCs/>
          <w:sz w:val="20"/>
          <w:szCs w:val="20"/>
        </w:rPr>
        <w:t xml:space="preserve">Grafikon </w:t>
      </w:r>
      <w:r>
        <w:rPr>
          <w:rFonts w:cs="Arial"/>
          <w:b/>
          <w:bCs/>
          <w:sz w:val="20"/>
          <w:szCs w:val="20"/>
        </w:rPr>
        <w:fldChar w:fldCharType="begin"/>
      </w:r>
      <w:r>
        <w:instrText>SEQ Grafikon \* ARABIC</w:instrText>
      </w:r>
      <w:r>
        <w:fldChar w:fldCharType="separate"/>
      </w:r>
      <w:r>
        <w:t>6</w:t>
      </w:r>
      <w:r>
        <w:fldChar w:fldCharType="end"/>
      </w:r>
      <w:bookmarkEnd w:id="635"/>
      <w:bookmarkEnd w:id="636"/>
      <w:bookmarkEnd w:id="637"/>
      <w:bookmarkEnd w:id="638"/>
      <w:r>
        <w:rPr>
          <w:rFonts w:cs="Arial"/>
          <w:b/>
          <w:bCs/>
          <w:sz w:val="20"/>
          <w:szCs w:val="20"/>
        </w:rPr>
        <w:t xml:space="preserve">: Prikaz kumulativne količine oborine (mm) za srpanj </w:t>
      </w:r>
      <w:r>
        <w:rPr>
          <w:rFonts w:cs="Arial"/>
          <w:b/>
          <w:bCs/>
          <w:sz w:val="20"/>
          <w:szCs w:val="20"/>
        </w:rPr>
        <w:t>2017.god. i krivulje teorijskih percentila (2., 10., 25., 50., 75., 90. i 98.) za razdoblje 1961. - 2000.god.</w:t>
      </w:r>
    </w:p>
    <w:p w:rsidR="008F0D85" w:rsidRDefault="00AE42A1">
      <w:pPr>
        <w:spacing w:after="0" w:line="240" w:lineRule="auto"/>
        <w:rPr>
          <w:sz w:val="20"/>
          <w:szCs w:val="20"/>
        </w:rPr>
      </w:pPr>
      <w:r>
        <w:rPr>
          <w:sz w:val="20"/>
          <w:szCs w:val="20"/>
        </w:rPr>
        <w:t>Izvor: Praćenje klime, HDMZ, 2018.god.</w:t>
      </w:r>
    </w:p>
    <w:p w:rsidR="008F0D85" w:rsidRDefault="008F0D85">
      <w:pPr>
        <w:spacing w:after="0" w:line="240" w:lineRule="auto"/>
        <w:rPr>
          <w:sz w:val="20"/>
          <w:szCs w:val="20"/>
        </w:rPr>
      </w:pPr>
    </w:p>
    <w:p w:rsidR="008F0D85" w:rsidRDefault="00AE42A1">
      <w:pPr>
        <w:rPr>
          <w:rFonts w:cs="Calibri"/>
          <w:szCs w:val="24"/>
        </w:rPr>
      </w:pPr>
      <w:r>
        <w:rPr>
          <w:rFonts w:cs="Calibri"/>
          <w:szCs w:val="24"/>
          <w:shd w:val="clear" w:color="auto" w:fill="FFFFFF"/>
        </w:rPr>
        <w:t>Podebljana linija prikazuje kumulativnu količinu oborine [mm] na određenoj postaji od početka do kraja ana</w:t>
      </w:r>
      <w:r>
        <w:rPr>
          <w:rFonts w:cs="Calibri"/>
          <w:szCs w:val="24"/>
          <w:shd w:val="clear" w:color="auto" w:fill="FFFFFF"/>
        </w:rPr>
        <w:t>liziranog mjeseca. Glatke krivulje su teorijski percentili (2., 10., 25., 50., 75., 90. i 98.) koji daju ocjenu koliko trenutno stanje odstupa od prosječnog, tj. od medijana (50. percentil). Teorijske krivulje računaju se iz mjesečnih količina oborine na p</w:t>
      </w:r>
      <w:r>
        <w:rPr>
          <w:rFonts w:cs="Calibri"/>
          <w:szCs w:val="24"/>
          <w:shd w:val="clear" w:color="auto" w:fill="FFFFFF"/>
        </w:rPr>
        <w:t>ojedinoj postaji u višegodišnjem razdoblju 1961-2000.god. primjenom normalne razdiobe drugim korijenom. Vrijednost akumulirane količine oborine za pojedini dan u mjesecu manja od 25. percentila (prvi kvartil) upućuje na relativno sušno razdoblje za taj dio</w:t>
      </w:r>
      <w:r>
        <w:rPr>
          <w:rFonts w:cs="Calibri"/>
          <w:szCs w:val="24"/>
          <w:shd w:val="clear" w:color="auto" w:fill="FFFFFF"/>
        </w:rPr>
        <w:t xml:space="preserve"> godine, a vrijednost veća od 75. percentila (treći kvartil) ukazuju na kišne prilike. Prekoračenje 2. ili 98. percentila može se očekivati jednom u 50 godina i takvi slučajevi se mogu smatrati ekstremno sušnim odnosno ekstremno kišnim događajima. </w:t>
      </w:r>
    </w:p>
    <w:p w:rsidR="008F0D85" w:rsidRDefault="00AE42A1">
      <w:pPr>
        <w:rPr>
          <w:rFonts w:cs="Calibri"/>
          <w:szCs w:val="24"/>
          <w:highlight w:val="white"/>
        </w:rPr>
      </w:pPr>
      <w:r>
        <w:rPr>
          <w:rFonts w:cs="Calibri"/>
          <w:szCs w:val="24"/>
          <w:shd w:val="clear" w:color="auto" w:fill="FFFFFF"/>
        </w:rPr>
        <w:lastRenderedPageBreak/>
        <w:t>Crtkana</w:t>
      </w:r>
      <w:r>
        <w:rPr>
          <w:rFonts w:cs="Calibri"/>
          <w:szCs w:val="24"/>
          <w:shd w:val="clear" w:color="auto" w:fill="FFFFFF"/>
        </w:rPr>
        <w:t xml:space="preserve"> linija predstavlja prognozu količine oborine koja je izravni rezultat numeričkog modela ECMWF-a</w:t>
      </w:r>
      <w:r>
        <w:rPr>
          <w:rStyle w:val="Sidrofusnote"/>
          <w:rFonts w:cs="Calibri"/>
          <w:szCs w:val="24"/>
          <w:shd w:val="clear" w:color="auto" w:fill="FFFFFF"/>
        </w:rPr>
        <w:footnoteReference w:id="3"/>
      </w:r>
      <w:r>
        <w:rPr>
          <w:rFonts w:cs="Calibri"/>
          <w:szCs w:val="24"/>
          <w:shd w:val="clear" w:color="auto" w:fill="FFFFFF"/>
        </w:rPr>
        <w:t>. Približavanjem kraju mjeseca sedmodnevni prognostički interval se smanjuje do konačnog oblika grafa popunjenog samo podacima opažanja.</w:t>
      </w:r>
    </w:p>
    <w:p w:rsidR="008F0D85" w:rsidRDefault="00AE42A1">
      <w:pPr>
        <w:jc w:val="center"/>
      </w:pPr>
      <w:r>
        <w:rPr>
          <w:noProof/>
        </w:rPr>
        <w:drawing>
          <wp:inline distT="0" distB="0" distL="0" distR="0">
            <wp:extent cx="5706110" cy="4305935"/>
            <wp:effectExtent l="0" t="0" r="0" b="0"/>
            <wp:docPr id="5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ika 23"/>
                    <pic:cNvPicPr>
                      <a:picLocks noChangeAspect="1" noChangeArrowheads="1"/>
                    </pic:cNvPicPr>
                  </pic:nvPicPr>
                  <pic:blipFill>
                    <a:blip r:embed="rId47"/>
                    <a:stretch>
                      <a:fillRect/>
                    </a:stretch>
                  </pic:blipFill>
                  <pic:spPr bwMode="auto">
                    <a:xfrm>
                      <a:off x="0" y="0"/>
                      <a:ext cx="5706110" cy="4305935"/>
                    </a:xfrm>
                    <a:prstGeom prst="rect">
                      <a:avLst/>
                    </a:prstGeom>
                  </pic:spPr>
                </pic:pic>
              </a:graphicData>
            </a:graphic>
          </wp:inline>
        </w:drawing>
      </w:r>
    </w:p>
    <w:p w:rsidR="008F0D85" w:rsidRDefault="00AE42A1">
      <w:pPr>
        <w:spacing w:after="0" w:line="360" w:lineRule="auto"/>
        <w:rPr>
          <w:rFonts w:cs="Arial"/>
          <w:b/>
          <w:bCs/>
          <w:sz w:val="20"/>
          <w:szCs w:val="20"/>
        </w:rPr>
      </w:pPr>
      <w:bookmarkStart w:id="641" w:name="_Toc512434818"/>
      <w:bookmarkStart w:id="642" w:name="_Toc514240425"/>
      <w:bookmarkStart w:id="643" w:name="_Toc516128514"/>
      <w:bookmarkStart w:id="644" w:name="_Toc527969608"/>
      <w:r>
        <w:rPr>
          <w:rFonts w:cs="Arial"/>
          <w:b/>
          <w:bCs/>
          <w:sz w:val="20"/>
          <w:szCs w:val="20"/>
        </w:rPr>
        <w:t xml:space="preserve">Grafikon </w:t>
      </w:r>
      <w:r>
        <w:rPr>
          <w:rFonts w:cs="Arial"/>
          <w:b/>
          <w:bCs/>
          <w:sz w:val="20"/>
          <w:szCs w:val="20"/>
        </w:rPr>
        <w:fldChar w:fldCharType="begin"/>
      </w:r>
      <w:r>
        <w:instrText>SEQ Grafik</w:instrText>
      </w:r>
      <w:r>
        <w:instrText>on \* ARABIC</w:instrText>
      </w:r>
      <w:r>
        <w:fldChar w:fldCharType="separate"/>
      </w:r>
      <w:r>
        <w:t>7</w:t>
      </w:r>
      <w:r>
        <w:fldChar w:fldCharType="end"/>
      </w:r>
      <w:bookmarkEnd w:id="641"/>
      <w:bookmarkEnd w:id="642"/>
      <w:bookmarkEnd w:id="643"/>
      <w:bookmarkEnd w:id="644"/>
      <w:r>
        <w:rPr>
          <w:rFonts w:cs="Arial"/>
          <w:b/>
          <w:bCs/>
          <w:sz w:val="20"/>
          <w:szCs w:val="20"/>
        </w:rPr>
        <w:t>: Prikaz kumulativne količine oborine (mm) za kolovoz 2017.god. i krivulje teorijskih percentila (2., 10., 25., 50., 75., 90. i 98.) za razdoblje 1961. - 2000.god.</w:t>
      </w:r>
    </w:p>
    <w:p w:rsidR="008F0D85" w:rsidRDefault="00AE42A1">
      <w:pPr>
        <w:rPr>
          <w:sz w:val="20"/>
          <w:szCs w:val="20"/>
        </w:rPr>
      </w:pPr>
      <w:r>
        <w:rPr>
          <w:sz w:val="20"/>
          <w:szCs w:val="20"/>
        </w:rPr>
        <w:t>Izvor: Praćenje klime, HDMZ, 2018.god.</w:t>
      </w:r>
    </w:p>
    <w:p w:rsidR="008F0D85" w:rsidRDefault="00AE42A1">
      <w:pPr>
        <w:rPr>
          <w:rFonts w:cs="Calibri"/>
          <w:szCs w:val="24"/>
        </w:rPr>
      </w:pPr>
      <w:r>
        <w:rPr>
          <w:rFonts w:cs="Calibri"/>
          <w:szCs w:val="24"/>
        </w:rPr>
        <w:t xml:space="preserve">Karta prostorne raspodjele oborine u </w:t>
      </w:r>
      <w:r>
        <w:rPr>
          <w:rFonts w:cs="Calibri"/>
          <w:szCs w:val="24"/>
        </w:rPr>
        <w:t>Koprivničko-križevačkoj županiji dio je karte srednje godišnje količine oborine u Republici Hrvatskoj za razdoblje 1961.-1990. Karta srednje godišnje količine oborine u Republici Hrvatskoj izrađena je na temelju podataka sa 643 postaje u Hrvatskoj te podat</w:t>
      </w:r>
      <w:r>
        <w:rPr>
          <w:rFonts w:cs="Calibri"/>
          <w:szCs w:val="24"/>
        </w:rPr>
        <w:t>aka meteoroloških postaja uz granicu susjednih država Slovenije, Bosne i Hercegovine te Crne Gore. Digitalna oborinska karta dobivena je primjenom linearnog regresijskog modela, koji povezuje količinu oborine na postajama (zavisne varijable) sa zemljopisno</w:t>
      </w:r>
      <w:r>
        <w:rPr>
          <w:rFonts w:cs="Calibri"/>
          <w:szCs w:val="24"/>
        </w:rPr>
        <w:t xml:space="preserve">m dužinom i širinom, nadmorskom visinom i udaljenosti od mora (nezavisne varijable). Preliminarno procijenjene količine oborine u točkama kvadratne mreže rezolucije 700 m korigirane su pomoću razlika između mjerenih i regresijskim modelom </w:t>
      </w:r>
      <w:r>
        <w:rPr>
          <w:rFonts w:cs="Calibri"/>
          <w:szCs w:val="24"/>
        </w:rPr>
        <w:lastRenderedPageBreak/>
        <w:t>izračunatih vrije</w:t>
      </w:r>
      <w:r>
        <w:rPr>
          <w:rFonts w:cs="Calibri"/>
          <w:szCs w:val="24"/>
        </w:rPr>
        <w:t>dnosti koje su interpolirane geostatističkom metodom kriginga na pravilnu mrežu.</w:t>
      </w: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AE42A1">
      <w:pPr>
        <w:jc w:val="center"/>
        <w:rPr>
          <w:rFonts w:cs="Calibri"/>
          <w:szCs w:val="24"/>
        </w:rPr>
      </w:pPr>
      <w:r>
        <w:rPr>
          <w:noProof/>
        </w:rPr>
        <w:drawing>
          <wp:inline distT="0" distB="0" distL="0" distR="0">
            <wp:extent cx="5744210" cy="2686685"/>
            <wp:effectExtent l="0" t="0" r="0" b="0"/>
            <wp:docPr id="5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ka 24"/>
                    <pic:cNvPicPr>
                      <a:picLocks noChangeAspect="1" noChangeArrowheads="1"/>
                    </pic:cNvPicPr>
                  </pic:nvPicPr>
                  <pic:blipFill>
                    <a:blip r:embed="rId48"/>
                    <a:stretch>
                      <a:fillRect/>
                    </a:stretch>
                  </pic:blipFill>
                  <pic:spPr bwMode="auto">
                    <a:xfrm>
                      <a:off x="0" y="0"/>
                      <a:ext cx="5744210" cy="2686685"/>
                    </a:xfrm>
                    <a:prstGeom prst="rect">
                      <a:avLst/>
                    </a:prstGeom>
                  </pic:spPr>
                </pic:pic>
              </a:graphicData>
            </a:graphic>
          </wp:inline>
        </w:drawing>
      </w:r>
    </w:p>
    <w:p w:rsidR="008F0D85" w:rsidRDefault="00AE42A1">
      <w:pPr>
        <w:spacing w:after="0" w:line="360" w:lineRule="auto"/>
        <w:rPr>
          <w:rFonts w:cs="Arial"/>
          <w:b/>
          <w:bCs/>
          <w:sz w:val="20"/>
          <w:szCs w:val="20"/>
        </w:rPr>
      </w:pPr>
      <w:bookmarkStart w:id="645" w:name="_Toc512434795"/>
      <w:bookmarkStart w:id="646" w:name="_Toc514240403"/>
      <w:bookmarkStart w:id="647" w:name="_Toc516128485"/>
      <w:bookmarkStart w:id="648" w:name="_Toc527969585"/>
      <w:r>
        <w:rPr>
          <w:rFonts w:cs="Arial"/>
          <w:b/>
          <w:bCs/>
          <w:sz w:val="20"/>
          <w:szCs w:val="20"/>
        </w:rPr>
        <w:t xml:space="preserve">Slika </w:t>
      </w:r>
      <w:r>
        <w:rPr>
          <w:rFonts w:cs="Arial"/>
          <w:b/>
          <w:bCs/>
          <w:sz w:val="20"/>
          <w:szCs w:val="20"/>
        </w:rPr>
        <w:fldChar w:fldCharType="begin"/>
      </w:r>
      <w:r>
        <w:instrText>SEQ Slika \* ARABIC</w:instrText>
      </w:r>
      <w:r>
        <w:fldChar w:fldCharType="separate"/>
      </w:r>
      <w:r>
        <w:t>13</w:t>
      </w:r>
      <w:r>
        <w:fldChar w:fldCharType="end"/>
      </w:r>
      <w:bookmarkEnd w:id="645"/>
      <w:bookmarkEnd w:id="646"/>
      <w:bookmarkEnd w:id="647"/>
      <w:bookmarkEnd w:id="648"/>
      <w:r>
        <w:rPr>
          <w:rFonts w:cs="Arial"/>
          <w:b/>
          <w:bCs/>
          <w:sz w:val="20"/>
          <w:szCs w:val="20"/>
        </w:rPr>
        <w:t>: Prikaz karte izohijeta za Koprivničko - križevačku županiju</w:t>
      </w:r>
    </w:p>
    <w:p w:rsidR="008F0D85" w:rsidRDefault="00AE42A1">
      <w:pPr>
        <w:rPr>
          <w:sz w:val="20"/>
          <w:szCs w:val="20"/>
        </w:rPr>
      </w:pPr>
      <w:r>
        <w:rPr>
          <w:sz w:val="20"/>
          <w:szCs w:val="20"/>
        </w:rPr>
        <w:t>Izvor: Procjena ugroženosti stanovništva, materijalnih i kulturnih dobara i o</w:t>
      </w:r>
      <w:r>
        <w:rPr>
          <w:sz w:val="20"/>
          <w:szCs w:val="20"/>
        </w:rPr>
        <w:t>koliša za Koprivničko – križevačku županiju, 2015.god.</w:t>
      </w:r>
    </w:p>
    <w:p w:rsidR="008F0D85" w:rsidRDefault="00AE42A1">
      <w:pPr>
        <w:rPr>
          <w:szCs w:val="24"/>
        </w:rPr>
      </w:pPr>
      <w:r>
        <w:rPr>
          <w:szCs w:val="24"/>
        </w:rPr>
        <w:t>Prostornu raspodjelu srednje godišnje količine oborine u Koprivničko-križevačkoj županiji obilježavaju količine oborine između 700 i 900 mm u njenom pretežito nizinskom dijelu na visinama od 100-200 m.</w:t>
      </w:r>
      <w:r>
        <w:rPr>
          <w:szCs w:val="24"/>
        </w:rPr>
        <w:t xml:space="preserve"> Samo se središnjim dijelom županije, od jugoistoka prema zapadu, proteže uže područje rubnih dijelova Bilogore i Kalničkog gorja na nadmorskoj visini 200-500 m, gdje su srednje godišnje količine oborine veće i iznose od 900-1250 mm.</w:t>
      </w:r>
    </w:p>
    <w:p w:rsidR="008F0D85" w:rsidRDefault="00AE42A1">
      <w:pPr>
        <w:spacing w:after="0" w:line="360" w:lineRule="auto"/>
        <w:rPr>
          <w:rFonts w:cs="Arial"/>
          <w:b/>
          <w:bCs/>
          <w:sz w:val="20"/>
          <w:szCs w:val="20"/>
        </w:rPr>
      </w:pPr>
      <w:bookmarkStart w:id="649" w:name="_Toc512434731"/>
      <w:bookmarkStart w:id="650" w:name="_Toc514240332"/>
      <w:bookmarkStart w:id="651" w:name="_Toc516128417"/>
      <w:bookmarkStart w:id="652" w:name="_Toc527969520"/>
      <w:r>
        <w:rPr>
          <w:rFonts w:cs="Arial"/>
          <w:b/>
          <w:bCs/>
          <w:sz w:val="20"/>
          <w:szCs w:val="20"/>
        </w:rPr>
        <w:t xml:space="preserve">Tablica </w:t>
      </w:r>
      <w:r>
        <w:rPr>
          <w:rFonts w:cs="Arial"/>
          <w:b/>
          <w:bCs/>
          <w:sz w:val="20"/>
          <w:szCs w:val="20"/>
        </w:rPr>
        <w:fldChar w:fldCharType="begin"/>
      </w:r>
      <w:r>
        <w:instrText>SEQ Tablica \*</w:instrText>
      </w:r>
      <w:r>
        <w:instrText xml:space="preserve"> ARABIC</w:instrText>
      </w:r>
      <w:r>
        <w:fldChar w:fldCharType="separate"/>
      </w:r>
      <w:r>
        <w:t>38</w:t>
      </w:r>
      <w:r>
        <w:fldChar w:fldCharType="end"/>
      </w:r>
      <w:bookmarkEnd w:id="649"/>
      <w:bookmarkEnd w:id="650"/>
      <w:bookmarkEnd w:id="651"/>
      <w:bookmarkEnd w:id="652"/>
      <w:r>
        <w:rPr>
          <w:rFonts w:cs="Arial"/>
          <w:b/>
          <w:bCs/>
          <w:sz w:val="20"/>
          <w:szCs w:val="20"/>
        </w:rPr>
        <w:t>: Prikaz srednjih mjesečnih i godišnjih broja dana bez oborine s pripadnim standardnim devijacijama te maksimalni i minimalni mjesečni i godišnji broj dana bez oborine u razdoblju od 1981. - 2000.god. za KKŽ</w:t>
      </w:r>
    </w:p>
    <w:tbl>
      <w:tblPr>
        <w:tblW w:w="906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666"/>
        <w:gridCol w:w="647"/>
        <w:gridCol w:w="641"/>
        <w:gridCol w:w="644"/>
        <w:gridCol w:w="645"/>
        <w:gridCol w:w="642"/>
        <w:gridCol w:w="643"/>
        <w:gridCol w:w="646"/>
        <w:gridCol w:w="638"/>
        <w:gridCol w:w="645"/>
        <w:gridCol w:w="646"/>
        <w:gridCol w:w="645"/>
        <w:gridCol w:w="644"/>
        <w:gridCol w:w="669"/>
      </w:tblGrid>
      <w:tr w:rsidR="008F0D85">
        <w:tc>
          <w:tcPr>
            <w:tcW w:w="6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Mj.</w:t>
            </w:r>
          </w:p>
        </w:tc>
        <w:tc>
          <w:tcPr>
            <w:tcW w:w="647"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1</w:t>
            </w:r>
          </w:p>
        </w:tc>
        <w:tc>
          <w:tcPr>
            <w:tcW w:w="641"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2</w:t>
            </w:r>
          </w:p>
        </w:tc>
        <w:tc>
          <w:tcPr>
            <w:tcW w:w="644"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3</w:t>
            </w:r>
          </w:p>
        </w:tc>
        <w:tc>
          <w:tcPr>
            <w:tcW w:w="64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4</w:t>
            </w:r>
          </w:p>
        </w:tc>
        <w:tc>
          <w:tcPr>
            <w:tcW w:w="64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5</w:t>
            </w:r>
          </w:p>
        </w:tc>
        <w:tc>
          <w:tcPr>
            <w:tcW w:w="643"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6</w:t>
            </w:r>
          </w:p>
        </w:tc>
        <w:tc>
          <w:tcPr>
            <w:tcW w:w="64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7</w:t>
            </w:r>
          </w:p>
        </w:tc>
        <w:tc>
          <w:tcPr>
            <w:tcW w:w="638"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8</w:t>
            </w:r>
          </w:p>
        </w:tc>
        <w:tc>
          <w:tcPr>
            <w:tcW w:w="64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9</w:t>
            </w:r>
          </w:p>
        </w:tc>
        <w:tc>
          <w:tcPr>
            <w:tcW w:w="64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10</w:t>
            </w:r>
          </w:p>
        </w:tc>
        <w:tc>
          <w:tcPr>
            <w:tcW w:w="64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11</w:t>
            </w:r>
          </w:p>
        </w:tc>
        <w:tc>
          <w:tcPr>
            <w:tcW w:w="644"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12</w:t>
            </w:r>
          </w:p>
        </w:tc>
        <w:tc>
          <w:tcPr>
            <w:tcW w:w="669"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God.</w:t>
            </w:r>
          </w:p>
        </w:tc>
      </w:tr>
      <w:tr w:rsidR="008F0D85">
        <w:tc>
          <w:tcPr>
            <w:tcW w:w="9060" w:type="dxa"/>
            <w:gridSpan w:val="14"/>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Broj dana bez oborine</w:t>
            </w:r>
          </w:p>
        </w:tc>
      </w:tr>
      <w:tr w:rsidR="008F0D85">
        <w:tc>
          <w:tcPr>
            <w:tcW w:w="6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rPr>
                <w:rFonts w:cs="Calibri"/>
                <w:b/>
                <w:sz w:val="20"/>
                <w:szCs w:val="20"/>
              </w:rPr>
            </w:pPr>
            <w:r>
              <w:rPr>
                <w:rFonts w:cs="Calibri"/>
                <w:b/>
                <w:sz w:val="20"/>
                <w:szCs w:val="20"/>
              </w:rPr>
              <w:t>Sred</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22,4</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19,7</w:t>
            </w:r>
          </w:p>
        </w:tc>
        <w:tc>
          <w:tcPr>
            <w:tcW w:w="64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20,6</w:t>
            </w:r>
          </w:p>
        </w:tc>
        <w:tc>
          <w:tcPr>
            <w:tcW w:w="64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17,6</w:t>
            </w:r>
          </w:p>
        </w:tc>
        <w:tc>
          <w:tcPr>
            <w:tcW w:w="64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19,0</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17,2</w:t>
            </w:r>
          </w:p>
        </w:tc>
        <w:tc>
          <w:tcPr>
            <w:tcW w:w="64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20,5</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21,6</w:t>
            </w:r>
          </w:p>
        </w:tc>
        <w:tc>
          <w:tcPr>
            <w:tcW w:w="64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19,5</w:t>
            </w:r>
          </w:p>
        </w:tc>
        <w:tc>
          <w:tcPr>
            <w:tcW w:w="64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20,5</w:t>
            </w:r>
          </w:p>
        </w:tc>
        <w:tc>
          <w:tcPr>
            <w:tcW w:w="64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18,3</w:t>
            </w:r>
          </w:p>
        </w:tc>
        <w:tc>
          <w:tcPr>
            <w:tcW w:w="64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19,4</w:t>
            </w:r>
          </w:p>
        </w:tc>
        <w:tc>
          <w:tcPr>
            <w:tcW w:w="66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236,0</w:t>
            </w:r>
          </w:p>
        </w:tc>
      </w:tr>
      <w:tr w:rsidR="008F0D85">
        <w:tc>
          <w:tcPr>
            <w:tcW w:w="6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rPr>
                <w:rFonts w:cs="Calibri"/>
                <w:b/>
                <w:sz w:val="20"/>
                <w:szCs w:val="20"/>
              </w:rPr>
            </w:pPr>
            <w:r>
              <w:rPr>
                <w:rFonts w:cs="Calibri"/>
                <w:b/>
                <w:sz w:val="20"/>
                <w:szCs w:val="20"/>
              </w:rPr>
              <w:t>Std</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3,8</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4,0</w:t>
            </w:r>
          </w:p>
        </w:tc>
        <w:tc>
          <w:tcPr>
            <w:tcW w:w="64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3,4</w:t>
            </w:r>
          </w:p>
        </w:tc>
        <w:tc>
          <w:tcPr>
            <w:tcW w:w="64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2,7</w:t>
            </w:r>
          </w:p>
        </w:tc>
        <w:tc>
          <w:tcPr>
            <w:tcW w:w="64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3,2</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3,9</w:t>
            </w:r>
          </w:p>
        </w:tc>
        <w:tc>
          <w:tcPr>
            <w:tcW w:w="64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2,9</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3,1</w:t>
            </w:r>
          </w:p>
        </w:tc>
        <w:tc>
          <w:tcPr>
            <w:tcW w:w="64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4,9</w:t>
            </w:r>
          </w:p>
        </w:tc>
        <w:tc>
          <w:tcPr>
            <w:tcW w:w="64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4,2</w:t>
            </w:r>
          </w:p>
        </w:tc>
        <w:tc>
          <w:tcPr>
            <w:tcW w:w="64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4,7</w:t>
            </w:r>
          </w:p>
        </w:tc>
        <w:tc>
          <w:tcPr>
            <w:tcW w:w="64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4,1</w:t>
            </w:r>
          </w:p>
        </w:tc>
        <w:tc>
          <w:tcPr>
            <w:tcW w:w="66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12,8</w:t>
            </w:r>
          </w:p>
        </w:tc>
      </w:tr>
      <w:tr w:rsidR="008F0D85">
        <w:tc>
          <w:tcPr>
            <w:tcW w:w="6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rPr>
                <w:rFonts w:cs="Calibri"/>
                <w:b/>
                <w:sz w:val="20"/>
                <w:szCs w:val="20"/>
              </w:rPr>
            </w:pPr>
            <w:r>
              <w:rPr>
                <w:rFonts w:cs="Calibri"/>
                <w:b/>
                <w:sz w:val="20"/>
                <w:szCs w:val="20"/>
              </w:rPr>
              <w:t>Min</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14</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11</w:t>
            </w:r>
          </w:p>
        </w:tc>
        <w:tc>
          <w:tcPr>
            <w:tcW w:w="64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11</w:t>
            </w:r>
          </w:p>
        </w:tc>
        <w:tc>
          <w:tcPr>
            <w:tcW w:w="64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13</w:t>
            </w:r>
          </w:p>
        </w:tc>
        <w:tc>
          <w:tcPr>
            <w:tcW w:w="64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14</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11</w:t>
            </w:r>
          </w:p>
        </w:tc>
        <w:tc>
          <w:tcPr>
            <w:tcW w:w="64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12</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16</w:t>
            </w:r>
          </w:p>
        </w:tc>
        <w:tc>
          <w:tcPr>
            <w:tcW w:w="64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9</w:t>
            </w:r>
          </w:p>
        </w:tc>
        <w:tc>
          <w:tcPr>
            <w:tcW w:w="64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13</w:t>
            </w:r>
          </w:p>
        </w:tc>
        <w:tc>
          <w:tcPr>
            <w:tcW w:w="64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12</w:t>
            </w:r>
          </w:p>
        </w:tc>
        <w:tc>
          <w:tcPr>
            <w:tcW w:w="64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10</w:t>
            </w:r>
          </w:p>
        </w:tc>
        <w:tc>
          <w:tcPr>
            <w:tcW w:w="66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213</w:t>
            </w:r>
          </w:p>
        </w:tc>
      </w:tr>
      <w:tr w:rsidR="008F0D85">
        <w:tc>
          <w:tcPr>
            <w:tcW w:w="6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rPr>
                <w:rFonts w:cs="Calibri"/>
                <w:b/>
                <w:sz w:val="20"/>
                <w:szCs w:val="20"/>
              </w:rPr>
            </w:pPr>
            <w:r>
              <w:rPr>
                <w:rFonts w:cs="Calibri"/>
                <w:b/>
                <w:sz w:val="20"/>
                <w:szCs w:val="20"/>
              </w:rPr>
              <w:t>Maks</w:t>
            </w:r>
          </w:p>
        </w:tc>
        <w:tc>
          <w:tcPr>
            <w:tcW w:w="64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29</w:t>
            </w:r>
          </w:p>
        </w:tc>
        <w:tc>
          <w:tcPr>
            <w:tcW w:w="64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27</w:t>
            </w:r>
          </w:p>
        </w:tc>
        <w:tc>
          <w:tcPr>
            <w:tcW w:w="64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26</w:t>
            </w:r>
          </w:p>
        </w:tc>
        <w:tc>
          <w:tcPr>
            <w:tcW w:w="64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21</w:t>
            </w:r>
          </w:p>
        </w:tc>
        <w:tc>
          <w:tcPr>
            <w:tcW w:w="64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26</w:t>
            </w:r>
          </w:p>
        </w:tc>
        <w:tc>
          <w:tcPr>
            <w:tcW w:w="64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23</w:t>
            </w:r>
          </w:p>
        </w:tc>
        <w:tc>
          <w:tcPr>
            <w:tcW w:w="64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23</w:t>
            </w:r>
          </w:p>
        </w:tc>
        <w:tc>
          <w:tcPr>
            <w:tcW w:w="63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28</w:t>
            </w:r>
          </w:p>
        </w:tc>
        <w:tc>
          <w:tcPr>
            <w:tcW w:w="64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26</w:t>
            </w:r>
          </w:p>
        </w:tc>
        <w:tc>
          <w:tcPr>
            <w:tcW w:w="64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29</w:t>
            </w:r>
          </w:p>
        </w:tc>
        <w:tc>
          <w:tcPr>
            <w:tcW w:w="64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27</w:t>
            </w:r>
          </w:p>
        </w:tc>
        <w:tc>
          <w:tcPr>
            <w:tcW w:w="64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27</w:t>
            </w:r>
          </w:p>
        </w:tc>
        <w:tc>
          <w:tcPr>
            <w:tcW w:w="66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264</w:t>
            </w:r>
          </w:p>
        </w:tc>
      </w:tr>
    </w:tbl>
    <w:p w:rsidR="008F0D85" w:rsidRDefault="00AE42A1">
      <w:pPr>
        <w:jc w:val="center"/>
        <w:rPr>
          <w:sz w:val="20"/>
          <w:szCs w:val="20"/>
        </w:rPr>
      </w:pPr>
      <w:r>
        <w:rPr>
          <w:sz w:val="20"/>
          <w:szCs w:val="20"/>
        </w:rPr>
        <w:lastRenderedPageBreak/>
        <w:t>Izvor: Procjena ugroženosti stanovništva, materijalnih i kulturnih dobara i okoliša za Koprivničko - križevačku županiju, 2015.god.</w:t>
      </w:r>
    </w:p>
    <w:p w:rsidR="008F0D85" w:rsidRDefault="008F0D85">
      <w:pPr>
        <w:rPr>
          <w:rFonts w:cs="Calibri"/>
          <w:szCs w:val="24"/>
        </w:rPr>
      </w:pPr>
    </w:p>
    <w:p w:rsidR="008F0D85" w:rsidRDefault="00AE42A1">
      <w:pPr>
        <w:pStyle w:val="Naslov4"/>
      </w:pPr>
      <w:bookmarkStart w:id="653" w:name="_Toc512434636"/>
      <w:bookmarkStart w:id="654" w:name="_Toc514240205"/>
      <w:bookmarkStart w:id="655" w:name="_Toc516128309"/>
      <w:bookmarkStart w:id="656" w:name="_Toc527969404"/>
      <w:bookmarkEnd w:id="653"/>
      <w:bookmarkEnd w:id="654"/>
      <w:bookmarkEnd w:id="655"/>
      <w:bookmarkEnd w:id="656"/>
      <w:r>
        <w:t>6.3.1.5. Uzrok pojave suše</w:t>
      </w:r>
    </w:p>
    <w:p w:rsidR="008F0D85" w:rsidRDefault="008F0D85"/>
    <w:p w:rsidR="008F0D85" w:rsidRDefault="00AE42A1">
      <w:bookmarkStart w:id="657" w:name="_Hlk503357774"/>
      <w:bookmarkEnd w:id="657"/>
      <w:r>
        <w:t>Prvenstveni razlog pojava suša leži u nedostatku oborina na širem području tijekom dužeg razdob</w:t>
      </w:r>
      <w:r>
        <w:t xml:space="preserve">lja vremena. Ova se vrsta suše naziva meteorološkom sušom. Deficit vode iz atmosfere dalje se prenosi kroz hidrološki ciklus uzrokujući sve ostale i vrlo različite vrste suša. </w:t>
      </w:r>
    </w:p>
    <w:p w:rsidR="008F0D85" w:rsidRDefault="008F0D85"/>
    <w:p w:rsidR="008F0D85" w:rsidRDefault="00AE42A1">
      <w:pPr>
        <w:pStyle w:val="Naslov5"/>
      </w:pPr>
      <w:bookmarkStart w:id="658" w:name="_Toc512434637"/>
      <w:bookmarkStart w:id="659" w:name="_Toc514240206"/>
      <w:bookmarkStart w:id="660" w:name="_Toc516128310"/>
      <w:bookmarkStart w:id="661" w:name="_Toc527969405"/>
      <w:bookmarkEnd w:id="658"/>
      <w:bookmarkEnd w:id="659"/>
      <w:bookmarkEnd w:id="660"/>
      <w:bookmarkEnd w:id="661"/>
      <w:r>
        <w:t>6.3.1.5.1. Razvoj događaja koji prethodi velikoj nesreći uslijed pojave suše</w:t>
      </w:r>
    </w:p>
    <w:p w:rsidR="008F0D85" w:rsidRDefault="008F0D85"/>
    <w:p w:rsidR="008F0D85" w:rsidRDefault="00AE42A1">
      <w:pPr>
        <w:rPr>
          <w:rFonts w:cs="Calibri"/>
          <w:szCs w:val="24"/>
        </w:rPr>
      </w:pPr>
      <w:bookmarkStart w:id="662" w:name="_Hlk503357852"/>
      <w:r>
        <w:rPr>
          <w:rFonts w:cs="Calibri"/>
          <w:szCs w:val="24"/>
        </w:rPr>
        <w:t>U interakciji s velikim količinama evapotranspiracije uzrokovanim prvenstveno visokim temperaturama zraka (višim od uobičajenih za analiziranu regiju), kao i iznadprosječno čestim i snažnim vjetrovima, javlja se nedostatak vlage u tlu. Njihovom interakcijo</w:t>
      </w:r>
      <w:r>
        <w:rPr>
          <w:rFonts w:cs="Calibri"/>
          <w:szCs w:val="24"/>
        </w:rPr>
        <w:t xml:space="preserve">m dolazi do pojave nedostatka vlage u tlu, što značajno utječe na smanjivanje uobičajene poljoprivredne proizvodnje, ali i na pojavu raznih vrsta erozije tla te konačno i na formiranje pustinja. Ova je vrsta suše u interakciji s meteorološkom sušom glavni </w:t>
      </w:r>
      <w:r>
        <w:rPr>
          <w:rFonts w:cs="Calibri"/>
          <w:szCs w:val="24"/>
        </w:rPr>
        <w:t xml:space="preserve">uzrok pojave poljoprivredne suše. Taj </w:t>
      </w:r>
      <w:bookmarkStart w:id="663" w:name="_Hlk503357868"/>
      <w:bookmarkEnd w:id="662"/>
      <w:bookmarkEnd w:id="663"/>
      <w:r>
        <w:rPr>
          <w:rFonts w:cs="Calibri"/>
          <w:szCs w:val="24"/>
        </w:rPr>
        <w:t>se pojam koristi u slučaju kad su količine vlage u tlu nedostatne za pružanje podrške razvoju usjeva.</w:t>
      </w:r>
    </w:p>
    <w:p w:rsidR="008F0D85" w:rsidRDefault="00AE42A1">
      <w:pPr>
        <w:pStyle w:val="Naslov5"/>
      </w:pPr>
      <w:bookmarkStart w:id="664" w:name="_Toc512434638"/>
      <w:bookmarkStart w:id="665" w:name="_Toc514240207"/>
      <w:bookmarkStart w:id="666" w:name="_Toc516128311"/>
      <w:bookmarkStart w:id="667" w:name="_Toc527969406"/>
      <w:bookmarkEnd w:id="664"/>
      <w:bookmarkEnd w:id="665"/>
      <w:bookmarkEnd w:id="666"/>
      <w:bookmarkEnd w:id="667"/>
      <w:r>
        <w:t>6.3.1.5.2. Okidač koji je uzrokovao veliku nesreću uslijed pojave suše</w:t>
      </w:r>
    </w:p>
    <w:p w:rsidR="008F0D85" w:rsidRDefault="008F0D85">
      <w:pPr>
        <w:rPr>
          <w:sz w:val="20"/>
          <w:szCs w:val="20"/>
        </w:rPr>
      </w:pPr>
    </w:p>
    <w:p w:rsidR="008F0D85" w:rsidRDefault="00AE42A1">
      <w:pPr>
        <w:rPr>
          <w:rFonts w:cs="Calibri"/>
          <w:szCs w:val="24"/>
        </w:rPr>
      </w:pPr>
      <w:r>
        <w:rPr>
          <w:rFonts w:cs="Calibri"/>
          <w:szCs w:val="24"/>
        </w:rPr>
        <w:t xml:space="preserve">Nedovoljno (ispodprosječno) </w:t>
      </w:r>
      <w:r>
        <w:rPr>
          <w:rFonts w:cs="Calibri"/>
          <w:szCs w:val="24"/>
        </w:rPr>
        <w:t>prihranjivanje rezervi podzemnih voda, voda u otvorenim vodotocima, prirodnim i umjetnim jezerima te duži vremenski period bez oborina. Prvenstveni razlog pojava suša leži u nedostatku oborina na širem području tijekom dužeg razdoblja vremena. Ova se vrsta</w:t>
      </w:r>
      <w:r>
        <w:rPr>
          <w:rFonts w:cs="Calibri"/>
          <w:szCs w:val="24"/>
        </w:rPr>
        <w:t xml:space="preserve"> suše naziva meteorološkom sušom. Deficit vode iz atmosfere dalje se prenosi kroz hidrološki ciklus uzrokujući sve ostale i vrlo različite vrste suša.</w:t>
      </w:r>
    </w:p>
    <w:p w:rsidR="008F0D85" w:rsidRDefault="00AE42A1">
      <w:pPr>
        <w:pStyle w:val="Naslov3"/>
      </w:pPr>
      <w:bookmarkStart w:id="668" w:name="_Toc512434639"/>
      <w:bookmarkStart w:id="669" w:name="_Toc514240208"/>
      <w:bookmarkStart w:id="670" w:name="_Toc516128312"/>
      <w:bookmarkStart w:id="671" w:name="_Toc527969407"/>
      <w:bookmarkEnd w:id="668"/>
      <w:bookmarkEnd w:id="669"/>
      <w:bookmarkEnd w:id="670"/>
      <w:bookmarkEnd w:id="671"/>
      <w:r>
        <w:t>6.3.2. Opis događaja – Suša</w:t>
      </w:r>
    </w:p>
    <w:p w:rsidR="008F0D85" w:rsidRDefault="00AE42A1">
      <w:pPr>
        <w:pStyle w:val="Naslov4"/>
      </w:pPr>
      <w:bookmarkStart w:id="672" w:name="_Toc512434640"/>
      <w:bookmarkStart w:id="673" w:name="_Toc514240209"/>
      <w:bookmarkStart w:id="674" w:name="_Toc516128313"/>
      <w:bookmarkStart w:id="675" w:name="_Toc527969408"/>
      <w:bookmarkEnd w:id="672"/>
      <w:bookmarkEnd w:id="673"/>
      <w:bookmarkEnd w:id="674"/>
      <w:bookmarkEnd w:id="675"/>
      <w:r>
        <w:t xml:space="preserve">6.3.2.1. Događaj s najgorim mogućim posljedicama – Pojava suše uslijed dužeg </w:t>
      </w:r>
      <w:r>
        <w:t>vremenskog razdoblja bez oborina</w:t>
      </w:r>
    </w:p>
    <w:p w:rsidR="008F0D85" w:rsidRDefault="008F0D85"/>
    <w:p w:rsidR="008F0D85" w:rsidRDefault="00AE42A1">
      <w:r>
        <w:rPr>
          <w:rFonts w:cs="Calibri"/>
          <w:szCs w:val="24"/>
        </w:rPr>
        <w:t>Suše izazivaju poremećaje u sustavu svekolike proizvodnje. Zbog smanjivanja poljoprivredne proizvodnje te time uzrokovanog nedostatka hrane, kao česta posljedice suša dolazi do lokalnih i/ili regionalnih socio-ekonomskih i</w:t>
      </w:r>
      <w:r>
        <w:rPr>
          <w:rFonts w:cs="Calibri"/>
          <w:szCs w:val="24"/>
        </w:rPr>
        <w:t xml:space="preserve"> političkih nestabilnosti koje mogu uzrokovati opasne poremećaje do tada postojeće društvene ravnoteže. Suše razorno i dugoročno utječu </w:t>
      </w:r>
      <w:r>
        <w:rPr>
          <w:rFonts w:cs="Calibri"/>
          <w:szCs w:val="24"/>
        </w:rPr>
        <w:lastRenderedPageBreak/>
        <w:t>na ekosustave, a time i na sve vidove okoliša. Osobito je ugrožena biološka raznolikost regija pogođenih sušom. S ekološ</w:t>
      </w:r>
      <w:r>
        <w:rPr>
          <w:rFonts w:cs="Calibri"/>
          <w:szCs w:val="24"/>
        </w:rPr>
        <w:t>kog stanovišta jedna od najozbiljnijih, najočiglednijih i najtežih posljedica suša je stvaranje suhih područja i širenje pustinja. Ovaj proces je u globalnom smislu ubrzan tijekom dvadesetog stoljeća kao posljedica međudjelovanja naglog demografskog razvoj</w:t>
      </w:r>
      <w:r>
        <w:rPr>
          <w:rFonts w:cs="Calibri"/>
          <w:szCs w:val="24"/>
        </w:rPr>
        <w:t xml:space="preserve">a, negativnog utjecaja rada čovjeka (sječe šuma, prenamjene korištenja zemljišta i organiziranja intenzivne, ali ne i održive poljoprivredne proizvodnje) te promjena i/ili varijabilnosti klime na Zemlji, globalnog zagrijavanja prije svega. </w:t>
      </w:r>
      <w:r>
        <w:t>Suše se javljaju</w:t>
      </w:r>
      <w:r>
        <w:t xml:space="preserve"> polagano, traju dugo, čak vrlo dugo (više desetaka godina) te zahvaćaju velika prostranstva. Prostornu raspodjelu suša nemoguće je unaprijed točno locirati. Često se puta padanjem jedne značajnije oborine zaključuje suša na nekom dijelu područja, ali se n</w:t>
      </w:r>
      <w:r>
        <w:t>astavlja na drugim okolnim područjima.</w:t>
      </w:r>
    </w:p>
    <w:p w:rsidR="008F0D85" w:rsidRDefault="00AE42A1">
      <w:pPr>
        <w:rPr>
          <w:rFonts w:cs="Calibri"/>
          <w:szCs w:val="24"/>
        </w:rPr>
      </w:pPr>
      <w:r>
        <w:rPr>
          <w:rFonts w:cs="Calibri"/>
          <w:szCs w:val="24"/>
        </w:rPr>
        <w:t>U novije vrijeme sve se češće razmatra pojam ekološke suše. On se veže s nedostatkom vode koji uzrokuje stres u ekosustavu te negativno utječe na život biljaka i životinja. Vezano s posljedicama suša na ekonomiju i dr</w:t>
      </w:r>
      <w:r>
        <w:rPr>
          <w:rFonts w:cs="Calibri"/>
          <w:szCs w:val="24"/>
        </w:rPr>
        <w:t>uštvo treba spomenuti pojam socio-ekonomske suše. Negativne ekonomske posljedice suša najsnažnije se osjećaju u gusto naseljenim područjima u kojima je razvijena industrijska i poljoprivredna proizvodnja. Ljudske djelatnosti zasnovane na korištenju velikih</w:t>
      </w:r>
      <w:r>
        <w:rPr>
          <w:rFonts w:cs="Calibri"/>
          <w:szCs w:val="24"/>
        </w:rPr>
        <w:t xml:space="preserve"> količina vode, osobito za potrebe navodnjavanja, pretjerano crpljenje podzemnih i površinskih voda intenziviraju razvoj suše ili ih čak i uzrokuju.</w:t>
      </w:r>
    </w:p>
    <w:p w:rsidR="008F0D85" w:rsidRDefault="00AE42A1">
      <w:pPr>
        <w:pStyle w:val="Naslov5"/>
      </w:pPr>
      <w:bookmarkStart w:id="676" w:name="_Toc512434641"/>
      <w:bookmarkStart w:id="677" w:name="_Toc514240210"/>
      <w:bookmarkStart w:id="678" w:name="_Toc516128314"/>
      <w:bookmarkStart w:id="679" w:name="_Toc527969409"/>
      <w:bookmarkEnd w:id="676"/>
      <w:bookmarkEnd w:id="677"/>
      <w:bookmarkEnd w:id="678"/>
      <w:bookmarkEnd w:id="679"/>
      <w:r>
        <w:t>6.3.2.1.1. Posljedice – Suša</w:t>
      </w:r>
    </w:p>
    <w:p w:rsidR="008F0D85" w:rsidRDefault="00AE42A1">
      <w:pPr>
        <w:pStyle w:val="Naslov6"/>
      </w:pPr>
      <w:r>
        <w:t>6.3.2.1.1.1. Procjena posljedica pojave suše na život i zdravlje ljudi</w:t>
      </w:r>
    </w:p>
    <w:p w:rsidR="008F0D85" w:rsidRDefault="008F0D85"/>
    <w:p w:rsidR="008F0D85" w:rsidRDefault="00AE42A1">
      <w:pPr>
        <w:rPr>
          <w:lang w:eastAsia="hr-HR"/>
        </w:rPr>
      </w:pPr>
      <w:r>
        <w:rPr>
          <w:lang w:eastAsia="hr-HR"/>
        </w:rPr>
        <w:t>S obzi</w:t>
      </w:r>
      <w:r>
        <w:rPr>
          <w:lang w:eastAsia="hr-HR"/>
        </w:rPr>
        <w:t>rom na to da se posljedice na život i zdravlje ljudi prikazuju ukupnim brojem ljudi za koje se procjenjuje kako mogu biti u sastavu od nekog od procesa nastalih kao posljedica događaja opisanih scenarijem – poginuli, ozlijeđeni, oboljeli, evakuirani i sklo</w:t>
      </w:r>
      <w:r>
        <w:rPr>
          <w:lang w:eastAsia="hr-HR"/>
        </w:rPr>
        <w:t>njeni, procijenjeno je da pojava suše ima neznatne posljedice na život i zdravlje ljudi, odnosno pojavom suše bit će obuhvaćeno manje od 0,331 stanovnika Općine, odnosno manje od 0,01% ukupnog stanovništva Općine.</w:t>
      </w:r>
    </w:p>
    <w:p w:rsidR="008F0D85" w:rsidRDefault="00AE42A1">
      <w:pPr>
        <w:spacing w:after="0" w:line="360" w:lineRule="auto"/>
        <w:jc w:val="center"/>
        <w:rPr>
          <w:rFonts w:cs="Arial"/>
          <w:b/>
          <w:bCs/>
          <w:sz w:val="20"/>
          <w:szCs w:val="20"/>
          <w:lang w:eastAsia="hr-HR"/>
        </w:rPr>
      </w:pPr>
      <w:bookmarkStart w:id="680" w:name="_Toc512434732"/>
      <w:bookmarkStart w:id="681" w:name="_Toc514240333"/>
      <w:bookmarkStart w:id="682" w:name="_Toc516128418"/>
      <w:bookmarkStart w:id="683" w:name="_Toc527969521"/>
      <w:r>
        <w:rPr>
          <w:rFonts w:cs="Arial"/>
          <w:b/>
          <w:bCs/>
          <w:sz w:val="20"/>
          <w:szCs w:val="20"/>
        </w:rPr>
        <w:t xml:space="preserve">Tablica </w:t>
      </w:r>
      <w:r>
        <w:rPr>
          <w:rFonts w:cs="Arial"/>
          <w:b/>
          <w:bCs/>
          <w:sz w:val="20"/>
          <w:szCs w:val="20"/>
        </w:rPr>
        <w:fldChar w:fldCharType="begin"/>
      </w:r>
      <w:r>
        <w:instrText>SEQ Tablica \* ARABIC</w:instrText>
      </w:r>
      <w:r>
        <w:fldChar w:fldCharType="separate"/>
      </w:r>
      <w:r>
        <w:t>39</w:t>
      </w:r>
      <w:r>
        <w:fldChar w:fldCharType="end"/>
      </w:r>
      <w:bookmarkEnd w:id="680"/>
      <w:bookmarkEnd w:id="681"/>
      <w:bookmarkEnd w:id="682"/>
      <w:bookmarkEnd w:id="683"/>
      <w:r>
        <w:rPr>
          <w:rFonts w:cs="Arial"/>
          <w:b/>
          <w:bCs/>
          <w:sz w:val="20"/>
          <w:szCs w:val="20"/>
        </w:rPr>
        <w:t>: Prikaz</w:t>
      </w:r>
      <w:r>
        <w:rPr>
          <w:rFonts w:cs="Arial"/>
          <w:b/>
          <w:bCs/>
          <w:sz w:val="20"/>
          <w:szCs w:val="20"/>
        </w:rPr>
        <w:t xml:space="preserve"> prijetnjom nastalih posljedica na život i zdravlje ljudi - Suša</w:t>
      </w:r>
    </w:p>
    <w:tbl>
      <w:tblPr>
        <w:tblW w:w="7471"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752"/>
        <w:gridCol w:w="2153"/>
        <w:gridCol w:w="2021"/>
        <w:gridCol w:w="1545"/>
      </w:tblGrid>
      <w:tr w:rsidR="008F0D85">
        <w:trPr>
          <w:trHeight w:val="173"/>
          <w:jc w:val="center"/>
        </w:trPr>
        <w:tc>
          <w:tcPr>
            <w:tcW w:w="7470"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Život i zdravlje ljudi</w:t>
            </w: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215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Posljedice</w:t>
            </w:r>
          </w:p>
        </w:tc>
        <w:tc>
          <w:tcPr>
            <w:tcW w:w="202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Broj stanovnika</w:t>
            </w:r>
          </w:p>
        </w:tc>
        <w:tc>
          <w:tcPr>
            <w:tcW w:w="154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Odabrano</w:t>
            </w: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Neznatne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&lt; 0,033</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b/>
                <w:sz w:val="20"/>
                <w:szCs w:val="20"/>
              </w:rPr>
            </w:pPr>
            <w:r>
              <w:rPr>
                <w:b/>
                <w:sz w:val="20"/>
                <w:szCs w:val="20"/>
              </w:rPr>
              <w:t>X</w:t>
            </w: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Malene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0,033 – 0,364</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0,155 – 0,364</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181"/>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Značajne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0,397 – 1,157</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4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Katastrofalne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1,19</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b/>
                <w:sz w:val="20"/>
                <w:szCs w:val="20"/>
              </w:rPr>
            </w:pPr>
          </w:p>
        </w:tc>
      </w:tr>
    </w:tbl>
    <w:p w:rsidR="008F0D85" w:rsidRDefault="008F0D85">
      <w:pPr>
        <w:rPr>
          <w:rFonts w:cs="Calibri"/>
          <w:szCs w:val="24"/>
        </w:rPr>
      </w:pPr>
    </w:p>
    <w:p w:rsidR="008F0D85" w:rsidRDefault="00AE42A1">
      <w:pPr>
        <w:pStyle w:val="Naslov6"/>
      </w:pPr>
      <w:r>
        <w:t>6.3.2.1.1.2. Procjena posljedica pojave suše na gospodarstvo</w:t>
      </w:r>
    </w:p>
    <w:p w:rsidR="008F0D85" w:rsidRDefault="008F0D85">
      <w:pPr>
        <w:rPr>
          <w:lang w:eastAsia="hr-HR"/>
        </w:rPr>
      </w:pPr>
    </w:p>
    <w:p w:rsidR="008F0D85" w:rsidRDefault="00AE42A1">
      <w:r>
        <w:lastRenderedPageBreak/>
        <w:t xml:space="preserve">Posljedice na gospodarstvo odnose se na ukupnu materijalnu i financijsku štetu u gospodarstvu nastalu utjecajem prijetnje. Materijalna šteta s posljedicama po </w:t>
      </w:r>
      <w:r>
        <w:t>gospodarstvo prikazuje se u odnosu na proračun Općine. S obzirom na utjecaj suše na gospodarstvo, odnosno gubitke u poljoprivrednoj proizvodnji, opskrbi vodom i hranom, procjenjuje se da će suša imati značajan utjecaj na gospodarstvo, odnosno da će štete u</w:t>
      </w:r>
      <w:r>
        <w:t>zrokovane sušom biti veće od 20% sredstava proračuna Općine, točnije više od 4.161.200,00 kuna.</w:t>
      </w:r>
    </w:p>
    <w:p w:rsidR="008F0D85" w:rsidRDefault="008F0D85"/>
    <w:p w:rsidR="008F0D85" w:rsidRDefault="008F0D85">
      <w:pPr>
        <w:rPr>
          <w:lang w:eastAsia="hr-HR"/>
        </w:rPr>
      </w:pPr>
    </w:p>
    <w:p w:rsidR="008F0D85" w:rsidRDefault="008F0D85">
      <w:pPr>
        <w:rPr>
          <w:lang w:eastAsia="hr-HR"/>
        </w:rPr>
      </w:pPr>
    </w:p>
    <w:p w:rsidR="008F0D85" w:rsidRDefault="008F0D85">
      <w:pPr>
        <w:rPr>
          <w:lang w:eastAsia="hr-HR"/>
        </w:rPr>
      </w:pPr>
    </w:p>
    <w:p w:rsidR="008F0D85" w:rsidRDefault="008F0D85">
      <w:pPr>
        <w:rPr>
          <w:lang w:eastAsia="hr-HR"/>
        </w:rPr>
      </w:pPr>
    </w:p>
    <w:p w:rsidR="008F0D85" w:rsidRDefault="00AE42A1">
      <w:pPr>
        <w:spacing w:after="0" w:line="360" w:lineRule="auto"/>
        <w:jc w:val="center"/>
        <w:rPr>
          <w:rFonts w:cs="Arial"/>
          <w:b/>
          <w:bCs/>
          <w:sz w:val="20"/>
          <w:szCs w:val="20"/>
          <w:lang w:eastAsia="hr-HR"/>
        </w:rPr>
      </w:pPr>
      <w:bookmarkStart w:id="684" w:name="_Toc512434733"/>
      <w:bookmarkStart w:id="685" w:name="_Toc514240334"/>
      <w:bookmarkStart w:id="686" w:name="_Toc516128419"/>
      <w:bookmarkStart w:id="687" w:name="_Toc527969522"/>
      <w:r>
        <w:rPr>
          <w:rFonts w:cs="Arial"/>
          <w:b/>
          <w:bCs/>
          <w:sz w:val="20"/>
          <w:szCs w:val="20"/>
        </w:rPr>
        <w:t xml:space="preserve">Tablica </w:t>
      </w:r>
      <w:r>
        <w:rPr>
          <w:rFonts w:cs="Arial"/>
          <w:b/>
          <w:bCs/>
          <w:sz w:val="20"/>
          <w:szCs w:val="20"/>
        </w:rPr>
        <w:fldChar w:fldCharType="begin"/>
      </w:r>
      <w:r>
        <w:instrText>SEQ Tablica \* ARABIC</w:instrText>
      </w:r>
      <w:r>
        <w:fldChar w:fldCharType="separate"/>
      </w:r>
      <w:r>
        <w:t>40</w:t>
      </w:r>
      <w:r>
        <w:fldChar w:fldCharType="end"/>
      </w:r>
      <w:bookmarkEnd w:id="684"/>
      <w:bookmarkEnd w:id="685"/>
      <w:bookmarkEnd w:id="686"/>
      <w:bookmarkEnd w:id="687"/>
      <w:r>
        <w:rPr>
          <w:rFonts w:cs="Arial"/>
          <w:b/>
          <w:bCs/>
          <w:sz w:val="20"/>
          <w:szCs w:val="20"/>
        </w:rPr>
        <w:t>: Prikaz prijetnjom nastalih posljedica na gospodarstvo - Suša</w:t>
      </w:r>
    </w:p>
    <w:tbl>
      <w:tblPr>
        <w:tblW w:w="7100"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477"/>
        <w:gridCol w:w="1781"/>
        <w:gridCol w:w="2693"/>
        <w:gridCol w:w="1149"/>
      </w:tblGrid>
      <w:tr w:rsidR="008F0D85">
        <w:trPr>
          <w:trHeight w:val="302"/>
          <w:jc w:val="center"/>
        </w:trPr>
        <w:tc>
          <w:tcPr>
            <w:tcW w:w="7099"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Gospodarstvo</w:t>
            </w: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Kategorija</w:t>
            </w:r>
          </w:p>
        </w:tc>
        <w:tc>
          <w:tcPr>
            <w:tcW w:w="178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Posljedica</w:t>
            </w:r>
          </w:p>
        </w:tc>
        <w:tc>
          <w:tcPr>
            <w:tcW w:w="269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 xml:space="preserve">U kunama (% </w:t>
            </w:r>
            <w:r>
              <w:rPr>
                <w:b/>
                <w:sz w:val="20"/>
                <w:szCs w:val="20"/>
              </w:rPr>
              <w:t>obzirom na proračun)</w:t>
            </w:r>
          </w:p>
        </w:tc>
        <w:tc>
          <w:tcPr>
            <w:tcW w:w="114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Odabrano</w:t>
            </w: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1</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Neznatne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 – 208.060,00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2</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Malene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208.060,00 – 1.040.300,00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3</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Umjerene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1.040.300,00 – 3.120.900,00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19"/>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4</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Značajne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3.120.900,00 – 5.201.500,00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b/>
                <w:sz w:val="20"/>
                <w:szCs w:val="20"/>
              </w:rPr>
            </w:pPr>
            <w:r>
              <w:rPr>
                <w:b/>
                <w:sz w:val="20"/>
                <w:szCs w:val="20"/>
              </w:rPr>
              <w:t>X</w:t>
            </w: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5</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Katastrofalne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5.201.500,00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bl>
    <w:p w:rsidR="008F0D85" w:rsidRDefault="008F0D85">
      <w:pPr>
        <w:rPr>
          <w:rFonts w:cs="Calibri"/>
          <w:szCs w:val="24"/>
        </w:rPr>
      </w:pPr>
    </w:p>
    <w:p w:rsidR="008F0D85" w:rsidRDefault="00AE42A1">
      <w:pPr>
        <w:pStyle w:val="Naslov6"/>
      </w:pPr>
      <w:r>
        <w:t xml:space="preserve">6.3.2.1.1.3. Procjena </w:t>
      </w:r>
      <w:r>
        <w:t>posljedica pojave suše na društvenu stabilnost i politiku</w:t>
      </w:r>
    </w:p>
    <w:p w:rsidR="008F0D85" w:rsidRDefault="008F0D85">
      <w:pPr>
        <w:rPr>
          <w:lang w:eastAsia="hr-HR"/>
        </w:rPr>
      </w:pPr>
    </w:p>
    <w:p w:rsidR="008F0D85" w:rsidRDefault="00AE42A1">
      <w:pPr>
        <w:rPr>
          <w:rFonts w:cs="Cambria"/>
          <w:color w:val="000000"/>
          <w:szCs w:val="24"/>
          <w:lang w:eastAsia="hr-HR"/>
        </w:rPr>
      </w:pPr>
      <w:r>
        <w:rPr>
          <w:rFonts w:cs="Cambria"/>
          <w:color w:val="000000"/>
          <w:szCs w:val="24"/>
          <w:lang w:eastAsia="hr-HR"/>
        </w:rPr>
        <w:t>S obzirom na to da se posljedice društvene stabilnosti i politike iskazuju u materijalnoj šteti i to za štetu na kritičnoj infrastrukturi i šteti na građevinama od društvenog značaja procijenjeno j</w:t>
      </w:r>
      <w:r>
        <w:rPr>
          <w:rFonts w:cs="Cambria"/>
          <w:color w:val="000000"/>
          <w:szCs w:val="24"/>
          <w:lang w:eastAsia="hr-HR"/>
        </w:rPr>
        <w:t>e da bi ukupna materijalna šteta uzrokovana sušom imala zanemariv utjecaj na proračun Općine, točnije procijenjeno je da bi eventualne materijalne štete na kritičnoj infrastrukturi iznosile manje od 0,5% planiranog proračuna Općine, odnosno manje od 104.03</w:t>
      </w:r>
      <w:r>
        <w:rPr>
          <w:rFonts w:cs="Cambria"/>
          <w:color w:val="000000"/>
          <w:szCs w:val="24"/>
          <w:lang w:eastAsia="hr-HR"/>
        </w:rPr>
        <w:t xml:space="preserve">0,00 kuna. Prema tome, posljedice po društvenu stabilnost i politiku neće se prikazati tabelarno i matricom. </w:t>
      </w:r>
    </w:p>
    <w:p w:rsidR="008F0D85" w:rsidRDefault="00AE42A1">
      <w:pPr>
        <w:pStyle w:val="Naslov5"/>
      </w:pPr>
      <w:bookmarkStart w:id="688" w:name="_Toc512434642"/>
      <w:bookmarkStart w:id="689" w:name="_Toc514240211"/>
      <w:bookmarkStart w:id="690" w:name="_Toc516128315"/>
      <w:bookmarkStart w:id="691" w:name="_Toc527969410"/>
      <w:bookmarkEnd w:id="688"/>
      <w:bookmarkEnd w:id="689"/>
      <w:bookmarkEnd w:id="690"/>
      <w:bookmarkEnd w:id="691"/>
      <w:r>
        <w:t>6.3.2.1.2. Vjerojatnost nastanka događaja s najgorim mogućim posljedicama pri pojavi suše uslijed dužeg vremenskog razdoblja bez oborina</w:t>
      </w:r>
    </w:p>
    <w:p w:rsidR="008F0D85" w:rsidRDefault="008F0D85">
      <w:pPr>
        <w:rPr>
          <w:rFonts w:cs="Cambria"/>
          <w:color w:val="000000"/>
          <w:szCs w:val="24"/>
          <w:lang w:eastAsia="hr-HR"/>
        </w:rPr>
      </w:pPr>
    </w:p>
    <w:p w:rsidR="008F0D85" w:rsidRDefault="00AE42A1">
      <w:pPr>
        <w:spacing w:after="0" w:line="360" w:lineRule="auto"/>
        <w:jc w:val="center"/>
        <w:rPr>
          <w:rFonts w:cs="Cambria"/>
          <w:b/>
          <w:bCs/>
          <w:color w:val="000000"/>
          <w:sz w:val="20"/>
          <w:szCs w:val="24"/>
          <w:lang w:eastAsia="hr-HR"/>
        </w:rPr>
      </w:pPr>
      <w:bookmarkStart w:id="692" w:name="_Toc512434734"/>
      <w:bookmarkStart w:id="693" w:name="_Toc514240335"/>
      <w:bookmarkStart w:id="694" w:name="_Toc516128420"/>
      <w:bookmarkStart w:id="695" w:name="_Toc527969523"/>
      <w:r>
        <w:rPr>
          <w:rFonts w:cs="Arial"/>
          <w:b/>
          <w:bCs/>
          <w:sz w:val="20"/>
          <w:szCs w:val="20"/>
        </w:rPr>
        <w:t xml:space="preserve">Tablica </w:t>
      </w:r>
      <w:r>
        <w:rPr>
          <w:rFonts w:cs="Arial"/>
          <w:b/>
          <w:bCs/>
          <w:sz w:val="20"/>
          <w:szCs w:val="20"/>
        </w:rPr>
        <w:fldChar w:fldCharType="begin"/>
      </w:r>
      <w:r>
        <w:instrText>SEQ Tablica \* ARABIC</w:instrText>
      </w:r>
      <w:r>
        <w:fldChar w:fldCharType="separate"/>
      </w:r>
      <w:r>
        <w:t>41</w:t>
      </w:r>
      <w:r>
        <w:fldChar w:fldCharType="end"/>
      </w:r>
      <w:bookmarkEnd w:id="692"/>
      <w:bookmarkEnd w:id="693"/>
      <w:bookmarkEnd w:id="694"/>
      <w:bookmarkEnd w:id="695"/>
      <w:r>
        <w:rPr>
          <w:rFonts w:cs="Arial"/>
          <w:b/>
          <w:bCs/>
          <w:sz w:val="20"/>
          <w:szCs w:val="20"/>
        </w:rPr>
        <w:t>: Prikaz vjerojatnosti nastanka događaja s najgorim mogućim posljedicama pri pojavi suše uslijed dužeg vremenskog razdoblja bez oborina</w:t>
      </w:r>
    </w:p>
    <w:tbl>
      <w:tblPr>
        <w:tblW w:w="8794"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1417"/>
        <w:gridCol w:w="1275"/>
        <w:gridCol w:w="1276"/>
        <w:gridCol w:w="1276"/>
        <w:gridCol w:w="2552"/>
        <w:gridCol w:w="998"/>
      </w:tblGrid>
      <w:tr w:rsidR="008F0D85">
        <w:trPr>
          <w:trHeight w:val="257"/>
          <w:jc w:val="center"/>
        </w:trPr>
        <w:tc>
          <w:tcPr>
            <w:tcW w:w="1416"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18"/>
                <w:szCs w:val="18"/>
              </w:rPr>
            </w:pPr>
            <w:r>
              <w:rPr>
                <w:b/>
                <w:sz w:val="18"/>
                <w:szCs w:val="18"/>
              </w:rPr>
              <w:lastRenderedPageBreak/>
              <w:t>Kategorija</w:t>
            </w:r>
          </w:p>
        </w:tc>
        <w:tc>
          <w:tcPr>
            <w:tcW w:w="1275"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18"/>
                <w:szCs w:val="18"/>
              </w:rPr>
            </w:pPr>
            <w:r>
              <w:rPr>
                <w:b/>
                <w:sz w:val="18"/>
                <w:szCs w:val="18"/>
              </w:rPr>
              <w:t>Posljedice</w:t>
            </w:r>
          </w:p>
        </w:tc>
        <w:tc>
          <w:tcPr>
            <w:tcW w:w="6102"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18"/>
                <w:szCs w:val="18"/>
              </w:rPr>
            </w:pPr>
            <w:r>
              <w:rPr>
                <w:b/>
                <w:sz w:val="18"/>
                <w:szCs w:val="18"/>
              </w:rPr>
              <w:t>Vjerojatnost/Frekvencija</w:t>
            </w:r>
          </w:p>
        </w:tc>
      </w:tr>
      <w:tr w:rsidR="008F0D85">
        <w:trPr>
          <w:trHeight w:val="154"/>
          <w:jc w:val="center"/>
        </w:trPr>
        <w:tc>
          <w:tcPr>
            <w:tcW w:w="1416"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rPr>
                <w:b/>
                <w:sz w:val="18"/>
                <w:szCs w:val="18"/>
              </w:rPr>
            </w:pPr>
          </w:p>
        </w:tc>
        <w:tc>
          <w:tcPr>
            <w:tcW w:w="1275"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rPr>
                <w:b/>
                <w:sz w:val="18"/>
                <w:szCs w:val="18"/>
              </w:rPr>
            </w:pPr>
          </w:p>
        </w:tc>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18"/>
                <w:szCs w:val="18"/>
              </w:rPr>
            </w:pPr>
            <w:r>
              <w:rPr>
                <w:b/>
                <w:sz w:val="18"/>
                <w:szCs w:val="18"/>
              </w:rPr>
              <w:t>Kvalitativno</w:t>
            </w:r>
          </w:p>
        </w:tc>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18"/>
                <w:szCs w:val="18"/>
              </w:rPr>
            </w:pPr>
            <w:r>
              <w:rPr>
                <w:b/>
                <w:sz w:val="18"/>
                <w:szCs w:val="18"/>
              </w:rPr>
              <w:t>Vjerojatnost</w:t>
            </w:r>
          </w:p>
        </w:tc>
        <w:tc>
          <w:tcPr>
            <w:tcW w:w="255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18"/>
                <w:szCs w:val="18"/>
              </w:rPr>
            </w:pPr>
            <w:r>
              <w:rPr>
                <w:b/>
                <w:sz w:val="18"/>
                <w:szCs w:val="18"/>
              </w:rPr>
              <w:t>Frekvencija</w:t>
            </w:r>
          </w:p>
        </w:tc>
        <w:tc>
          <w:tcPr>
            <w:tcW w:w="99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18"/>
                <w:szCs w:val="18"/>
              </w:rPr>
            </w:pPr>
            <w:r>
              <w:rPr>
                <w:b/>
                <w:sz w:val="18"/>
                <w:szCs w:val="18"/>
              </w:rPr>
              <w:t>Odabrano</w:t>
            </w:r>
          </w:p>
        </w:tc>
      </w:tr>
      <w:tr w:rsidR="008F0D85">
        <w:trPr>
          <w:trHeight w:val="257"/>
          <w:jc w:val="center"/>
        </w:trPr>
        <w:tc>
          <w:tcPr>
            <w:tcW w:w="141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18"/>
                <w:szCs w:val="18"/>
              </w:rPr>
            </w:pPr>
            <w:r>
              <w:rPr>
                <w:b/>
                <w:sz w:val="18"/>
                <w:szCs w:val="18"/>
              </w:rPr>
              <w:t>1</w:t>
            </w:r>
          </w:p>
        </w:tc>
        <w:tc>
          <w:tcPr>
            <w:tcW w:w="127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Neznatne</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Iznimno mala</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&lt;1 %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1 događaj u 100 godina i rjeđe</w:t>
            </w:r>
          </w:p>
        </w:tc>
        <w:tc>
          <w:tcPr>
            <w:tcW w:w="9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sz w:val="18"/>
                <w:szCs w:val="18"/>
              </w:rPr>
            </w:pPr>
          </w:p>
        </w:tc>
      </w:tr>
      <w:tr w:rsidR="008F0D85">
        <w:trPr>
          <w:trHeight w:val="257"/>
          <w:jc w:val="center"/>
        </w:trPr>
        <w:tc>
          <w:tcPr>
            <w:tcW w:w="141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18"/>
                <w:szCs w:val="18"/>
              </w:rPr>
            </w:pPr>
            <w:r>
              <w:rPr>
                <w:b/>
                <w:sz w:val="18"/>
                <w:szCs w:val="18"/>
              </w:rPr>
              <w:t>2</w:t>
            </w:r>
          </w:p>
        </w:tc>
        <w:tc>
          <w:tcPr>
            <w:tcW w:w="127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Malene</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Mala</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1 – 5 %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1 događaj u 20 do 100 godina</w:t>
            </w:r>
          </w:p>
        </w:tc>
        <w:tc>
          <w:tcPr>
            <w:tcW w:w="9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sz w:val="18"/>
                <w:szCs w:val="18"/>
              </w:rPr>
            </w:pPr>
          </w:p>
        </w:tc>
      </w:tr>
      <w:tr w:rsidR="008F0D85">
        <w:trPr>
          <w:trHeight w:val="257"/>
          <w:jc w:val="center"/>
        </w:trPr>
        <w:tc>
          <w:tcPr>
            <w:tcW w:w="141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18"/>
                <w:szCs w:val="18"/>
              </w:rPr>
            </w:pPr>
            <w:r>
              <w:rPr>
                <w:b/>
                <w:sz w:val="18"/>
                <w:szCs w:val="18"/>
              </w:rPr>
              <w:t>3</w:t>
            </w:r>
          </w:p>
        </w:tc>
        <w:tc>
          <w:tcPr>
            <w:tcW w:w="127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Umjerene</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Umjerena</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5 – 50 %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1 događaj u 2 do 20 godina</w:t>
            </w:r>
          </w:p>
        </w:tc>
        <w:tc>
          <w:tcPr>
            <w:tcW w:w="9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257"/>
          <w:jc w:val="center"/>
        </w:trPr>
        <w:tc>
          <w:tcPr>
            <w:tcW w:w="141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18"/>
                <w:szCs w:val="18"/>
              </w:rPr>
            </w:pPr>
            <w:r>
              <w:rPr>
                <w:b/>
                <w:sz w:val="18"/>
                <w:szCs w:val="18"/>
              </w:rPr>
              <w:t>4</w:t>
            </w:r>
          </w:p>
        </w:tc>
        <w:tc>
          <w:tcPr>
            <w:tcW w:w="127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Značajne</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Velika</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51 – 98 %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1 događaj 1 do 2 godine</w:t>
            </w:r>
          </w:p>
        </w:tc>
        <w:tc>
          <w:tcPr>
            <w:tcW w:w="9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b/>
                <w:sz w:val="18"/>
                <w:szCs w:val="18"/>
              </w:rPr>
            </w:pPr>
            <w:r>
              <w:rPr>
                <w:b/>
                <w:sz w:val="18"/>
                <w:szCs w:val="18"/>
              </w:rPr>
              <w:t>X</w:t>
            </w:r>
          </w:p>
        </w:tc>
      </w:tr>
      <w:tr w:rsidR="008F0D85">
        <w:trPr>
          <w:trHeight w:val="273"/>
          <w:jc w:val="center"/>
        </w:trPr>
        <w:tc>
          <w:tcPr>
            <w:tcW w:w="141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18"/>
                <w:szCs w:val="18"/>
              </w:rPr>
            </w:pPr>
            <w:r>
              <w:rPr>
                <w:b/>
                <w:sz w:val="18"/>
                <w:szCs w:val="18"/>
              </w:rPr>
              <w:t>5</w:t>
            </w:r>
          </w:p>
        </w:tc>
        <w:tc>
          <w:tcPr>
            <w:tcW w:w="127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Katastrofalne</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Iznimno velika</w:t>
            </w:r>
          </w:p>
        </w:tc>
        <w:tc>
          <w:tcPr>
            <w:tcW w:w="1276"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&gt; 98 %</w:t>
            </w:r>
          </w:p>
        </w:t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18"/>
                <w:szCs w:val="18"/>
              </w:rPr>
            </w:pPr>
            <w:r>
              <w:rPr>
                <w:sz w:val="18"/>
                <w:szCs w:val="18"/>
              </w:rPr>
              <w:t>1 događaj godišnje ili češće</w:t>
            </w:r>
          </w:p>
        </w:tc>
        <w:tc>
          <w:tcPr>
            <w:tcW w:w="9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sz w:val="18"/>
                <w:szCs w:val="18"/>
              </w:rPr>
            </w:pPr>
          </w:p>
        </w:tc>
      </w:tr>
    </w:tbl>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AE42A1">
      <w:pPr>
        <w:pStyle w:val="Naslov3"/>
      </w:pPr>
      <w:bookmarkStart w:id="696" w:name="_Toc512434643"/>
      <w:bookmarkStart w:id="697" w:name="_Toc514240212"/>
      <w:bookmarkStart w:id="698" w:name="_Toc516128316"/>
      <w:bookmarkStart w:id="699" w:name="_Toc527969411"/>
      <w:bookmarkEnd w:id="696"/>
      <w:bookmarkEnd w:id="697"/>
      <w:bookmarkEnd w:id="698"/>
      <w:bookmarkEnd w:id="699"/>
      <w:r>
        <w:t>6.3.3. Matrice rizika – Suša</w:t>
      </w:r>
    </w:p>
    <w:p w:rsidR="008F0D85" w:rsidRDefault="00AE42A1">
      <w:pPr>
        <w:spacing w:after="0"/>
        <w:rPr>
          <w:rFonts w:cs="Cambria"/>
          <w:b/>
          <w:color w:val="000000"/>
          <w:szCs w:val="24"/>
          <w:lang w:eastAsia="hr-HR"/>
        </w:rPr>
      </w:pPr>
      <w:r>
        <w:rPr>
          <w:rFonts w:cs="Cambria"/>
          <w:b/>
          <w:color w:val="000000"/>
          <w:szCs w:val="24"/>
          <w:lang w:eastAsia="hr-HR"/>
        </w:rPr>
        <w:t>RIZIK – Suša</w:t>
      </w:r>
    </w:p>
    <w:p w:rsidR="008F0D85" w:rsidRDefault="00AE42A1">
      <w:pPr>
        <w:spacing w:after="0"/>
        <w:rPr>
          <w:rFonts w:cs="Cambria"/>
          <w:b/>
          <w:color w:val="000000"/>
          <w:szCs w:val="24"/>
          <w:lang w:eastAsia="hr-HR"/>
        </w:rPr>
      </w:pPr>
      <w:r>
        <w:rPr>
          <w:rFonts w:cs="Cambria"/>
          <w:b/>
          <w:color w:val="000000"/>
          <w:szCs w:val="24"/>
          <w:lang w:eastAsia="hr-HR"/>
        </w:rPr>
        <w:t>NAZIV SCENARIJA – Pojava suše uslijed dužeg vremenskog razdoblja bez oborina</w:t>
      </w:r>
    </w:p>
    <w:p w:rsidR="008F0D85" w:rsidRDefault="008F0D85">
      <w:pPr>
        <w:rPr>
          <w:lang w:eastAsia="hr-HR"/>
        </w:rPr>
      </w:pPr>
    </w:p>
    <w:p w:rsidR="008F0D85" w:rsidRDefault="00AE42A1">
      <w:pPr>
        <w:rPr>
          <w:u w:val="single"/>
        </w:rPr>
      </w:pPr>
      <w:r>
        <w:rPr>
          <w:u w:val="single"/>
          <w:lang w:eastAsia="hr-HR"/>
        </w:rPr>
        <w:t xml:space="preserve">DOGAĐAJ S NAJGORIM MOGUĆIM POSLJEDICAMA: </w:t>
      </w:r>
      <w:r>
        <w:rPr>
          <w:u w:val="single"/>
        </w:rPr>
        <w:t>Pojava suše uslijed dužeg vremenskog razdoblja bez oborina</w:t>
      </w:r>
    </w:p>
    <w:p w:rsidR="008F0D85" w:rsidRDefault="008F0D85">
      <w:pPr>
        <w:rPr>
          <w:u w:val="single"/>
        </w:rPr>
      </w:pPr>
    </w:p>
    <w:p w:rsidR="008F0D85" w:rsidRDefault="00AE42A1">
      <w:pPr>
        <w:spacing w:after="0"/>
        <w:rPr>
          <w:sz w:val="18"/>
          <w:szCs w:val="18"/>
        </w:rPr>
      </w:pPr>
      <w:r>
        <w:rPr>
          <w:sz w:val="18"/>
          <w:szCs w:val="18"/>
        </w:rPr>
        <w:t xml:space="preserve">                                    Život i zdravlje ljudi                                                                                        </w:t>
      </w:r>
      <w:r>
        <w:rPr>
          <w:sz w:val="18"/>
          <w:szCs w:val="18"/>
        </w:rPr>
        <w:t>Gospodarstvo</w:t>
      </w:r>
    </w:p>
    <w:p w:rsidR="008F0D85" w:rsidRDefault="008F0D85">
      <w:pPr>
        <w:spacing w:after="0"/>
        <w:jc w:val="center"/>
      </w:pPr>
    </w:p>
    <w:p w:rsidR="008F0D85" w:rsidRDefault="00AE42A1">
      <w:r>
        <w:rPr>
          <w:noProof/>
        </w:rPr>
        <mc:AlternateContent>
          <mc:Choice Requires="wps">
            <w:drawing>
              <wp:anchor distT="0" distB="0" distL="114300" distR="114300" simplePos="0" relativeHeight="228" behindDoc="0" locked="0" layoutInCell="1" allowOverlap="1">
                <wp:simplePos x="0" y="0"/>
                <wp:positionH relativeFrom="column">
                  <wp:posOffset>1547495</wp:posOffset>
                </wp:positionH>
                <wp:positionV relativeFrom="paragraph">
                  <wp:posOffset>1477645</wp:posOffset>
                </wp:positionV>
                <wp:extent cx="2540" cy="2540"/>
                <wp:effectExtent l="0" t="0" r="0" b="0"/>
                <wp:wrapNone/>
                <wp:docPr id="55" name="Slika7"/>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1C58736E" id="Slika7" o:spid="_x0000_s1026" style="position:absolute;margin-left:121.85pt;margin-top:116.35pt;width:.2pt;height:.2pt;z-index:2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" fillcolor="#4472c4" strokecolor="#2f528f" strokeweight=".35mm"/>
            </w:pict>
          </mc:Fallback>
        </mc:AlternateContent>
      </w:r>
      <w:r>
        <w:rPr>
          <w:noProof/>
        </w:rPr>
        <mc:AlternateContent>
          <mc:Choice Requires="wps">
            <w:drawing>
              <wp:anchor distT="0" distB="0" distL="114300" distR="114300" simplePos="0" relativeHeight="229" behindDoc="0" locked="0" layoutInCell="1" allowOverlap="1">
                <wp:simplePos x="0" y="0"/>
                <wp:positionH relativeFrom="column">
                  <wp:posOffset>4585970</wp:posOffset>
                </wp:positionH>
                <wp:positionV relativeFrom="paragraph">
                  <wp:posOffset>582295</wp:posOffset>
                </wp:positionV>
                <wp:extent cx="2540" cy="2540"/>
                <wp:effectExtent l="0" t="0" r="0" b="0"/>
                <wp:wrapNone/>
                <wp:docPr id="56" name="Slika8"/>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2C2B2497" id="Slika8" o:spid="_x0000_s1026" style="position:absolute;margin-left:361.1pt;margin-top:45.85pt;width:.2pt;height:.2pt;z-index:2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" fillcolor="#4472c4" strokecolor="#2f528f" strokeweight=".35mm"/>
            </w:pict>
          </mc:Fallback>
        </mc:AlternateContent>
      </w:r>
      <w:r>
        <w:rPr>
          <w:noProof/>
        </w:rPr>
        <w:drawing>
          <wp:inline distT="0" distB="0" distL="0" distR="0">
            <wp:extent cx="2639060" cy="2258060"/>
            <wp:effectExtent l="0" t="0" r="0" b="0"/>
            <wp:docPr id="57" name="Slik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9"/>
                    <pic:cNvPicPr>
                      <a:picLocks noChangeAspect="1" noChangeArrowheads="1"/>
                    </pic:cNvPicPr>
                  </pic:nvPicPr>
                  <pic:blipFill>
                    <a:blip r:embed="rId37"/>
                    <a:stretch>
                      <a:fillRect/>
                    </a:stretch>
                  </pic:blipFill>
                  <pic:spPr bwMode="auto">
                    <a:xfrm>
                      <a:off x="0" y="0"/>
                      <a:ext cx="2639060" cy="2258060"/>
                    </a:xfrm>
                    <a:prstGeom prst="rect">
                      <a:avLst/>
                    </a:prstGeom>
                  </pic:spPr>
                </pic:pic>
              </a:graphicData>
            </a:graphic>
          </wp:inline>
        </w:drawing>
      </w:r>
      <w:r>
        <w:t xml:space="preserve">             </w:t>
      </w:r>
      <w:r>
        <w:rPr>
          <w:noProof/>
        </w:rPr>
        <w:drawing>
          <wp:inline distT="0" distB="0" distL="0" distR="0">
            <wp:extent cx="2639060" cy="2258060"/>
            <wp:effectExtent l="0" t="0" r="0" b="0"/>
            <wp:docPr id="58" name="Slik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ka10"/>
                    <pic:cNvPicPr>
                      <a:picLocks noChangeAspect="1" noChangeArrowheads="1"/>
                    </pic:cNvPicPr>
                  </pic:nvPicPr>
                  <pic:blipFill>
                    <a:blip r:embed="rId37"/>
                    <a:stretch>
                      <a:fillRect/>
                    </a:stretch>
                  </pic:blipFill>
                  <pic:spPr bwMode="auto">
                    <a:xfrm>
                      <a:off x="0" y="0"/>
                      <a:ext cx="2639060" cy="2258060"/>
                    </a:xfrm>
                    <a:prstGeom prst="rect">
                      <a:avLst/>
                    </a:prstGeom>
                  </pic:spPr>
                </pic:pic>
              </a:graphicData>
            </a:graphic>
          </wp:inline>
        </w:drawing>
      </w:r>
    </w:p>
    <w:p w:rsidR="008F0D85" w:rsidRDefault="008F0D85"/>
    <w:p w:rsidR="008F0D85" w:rsidRDefault="00AE42A1">
      <w:r>
        <w:rPr>
          <w:noProof/>
        </w:rPr>
        <w:lastRenderedPageBreak/>
        <mc:AlternateContent>
          <mc:Choice Requires="wps">
            <w:drawing>
              <wp:anchor distT="0" distB="0" distL="114300" distR="114300" simplePos="0" relativeHeight="230" behindDoc="0" locked="0" layoutInCell="1" allowOverlap="1">
                <wp:simplePos x="0" y="0"/>
                <wp:positionH relativeFrom="column">
                  <wp:posOffset>4262120</wp:posOffset>
                </wp:positionH>
                <wp:positionV relativeFrom="paragraph">
                  <wp:posOffset>1469390</wp:posOffset>
                </wp:positionV>
                <wp:extent cx="2540" cy="2540"/>
                <wp:effectExtent l="0" t="0" r="0" b="0"/>
                <wp:wrapNone/>
                <wp:docPr id="59" name="Slika9"/>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2D6636FF" id="Slika9" o:spid="_x0000_s1026" style="position:absolute;margin-left:335.6pt;margin-top:115.7pt;width:.2pt;height:.2pt;z-index:23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" fillcolor="#4472c4" strokecolor="#2f528f" strokeweight=".35mm"/>
            </w:pict>
          </mc:Fallback>
        </mc:AlternateContent>
      </w:r>
      <w:r>
        <w:rPr>
          <w:noProof/>
        </w:rPr>
        <w:drawing>
          <wp:inline distT="0" distB="0" distL="0" distR="0">
            <wp:extent cx="2324735" cy="924560"/>
            <wp:effectExtent l="0" t="0" r="0" b="0"/>
            <wp:docPr id="60" name="Slik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ka 95"/>
                    <pic:cNvPicPr>
                      <a:picLocks noChangeAspect="1" noChangeArrowheads="1"/>
                    </pic:cNvPicPr>
                  </pic:nvPicPr>
                  <pic:blipFill>
                    <a:blip r:embed="rId38"/>
                    <a:stretch>
                      <a:fillRect/>
                    </a:stretch>
                  </pic:blipFill>
                  <pic:spPr bwMode="auto">
                    <a:xfrm>
                      <a:off x="0" y="0"/>
                      <a:ext cx="2324735" cy="924560"/>
                    </a:xfrm>
                    <a:prstGeom prst="rect">
                      <a:avLst/>
                    </a:prstGeom>
                  </pic:spPr>
                </pic:pic>
              </a:graphicData>
            </a:graphic>
          </wp:inline>
        </w:drawing>
      </w:r>
      <w:r>
        <w:t xml:space="preserve"> </w:t>
      </w:r>
      <w:r>
        <w:rPr>
          <w:noProof/>
        </w:rPr>
        <w:drawing>
          <wp:inline distT="0" distB="0" distL="0" distR="0">
            <wp:extent cx="3229610" cy="2762885"/>
            <wp:effectExtent l="0" t="0" r="0" b="0"/>
            <wp:docPr id="61" name="Slik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ka11"/>
                    <pic:cNvPicPr>
                      <a:picLocks noChangeAspect="1" noChangeArrowheads="1"/>
                    </pic:cNvPicPr>
                  </pic:nvPicPr>
                  <pic:blipFill>
                    <a:blip r:embed="rId37"/>
                    <a:stretch>
                      <a:fillRect/>
                    </a:stretch>
                  </pic:blipFill>
                  <pic:spPr bwMode="auto">
                    <a:xfrm>
                      <a:off x="0" y="0"/>
                      <a:ext cx="3229610" cy="2762885"/>
                    </a:xfrm>
                    <a:prstGeom prst="rect">
                      <a:avLst/>
                    </a:prstGeom>
                  </pic:spPr>
                </pic:pic>
              </a:graphicData>
            </a:graphic>
          </wp:inline>
        </w:drawing>
      </w:r>
    </w:p>
    <w:p w:rsidR="008F0D85" w:rsidRDefault="008F0D85">
      <w:pPr>
        <w:rPr>
          <w:rFonts w:cs="Calibri"/>
          <w:szCs w:val="24"/>
        </w:rPr>
      </w:pPr>
    </w:p>
    <w:p w:rsidR="008F0D85" w:rsidRDefault="008F0D85">
      <w:pPr>
        <w:rPr>
          <w:rFonts w:cs="Calibri"/>
          <w:szCs w:val="24"/>
        </w:rPr>
      </w:pPr>
    </w:p>
    <w:p w:rsidR="008F0D85" w:rsidRDefault="00AE42A1">
      <w:pPr>
        <w:pStyle w:val="Naslov3"/>
      </w:pPr>
      <w:bookmarkStart w:id="700" w:name="_Toc512434644"/>
      <w:bookmarkStart w:id="701" w:name="_Toc514240213"/>
      <w:bookmarkStart w:id="702" w:name="_Toc516128317"/>
      <w:bookmarkStart w:id="703" w:name="_Toc527969412"/>
      <w:bookmarkEnd w:id="700"/>
      <w:bookmarkEnd w:id="701"/>
      <w:bookmarkEnd w:id="702"/>
      <w:bookmarkEnd w:id="703"/>
      <w:r>
        <w:t>6.3.4. Izvor podataka</w:t>
      </w:r>
    </w:p>
    <w:p w:rsidR="008F0D85" w:rsidRDefault="008F0D85">
      <w:pPr>
        <w:rPr>
          <w:lang w:eastAsia="hr-HR"/>
        </w:rPr>
      </w:pPr>
    </w:p>
    <w:p w:rsidR="008F0D85" w:rsidRDefault="00AE42A1">
      <w:pPr>
        <w:numPr>
          <w:ilvl w:val="0"/>
          <w:numId w:val="45"/>
        </w:numPr>
        <w:spacing w:after="47" w:line="240" w:lineRule="auto"/>
        <w:contextualSpacing/>
        <w:rPr>
          <w:rFonts w:cs="Calibri"/>
          <w:color w:val="000000"/>
          <w:sz w:val="20"/>
          <w:szCs w:val="20"/>
          <w:lang w:val="en-US"/>
        </w:rPr>
      </w:pPr>
      <w:r>
        <w:rPr>
          <w:rFonts w:cs="Calibri"/>
          <w:color w:val="000000"/>
          <w:sz w:val="20"/>
          <w:szCs w:val="20"/>
          <w:lang w:val="en-US"/>
        </w:rPr>
        <w:t xml:space="preserve">Državni hidrometeorološki zavod (DHMZ, 2016., 2017.god.) </w:t>
      </w:r>
    </w:p>
    <w:p w:rsidR="008F0D85" w:rsidRDefault="00AE42A1">
      <w:pPr>
        <w:numPr>
          <w:ilvl w:val="0"/>
          <w:numId w:val="45"/>
        </w:numPr>
        <w:spacing w:after="47" w:line="240" w:lineRule="auto"/>
        <w:contextualSpacing/>
        <w:rPr>
          <w:rFonts w:cs="Calibri"/>
          <w:color w:val="000000"/>
          <w:sz w:val="20"/>
          <w:szCs w:val="20"/>
          <w:lang w:val="en-US"/>
        </w:rPr>
      </w:pPr>
      <w:r>
        <w:rPr>
          <w:rFonts w:cs="Calibri"/>
          <w:color w:val="000000"/>
          <w:sz w:val="20"/>
          <w:szCs w:val="20"/>
          <w:lang w:val="en-US"/>
        </w:rPr>
        <w:t xml:space="preserve">Državni zavod za statistiku, Popis stanovništva 2011.god. </w:t>
      </w:r>
    </w:p>
    <w:p w:rsidR="008F0D85" w:rsidRDefault="00AE42A1">
      <w:pPr>
        <w:numPr>
          <w:ilvl w:val="0"/>
          <w:numId w:val="45"/>
        </w:numPr>
        <w:spacing w:after="47" w:line="240" w:lineRule="auto"/>
        <w:contextualSpacing/>
        <w:rPr>
          <w:rFonts w:cs="Calibri"/>
          <w:color w:val="000000"/>
          <w:sz w:val="20"/>
          <w:szCs w:val="20"/>
          <w:lang w:val="en-US"/>
        </w:rPr>
      </w:pPr>
      <w:r>
        <w:rPr>
          <w:rFonts w:cs="Calibri"/>
          <w:color w:val="000000"/>
          <w:sz w:val="20"/>
          <w:szCs w:val="20"/>
          <w:lang w:val="en-US"/>
        </w:rPr>
        <w:t>Kriteriji za izradu smjernica koje donose čelnici područne (regionalne) samo</w:t>
      </w:r>
      <w:r>
        <w:rPr>
          <w:rFonts w:cs="Calibri"/>
          <w:color w:val="000000"/>
          <w:sz w:val="20"/>
          <w:szCs w:val="20"/>
          <w:lang w:val="en-US"/>
        </w:rPr>
        <w:t xml:space="preserve">uprave za potrebe izrade Procjena rizika od velikih nesreća na razinama jedinica lokalnih i područnih (regionalnih) samouprave, DUZS, 2016.god. </w:t>
      </w:r>
    </w:p>
    <w:p w:rsidR="008F0D85" w:rsidRDefault="00AE42A1">
      <w:pPr>
        <w:numPr>
          <w:ilvl w:val="0"/>
          <w:numId w:val="45"/>
        </w:numPr>
        <w:spacing w:after="47" w:line="240" w:lineRule="auto"/>
        <w:contextualSpacing/>
        <w:rPr>
          <w:rFonts w:cs="Calibri"/>
          <w:color w:val="000000"/>
          <w:sz w:val="20"/>
          <w:szCs w:val="20"/>
          <w:lang w:val="en-US"/>
        </w:rPr>
      </w:pPr>
      <w:r>
        <w:rPr>
          <w:rFonts w:cs="Calibri"/>
          <w:color w:val="000000"/>
          <w:sz w:val="20"/>
          <w:szCs w:val="20"/>
          <w:lang w:val="en-US"/>
        </w:rPr>
        <w:t>Pravilnik o smjernicama za izradu Procjene rizika od katastrofa i velikih nesreća za područje Republike Hrvatsk</w:t>
      </w:r>
      <w:r>
        <w:rPr>
          <w:rFonts w:cs="Calibri"/>
          <w:color w:val="000000"/>
          <w:sz w:val="20"/>
          <w:szCs w:val="20"/>
          <w:lang w:val="en-US"/>
        </w:rPr>
        <w:t xml:space="preserve">e i jedinica lokalne i područne (regionalne) samouprave (“Narodne Novine” br. 65/16) </w:t>
      </w:r>
    </w:p>
    <w:p w:rsidR="008F0D85" w:rsidRDefault="00AE42A1">
      <w:pPr>
        <w:numPr>
          <w:ilvl w:val="0"/>
          <w:numId w:val="45"/>
        </w:numPr>
        <w:spacing w:after="47" w:line="240" w:lineRule="auto"/>
        <w:contextualSpacing/>
        <w:rPr>
          <w:rFonts w:cs="Calibri"/>
          <w:color w:val="000000"/>
          <w:sz w:val="20"/>
          <w:szCs w:val="20"/>
          <w:lang w:val="en-US"/>
        </w:rPr>
      </w:pPr>
      <w:r>
        <w:rPr>
          <w:rFonts w:cs="Calibri"/>
          <w:color w:val="000000"/>
          <w:sz w:val="20"/>
          <w:szCs w:val="20"/>
          <w:lang w:val="en-US"/>
        </w:rPr>
        <w:t xml:space="preserve">Procjena rizika od katastrofa za Republiku Hrvatsku, 2016.god. </w:t>
      </w:r>
    </w:p>
    <w:p w:rsidR="008F0D85" w:rsidRDefault="00AE42A1">
      <w:pPr>
        <w:numPr>
          <w:ilvl w:val="0"/>
          <w:numId w:val="45"/>
        </w:numPr>
        <w:spacing w:after="47" w:line="240" w:lineRule="auto"/>
        <w:contextualSpacing/>
        <w:rPr>
          <w:rFonts w:cs="Calibri"/>
          <w:color w:val="000000"/>
          <w:sz w:val="20"/>
          <w:szCs w:val="20"/>
          <w:lang w:val="en-US"/>
        </w:rPr>
      </w:pPr>
      <w:r>
        <w:rPr>
          <w:rFonts w:cs="Calibri"/>
          <w:color w:val="000000"/>
          <w:sz w:val="20"/>
          <w:szCs w:val="20"/>
          <w:lang w:val="en-US"/>
        </w:rPr>
        <w:t>Meteorološka podloga za potrebe Procjene ugroženosti stanovništva, materijalnih i kulturnih dobara Koprivn</w:t>
      </w:r>
      <w:r>
        <w:rPr>
          <w:rFonts w:cs="Calibri"/>
          <w:color w:val="000000"/>
          <w:sz w:val="20"/>
          <w:szCs w:val="20"/>
          <w:lang w:val="en-US"/>
        </w:rPr>
        <w:t xml:space="preserve">ičko – križevačke županije, 2006.god. </w:t>
      </w:r>
    </w:p>
    <w:p w:rsidR="008F0D85" w:rsidRDefault="00AE42A1">
      <w:pPr>
        <w:numPr>
          <w:ilvl w:val="0"/>
          <w:numId w:val="45"/>
        </w:numPr>
        <w:spacing w:after="47" w:line="240" w:lineRule="auto"/>
        <w:contextualSpacing/>
        <w:rPr>
          <w:rFonts w:cs="Calibri"/>
          <w:color w:val="000000"/>
          <w:sz w:val="20"/>
          <w:szCs w:val="20"/>
          <w:lang w:val="en-US"/>
        </w:rPr>
      </w:pPr>
      <w:r>
        <w:rPr>
          <w:rFonts w:cs="Calibri"/>
          <w:color w:val="000000"/>
          <w:sz w:val="20"/>
          <w:szCs w:val="20"/>
          <w:lang w:val="en-US"/>
        </w:rPr>
        <w:t>Procjena ugroženosti stanovništva, materijalnih i kulturnih dobara i okoliša Općine Kloštar Podravski, 2015.god.</w:t>
      </w:r>
    </w:p>
    <w:p w:rsidR="008F0D85" w:rsidRDefault="00AE42A1">
      <w:pPr>
        <w:numPr>
          <w:ilvl w:val="0"/>
          <w:numId w:val="45"/>
        </w:numPr>
        <w:spacing w:after="47" w:line="240" w:lineRule="auto"/>
        <w:contextualSpacing/>
        <w:rPr>
          <w:rFonts w:cs="Calibri"/>
          <w:color w:val="000000"/>
          <w:sz w:val="20"/>
          <w:szCs w:val="20"/>
          <w:lang w:val="en-US"/>
        </w:rPr>
      </w:pPr>
      <w:r>
        <w:rPr>
          <w:rFonts w:cs="Calibri"/>
          <w:color w:val="000000"/>
          <w:sz w:val="20"/>
          <w:szCs w:val="20"/>
          <w:lang w:val="en-US"/>
        </w:rPr>
        <w:t>Procjena ugroženosti stanovništva, materijalnih i kulturnih dobara i okoliša za Koprivničko – križevačku</w:t>
      </w:r>
      <w:r>
        <w:rPr>
          <w:rFonts w:cs="Calibri"/>
          <w:color w:val="000000"/>
          <w:sz w:val="20"/>
          <w:szCs w:val="20"/>
          <w:lang w:val="en-US"/>
        </w:rPr>
        <w:t xml:space="preserve"> županiju, 2015.god. </w:t>
      </w:r>
    </w:p>
    <w:p w:rsidR="008F0D85" w:rsidRDefault="00AE42A1">
      <w:pPr>
        <w:numPr>
          <w:ilvl w:val="0"/>
          <w:numId w:val="45"/>
        </w:numPr>
        <w:spacing w:after="47" w:line="240" w:lineRule="auto"/>
        <w:contextualSpacing/>
        <w:rPr>
          <w:rFonts w:cs="Calibri"/>
          <w:color w:val="000000"/>
          <w:sz w:val="20"/>
          <w:szCs w:val="20"/>
          <w:lang w:val="en-US"/>
        </w:rPr>
      </w:pPr>
      <w:r>
        <w:rPr>
          <w:rFonts w:cs="Calibri"/>
          <w:color w:val="000000"/>
          <w:sz w:val="20"/>
          <w:szCs w:val="20"/>
          <w:lang w:val="en-US"/>
        </w:rPr>
        <w:t xml:space="preserve">Smjernice za izradu Procjene rizika od velikih nesreća na području Koprivničko - križevačke županije, 2017.god. </w:t>
      </w:r>
    </w:p>
    <w:p w:rsidR="008F0D85" w:rsidRDefault="00AE42A1">
      <w:pPr>
        <w:numPr>
          <w:ilvl w:val="0"/>
          <w:numId w:val="45"/>
        </w:numPr>
        <w:spacing w:after="0" w:line="240" w:lineRule="auto"/>
        <w:contextualSpacing/>
        <w:rPr>
          <w:rFonts w:cs="Calibri"/>
          <w:color w:val="000000"/>
          <w:sz w:val="20"/>
          <w:szCs w:val="20"/>
          <w:lang w:val="en-US"/>
        </w:rPr>
      </w:pPr>
      <w:r>
        <w:rPr>
          <w:rFonts w:cs="Calibri"/>
          <w:color w:val="000000"/>
          <w:sz w:val="20"/>
          <w:szCs w:val="20"/>
          <w:lang w:val="en-US"/>
        </w:rPr>
        <w:t xml:space="preserve">Zakon o sustavu civilne zaštite („Narodne Novine“ br. 82/15) </w:t>
      </w:r>
    </w:p>
    <w:p w:rsidR="008F0D85" w:rsidRDefault="008F0D85">
      <w:pPr>
        <w:spacing w:after="0" w:line="240" w:lineRule="auto"/>
        <w:contextualSpacing/>
        <w:rPr>
          <w:rFonts w:cs="Calibri"/>
          <w:color w:val="000000"/>
          <w:sz w:val="20"/>
          <w:szCs w:val="20"/>
          <w:lang w:val="en-US"/>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AE42A1">
      <w:pPr>
        <w:pStyle w:val="Naslov2"/>
      </w:pPr>
      <w:bookmarkStart w:id="704" w:name="_Toc512434645"/>
      <w:bookmarkStart w:id="705" w:name="_Toc514240214"/>
      <w:bookmarkStart w:id="706" w:name="_Toc516128318"/>
      <w:bookmarkStart w:id="707" w:name="_Toc527969413"/>
      <w:bookmarkEnd w:id="704"/>
      <w:bookmarkEnd w:id="705"/>
      <w:bookmarkEnd w:id="706"/>
      <w:bookmarkEnd w:id="707"/>
      <w:r>
        <w:t>6.4. Poplava</w:t>
      </w:r>
    </w:p>
    <w:p w:rsidR="008F0D85" w:rsidRDefault="00AE42A1">
      <w:pPr>
        <w:pStyle w:val="Naslov3"/>
      </w:pPr>
      <w:bookmarkStart w:id="708" w:name="_Toc512434646"/>
      <w:bookmarkStart w:id="709" w:name="_Toc514240215"/>
      <w:bookmarkStart w:id="710" w:name="_Toc516128319"/>
      <w:bookmarkStart w:id="711" w:name="_Toc527969414"/>
      <w:bookmarkEnd w:id="708"/>
      <w:bookmarkEnd w:id="709"/>
      <w:bookmarkEnd w:id="710"/>
      <w:bookmarkEnd w:id="711"/>
      <w:r>
        <w:t>6.4.1. RIZIK – Poplave izazvane izlijevanjem kopnenih vodenih tijela</w:t>
      </w:r>
    </w:p>
    <w:p w:rsidR="008F0D85" w:rsidRDefault="00AE42A1">
      <w:pPr>
        <w:pStyle w:val="Naslov4"/>
      </w:pPr>
      <w:bookmarkStart w:id="712" w:name="_Toc512434647"/>
      <w:bookmarkStart w:id="713" w:name="_Toc527969415"/>
      <w:bookmarkStart w:id="714" w:name="_Toc514240216"/>
      <w:bookmarkStart w:id="715" w:name="_Toc516128320"/>
      <w:r>
        <w:t xml:space="preserve">6.4.1.1. NAZIV SCENARIJA – </w:t>
      </w:r>
      <w:bookmarkEnd w:id="712"/>
      <w:r>
        <w:t xml:space="preserve"> </w:t>
      </w:r>
      <w:bookmarkEnd w:id="713"/>
      <w:bookmarkEnd w:id="714"/>
      <w:bookmarkEnd w:id="715"/>
      <w:r>
        <w:t>Izlijevanje kopnenih vodenih tijela na području Općine</w:t>
      </w:r>
    </w:p>
    <w:p w:rsidR="008F0D85" w:rsidRDefault="008F0D85">
      <w:pPr>
        <w:rPr>
          <w:lang w:eastAsia="hr-HR"/>
        </w:rPr>
      </w:pPr>
    </w:p>
    <w:tbl>
      <w:tblPr>
        <w:tblW w:w="9097"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9097"/>
      </w:tblGrid>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Naziv scena</w:t>
            </w:r>
            <w:r>
              <w:rPr>
                <w:b/>
                <w:sz w:val="20"/>
              </w:rPr>
              <w:t>rija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tabs>
                <w:tab w:val="left" w:pos="1395"/>
              </w:tabs>
              <w:spacing w:after="0"/>
              <w:rPr>
                <w:rFonts w:cs="Calibri"/>
                <w:i/>
                <w:sz w:val="20"/>
                <w:szCs w:val="20"/>
              </w:rPr>
            </w:pPr>
            <w:r>
              <w:rPr>
                <w:rFonts w:cs="Calibri"/>
                <w:i/>
                <w:sz w:val="20"/>
                <w:szCs w:val="20"/>
              </w:rPr>
              <w:t>Izlijevanje kopnenih vodenih tijela na području Općine uslijed dužeg oborinskog razdoblja</w:t>
            </w:r>
          </w:p>
        </w:tc>
      </w:tr>
      <w:tr w:rsidR="008F0D85">
        <w:trPr>
          <w:trHeight w:val="248"/>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Grupa rizika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i/>
                <w:sz w:val="20"/>
              </w:rPr>
              <w:t>Poplava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Rizik</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i/>
                <w:sz w:val="20"/>
              </w:rPr>
              <w:t>Poplave izazvane izlijevanjem kopnenih vodenih tijela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Radna skupina</w:t>
            </w:r>
          </w:p>
        </w:tc>
      </w:tr>
      <w:tr w:rsidR="008F0D85">
        <w:trPr>
          <w:trHeight w:val="251"/>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rPr>
            </w:pPr>
            <w:r>
              <w:rPr>
                <w:b/>
                <w:sz w:val="20"/>
              </w:rPr>
              <w:t xml:space="preserve">Koordinator: </w:t>
            </w:r>
            <w:r>
              <w:rPr>
                <w:i/>
                <w:sz w:val="20"/>
              </w:rPr>
              <w:t xml:space="preserve">Ivan Čupen, načelnik Stožera civilne </w:t>
            </w:r>
            <w:r>
              <w:rPr>
                <w:i/>
                <w:sz w:val="20"/>
              </w:rPr>
              <w:t>zaštite Općine Kloštar Podravski</w:t>
            </w:r>
          </w:p>
        </w:tc>
      </w:tr>
      <w:tr w:rsidR="008F0D85">
        <w:trPr>
          <w:trHeight w:val="255"/>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b/>
                <w:sz w:val="20"/>
              </w:rPr>
              <w:t xml:space="preserve">Nositelj: </w:t>
            </w:r>
            <w:r>
              <w:rPr>
                <w:i/>
                <w:sz w:val="20"/>
              </w:rPr>
              <w:t>Dražen Magdić, policajac</w:t>
            </w:r>
          </w:p>
        </w:tc>
      </w:tr>
      <w:tr w:rsidR="008F0D85">
        <w:trPr>
          <w:trHeight w:val="248"/>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b/>
                <w:sz w:val="20"/>
              </w:rPr>
              <w:t xml:space="preserve">Izvršitelj: </w:t>
            </w:r>
            <w:r>
              <w:rPr>
                <w:i/>
                <w:sz w:val="20"/>
              </w:rPr>
              <w:t>Josip Krupski, član DVD-a</w:t>
            </w:r>
          </w:p>
        </w:tc>
      </w:tr>
    </w:tbl>
    <w:p w:rsidR="008F0D85" w:rsidRDefault="008F0D85">
      <w:pPr>
        <w:rPr>
          <w:rFonts w:cs="Calibri"/>
          <w:szCs w:val="24"/>
        </w:rPr>
      </w:pPr>
    </w:p>
    <w:p w:rsidR="008F0D85" w:rsidRDefault="00AE42A1">
      <w:pPr>
        <w:pStyle w:val="Naslov4"/>
      </w:pPr>
      <w:bookmarkStart w:id="716" w:name="_Toc512434648"/>
      <w:bookmarkStart w:id="717" w:name="_Toc514240217"/>
      <w:bookmarkStart w:id="718" w:name="_Toc516128321"/>
      <w:bookmarkStart w:id="719" w:name="_Toc527969416"/>
      <w:bookmarkEnd w:id="716"/>
      <w:bookmarkEnd w:id="717"/>
      <w:bookmarkEnd w:id="718"/>
      <w:bookmarkEnd w:id="719"/>
      <w:r>
        <w:t>6.4.1.2. Uvod – Poplava</w:t>
      </w:r>
    </w:p>
    <w:p w:rsidR="008F0D85" w:rsidRDefault="008F0D85">
      <w:pPr>
        <w:rPr>
          <w:rFonts w:cs="Calibri"/>
          <w:szCs w:val="24"/>
        </w:rPr>
      </w:pPr>
    </w:p>
    <w:p w:rsidR="008F0D85" w:rsidRDefault="00AE42A1">
      <w:pPr>
        <w:spacing w:after="0"/>
        <w:rPr>
          <w:rFonts w:cs="Calibri"/>
          <w:szCs w:val="24"/>
        </w:rPr>
      </w:pPr>
      <w:r>
        <w:rPr>
          <w:rFonts w:cs="Calibri"/>
          <w:szCs w:val="24"/>
        </w:rPr>
        <w:t xml:space="preserve">Najznačajniji vodotoci I. i II. reda koji protiču predmetnim područjem Općine jesu: Kozarevac, Suha Katalena, </w:t>
      </w:r>
      <w:r>
        <w:rPr>
          <w:rFonts w:cs="Calibri"/>
          <w:szCs w:val="24"/>
        </w:rPr>
        <w:t>Sirova Katalena, Limbuš Selišće, Kopanjek, Zvirišće. U nizinskom dijelu Općine nalaze se kanali III. i IV. reda: Selišće, Kvokača, Tiloši, Badanjek. Navedeni vodotoci su većim dijelom bujičnog karaktera, pa u vrijeme obilnijih padalina donose s brdskog dij</w:t>
      </w:r>
      <w:r>
        <w:rPr>
          <w:rFonts w:cs="Calibri"/>
          <w:szCs w:val="24"/>
        </w:rPr>
        <w:t>ela sliva mnogo vode i nanosa koji se talože u nizinskom dijelu sliva. Vodotoci na području Općine pripadaju slivnom području „Bistra“.</w:t>
      </w:r>
    </w:p>
    <w:p w:rsidR="008F0D85" w:rsidRDefault="008F0D85">
      <w:pPr>
        <w:spacing w:after="0"/>
        <w:rPr>
          <w:rFonts w:cs="Calibri"/>
          <w:szCs w:val="24"/>
        </w:rPr>
      </w:pPr>
    </w:p>
    <w:p w:rsidR="008F0D85" w:rsidRDefault="00AE42A1">
      <w:pPr>
        <w:spacing w:after="0"/>
        <w:rPr>
          <w:rFonts w:cs="Calibri"/>
          <w:szCs w:val="24"/>
        </w:rPr>
      </w:pPr>
      <w:r>
        <w:rPr>
          <w:rFonts w:cs="Calibri"/>
          <w:szCs w:val="24"/>
        </w:rPr>
        <w:lastRenderedPageBreak/>
        <w:t>Od urbanističkih mjera koje treba ugraditi u Plan za područja gdje nisu regulirani vodotoci (velike bujice) a izgradnja</w:t>
      </w:r>
      <w:r>
        <w:rPr>
          <w:rFonts w:cs="Calibri"/>
          <w:szCs w:val="24"/>
        </w:rPr>
        <w:t xml:space="preserve"> nije suprotna Planu objekti se moraju graditi od čvrstog materijala tako da dio objekta ostane nepoplavljen i za najveće vode. Revitalizacije danas zapuštenih hidromelioracijskih sustava treba realizirati kroz suradnju s poljoprivrednim sektorom sukladno </w:t>
      </w:r>
      <w:r>
        <w:rPr>
          <w:rFonts w:cs="Calibri"/>
          <w:szCs w:val="24"/>
        </w:rPr>
        <w:t>njihovim planovima, potrebama i mogućnostima.</w:t>
      </w:r>
    </w:p>
    <w:p w:rsidR="008F0D85" w:rsidRDefault="008F0D85">
      <w:pPr>
        <w:spacing w:after="0"/>
        <w:rPr>
          <w:rFonts w:cs="Calibri"/>
          <w:szCs w:val="24"/>
        </w:rPr>
      </w:pPr>
    </w:p>
    <w:p w:rsidR="008F0D85" w:rsidRDefault="00AE42A1">
      <w:pPr>
        <w:spacing w:after="0"/>
        <w:jc w:val="center"/>
        <w:rPr>
          <w:rFonts w:cs="Calibri"/>
          <w:szCs w:val="24"/>
        </w:rPr>
      </w:pPr>
      <w:r>
        <w:rPr>
          <w:noProof/>
        </w:rPr>
        <w:lastRenderedPageBreak/>
        <w:drawing>
          <wp:inline distT="0" distB="0" distL="0" distR="0">
            <wp:extent cx="5706110" cy="7982585"/>
            <wp:effectExtent l="0" t="0" r="0" b="0"/>
            <wp:docPr id="62"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6"/>
                    <pic:cNvPicPr>
                      <a:picLocks noChangeAspect="1" noChangeArrowheads="1"/>
                    </pic:cNvPicPr>
                  </pic:nvPicPr>
                  <pic:blipFill>
                    <a:blip r:embed="rId49"/>
                    <a:stretch>
                      <a:fillRect/>
                    </a:stretch>
                  </pic:blipFill>
                  <pic:spPr bwMode="auto">
                    <a:xfrm>
                      <a:off x="0" y="0"/>
                      <a:ext cx="5706110" cy="7982585"/>
                    </a:xfrm>
                    <a:prstGeom prst="rect">
                      <a:avLst/>
                    </a:prstGeom>
                  </pic:spPr>
                </pic:pic>
              </a:graphicData>
            </a:graphic>
          </wp:inline>
        </w:drawing>
      </w:r>
    </w:p>
    <w:p w:rsidR="008F0D85" w:rsidRDefault="00AE42A1">
      <w:pPr>
        <w:spacing w:after="0" w:line="360" w:lineRule="auto"/>
        <w:rPr>
          <w:rFonts w:cs="Arial"/>
          <w:b/>
          <w:bCs/>
          <w:sz w:val="20"/>
          <w:szCs w:val="20"/>
        </w:rPr>
      </w:pPr>
      <w:bookmarkStart w:id="720" w:name="_Toc516128486"/>
      <w:bookmarkStart w:id="721" w:name="_Toc527969586"/>
      <w:r>
        <w:rPr>
          <w:rFonts w:cs="Arial"/>
          <w:b/>
          <w:bCs/>
          <w:sz w:val="20"/>
          <w:szCs w:val="20"/>
        </w:rPr>
        <w:t xml:space="preserve">Slika </w:t>
      </w:r>
      <w:r>
        <w:rPr>
          <w:rFonts w:cs="Arial"/>
          <w:b/>
          <w:bCs/>
          <w:sz w:val="20"/>
          <w:szCs w:val="20"/>
        </w:rPr>
        <w:fldChar w:fldCharType="begin"/>
      </w:r>
      <w:r>
        <w:instrText>SEQ Slika \* ARABIC</w:instrText>
      </w:r>
      <w:r>
        <w:fldChar w:fldCharType="separate"/>
      </w:r>
      <w:r>
        <w:t>14</w:t>
      </w:r>
      <w:r>
        <w:fldChar w:fldCharType="end"/>
      </w:r>
      <w:bookmarkEnd w:id="720"/>
      <w:bookmarkEnd w:id="721"/>
      <w:r>
        <w:rPr>
          <w:rFonts w:cs="Arial"/>
          <w:b/>
          <w:bCs/>
          <w:sz w:val="20"/>
          <w:szCs w:val="20"/>
        </w:rPr>
        <w:t>: Prikaz vodotoka na području Općine</w:t>
      </w:r>
    </w:p>
    <w:p w:rsidR="008F0D85" w:rsidRDefault="00AE42A1">
      <w:pPr>
        <w:rPr>
          <w:sz w:val="20"/>
          <w:szCs w:val="20"/>
        </w:rPr>
      </w:pPr>
      <w:r>
        <w:rPr>
          <w:sz w:val="20"/>
          <w:szCs w:val="20"/>
        </w:rPr>
        <w:t>Izvor: Geoportal, DGU, 2018.god.</w:t>
      </w:r>
    </w:p>
    <w:p w:rsidR="008F0D85" w:rsidRDefault="008F0D85">
      <w:pPr>
        <w:rPr>
          <w:sz w:val="20"/>
          <w:szCs w:val="20"/>
        </w:rPr>
      </w:pPr>
    </w:p>
    <w:p w:rsidR="008F0D85" w:rsidRDefault="00AE42A1">
      <w:pPr>
        <w:pStyle w:val="Naslov4"/>
      </w:pPr>
      <w:bookmarkStart w:id="722" w:name="_Toc512434649"/>
      <w:bookmarkStart w:id="723" w:name="_Toc514240218"/>
      <w:bookmarkStart w:id="724" w:name="_Toc516128322"/>
      <w:bookmarkStart w:id="725" w:name="_Toc527969417"/>
      <w:bookmarkEnd w:id="722"/>
      <w:bookmarkEnd w:id="723"/>
      <w:bookmarkEnd w:id="724"/>
      <w:bookmarkEnd w:id="725"/>
      <w:r>
        <w:lastRenderedPageBreak/>
        <w:t>6.4.1.3. Prikaz utjecaja poplava na kritičnu infrastrukturu (KI)</w:t>
      </w:r>
    </w:p>
    <w:p w:rsidR="008F0D85" w:rsidRDefault="008F0D85">
      <w:pPr>
        <w:rPr>
          <w:rFonts w:cs="Calibri"/>
          <w:szCs w:val="24"/>
        </w:rPr>
      </w:pPr>
    </w:p>
    <w:tbl>
      <w:tblPr>
        <w:tblW w:w="9107"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958"/>
        <w:gridCol w:w="8149"/>
      </w:tblGrid>
      <w:tr w:rsidR="008F0D85">
        <w:trPr>
          <w:trHeight w:val="384"/>
          <w:tblHeader/>
          <w:jc w:val="center"/>
        </w:trPr>
        <w:tc>
          <w:tcPr>
            <w:tcW w:w="95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rPr>
                <w:b/>
                <w:sz w:val="20"/>
                <w:szCs w:val="20"/>
              </w:rPr>
            </w:pPr>
            <w:r>
              <w:rPr>
                <w:b/>
                <w:sz w:val="20"/>
                <w:szCs w:val="20"/>
              </w:rPr>
              <w:t>Utjecaj</w:t>
            </w:r>
          </w:p>
        </w:tc>
        <w:tc>
          <w:tcPr>
            <w:tcW w:w="814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Sektor</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Komunikacijska i informacijska tehnologija (elektroničke komunikacije, prijenos podataka, informacijski sustavi, pružanje audio i audiovizualnih medijskih usluga)</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Promet (cestovni, željeznički, zračni, pomorski i promet unutarnjim plovnim </w:t>
            </w:r>
            <w:r>
              <w:rPr>
                <w:sz w:val="20"/>
                <w:szCs w:val="20"/>
              </w:rPr>
              <w:t>putevima)</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Zdravstvo (zdravstvena zaštita, proizvodnja, promet i nadzor nad lijekovima)</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Vodno gospodarstvo (regulacijske i zaštitne vodne građevine i komunalne vodne građevine)</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Hrana (proizvodnja i opskrba hranom i sustav sigurnosti hrane, robne zalihe) </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Financije (bankarstvo, burze, investicije, sustavi osiguranja i plaćanja)</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Proizvodnja, skladištenje i prijevoz opasnih tvari (kemijski, biološki, radiološki i </w:t>
            </w:r>
            <w:r>
              <w:rPr>
                <w:sz w:val="20"/>
                <w:szCs w:val="20"/>
              </w:rPr>
              <w:t>nuklearni materijali)</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bookmarkStart w:id="726" w:name="_Hlk510697468"/>
            <w:bookmarkEnd w:id="726"/>
            <w:r>
              <w:rPr>
                <w:sz w:val="20"/>
                <w:szCs w:val="20"/>
              </w:rPr>
              <w:t>Javne službe (osiguranje javnog reda i mira, zaštita i spašavanje, hitna medicinska pomoć)</w:t>
            </w:r>
          </w:p>
        </w:tc>
      </w:tr>
    </w:tbl>
    <w:p w:rsidR="008F0D85" w:rsidRDefault="008F0D85"/>
    <w:p w:rsidR="008F0D85" w:rsidRDefault="00AE42A1">
      <w:pPr>
        <w:pStyle w:val="Naslov4"/>
        <w:rPr>
          <w:lang w:eastAsia="hr-HR"/>
        </w:rPr>
      </w:pPr>
      <w:bookmarkStart w:id="727" w:name="_Toc512434650"/>
      <w:bookmarkStart w:id="728" w:name="_Toc514240219"/>
      <w:bookmarkStart w:id="729" w:name="_Toc516128323"/>
      <w:bookmarkStart w:id="730" w:name="_Toc527969418"/>
      <w:bookmarkEnd w:id="727"/>
      <w:bookmarkEnd w:id="728"/>
      <w:bookmarkEnd w:id="729"/>
      <w:bookmarkEnd w:id="730"/>
      <w:r>
        <w:rPr>
          <w:lang w:eastAsia="hr-HR"/>
        </w:rPr>
        <w:t>6.4.1.4. Kontekst – Poplava</w:t>
      </w:r>
    </w:p>
    <w:p w:rsidR="008F0D85" w:rsidRDefault="008F0D85"/>
    <w:p w:rsidR="008F0D85" w:rsidRDefault="00AE42A1">
      <w:pPr>
        <w:spacing w:after="0"/>
        <w:rPr>
          <w:szCs w:val="24"/>
        </w:rPr>
      </w:pPr>
      <w:r>
        <w:rPr>
          <w:szCs w:val="24"/>
        </w:rPr>
        <w:t>Najznačajniji vodotoci I. i II. reda koji protječju predmetnim područjem Općine Kloštar Podravski jesu:</w:t>
      </w:r>
    </w:p>
    <w:p w:rsidR="008F0D85" w:rsidRDefault="00AE42A1">
      <w:pPr>
        <w:numPr>
          <w:ilvl w:val="0"/>
          <w:numId w:val="46"/>
        </w:numPr>
        <w:spacing w:after="0"/>
        <w:rPr>
          <w:szCs w:val="24"/>
        </w:rPr>
      </w:pPr>
      <w:r>
        <w:rPr>
          <w:szCs w:val="24"/>
        </w:rPr>
        <w:t>Kozarevac,</w:t>
      </w:r>
    </w:p>
    <w:p w:rsidR="008F0D85" w:rsidRDefault="00AE42A1">
      <w:pPr>
        <w:numPr>
          <w:ilvl w:val="0"/>
          <w:numId w:val="46"/>
        </w:numPr>
        <w:spacing w:after="0"/>
        <w:rPr>
          <w:szCs w:val="24"/>
        </w:rPr>
      </w:pPr>
      <w:r>
        <w:rPr>
          <w:szCs w:val="24"/>
        </w:rPr>
        <w:t>Suha Katalena,</w:t>
      </w:r>
    </w:p>
    <w:p w:rsidR="008F0D85" w:rsidRDefault="00AE42A1">
      <w:pPr>
        <w:numPr>
          <w:ilvl w:val="0"/>
          <w:numId w:val="46"/>
        </w:numPr>
        <w:spacing w:after="0"/>
        <w:rPr>
          <w:szCs w:val="24"/>
        </w:rPr>
      </w:pPr>
      <w:r>
        <w:rPr>
          <w:szCs w:val="24"/>
        </w:rPr>
        <w:t xml:space="preserve">Sirova Katalena, </w:t>
      </w:r>
    </w:p>
    <w:p w:rsidR="008F0D85" w:rsidRDefault="00AE42A1">
      <w:pPr>
        <w:numPr>
          <w:ilvl w:val="0"/>
          <w:numId w:val="46"/>
        </w:numPr>
        <w:spacing w:after="0"/>
        <w:rPr>
          <w:szCs w:val="24"/>
        </w:rPr>
      </w:pPr>
      <w:r>
        <w:rPr>
          <w:szCs w:val="24"/>
        </w:rPr>
        <w:t>Limbuš Selišće,</w:t>
      </w:r>
    </w:p>
    <w:p w:rsidR="008F0D85" w:rsidRDefault="00AE42A1">
      <w:pPr>
        <w:numPr>
          <w:ilvl w:val="0"/>
          <w:numId w:val="46"/>
        </w:numPr>
        <w:spacing w:after="0"/>
        <w:rPr>
          <w:szCs w:val="24"/>
        </w:rPr>
      </w:pPr>
      <w:r>
        <w:rPr>
          <w:szCs w:val="24"/>
        </w:rPr>
        <w:t>Kopanjek,</w:t>
      </w:r>
    </w:p>
    <w:p w:rsidR="008F0D85" w:rsidRDefault="00AE42A1">
      <w:pPr>
        <w:numPr>
          <w:ilvl w:val="0"/>
          <w:numId w:val="46"/>
        </w:numPr>
        <w:spacing w:after="0"/>
        <w:rPr>
          <w:szCs w:val="24"/>
        </w:rPr>
      </w:pPr>
      <w:r>
        <w:rPr>
          <w:szCs w:val="24"/>
        </w:rPr>
        <w:t>Zvirišće.</w:t>
      </w:r>
    </w:p>
    <w:p w:rsidR="008F0D85" w:rsidRDefault="00AE42A1">
      <w:pPr>
        <w:spacing w:after="0"/>
        <w:rPr>
          <w:szCs w:val="24"/>
        </w:rPr>
      </w:pPr>
      <w:r>
        <w:rPr>
          <w:szCs w:val="24"/>
        </w:rPr>
        <w:t>U nizinskom dijelu Općine nalaze se kanali III. i IV. reda:</w:t>
      </w:r>
    </w:p>
    <w:p w:rsidR="008F0D85" w:rsidRDefault="00AE42A1">
      <w:pPr>
        <w:numPr>
          <w:ilvl w:val="0"/>
          <w:numId w:val="46"/>
        </w:numPr>
        <w:spacing w:after="0"/>
        <w:rPr>
          <w:szCs w:val="24"/>
        </w:rPr>
      </w:pPr>
      <w:r>
        <w:rPr>
          <w:szCs w:val="24"/>
        </w:rPr>
        <w:t>Selišće, Kvokača,</w:t>
      </w:r>
    </w:p>
    <w:p w:rsidR="008F0D85" w:rsidRDefault="00AE42A1">
      <w:pPr>
        <w:numPr>
          <w:ilvl w:val="0"/>
          <w:numId w:val="46"/>
        </w:numPr>
        <w:spacing w:after="0"/>
        <w:rPr>
          <w:szCs w:val="24"/>
        </w:rPr>
      </w:pPr>
      <w:r>
        <w:rPr>
          <w:szCs w:val="24"/>
        </w:rPr>
        <w:t>Tiloši,</w:t>
      </w:r>
    </w:p>
    <w:p w:rsidR="008F0D85" w:rsidRDefault="00AE42A1">
      <w:pPr>
        <w:numPr>
          <w:ilvl w:val="0"/>
          <w:numId w:val="46"/>
        </w:numPr>
        <w:spacing w:after="0"/>
        <w:rPr>
          <w:szCs w:val="24"/>
        </w:rPr>
      </w:pPr>
      <w:r>
        <w:rPr>
          <w:szCs w:val="24"/>
        </w:rPr>
        <w:t>Badanjek.</w:t>
      </w:r>
    </w:p>
    <w:p w:rsidR="008F0D85" w:rsidRDefault="008F0D85">
      <w:pPr>
        <w:numPr>
          <w:ilvl w:val="0"/>
          <w:numId w:val="46"/>
        </w:numPr>
        <w:spacing w:after="0"/>
        <w:rPr>
          <w:szCs w:val="24"/>
        </w:rPr>
      </w:pPr>
    </w:p>
    <w:p w:rsidR="008F0D85" w:rsidRDefault="00AE42A1">
      <w:pPr>
        <w:spacing w:after="0"/>
        <w:rPr>
          <w:szCs w:val="24"/>
        </w:rPr>
      </w:pPr>
      <w:r>
        <w:rPr>
          <w:szCs w:val="24"/>
        </w:rPr>
        <w:t>Navedeni vodotoci su većim dijelom bujičnog karaktera pa u vrijeme obilnijih pa</w:t>
      </w:r>
      <w:r>
        <w:rPr>
          <w:szCs w:val="24"/>
        </w:rPr>
        <w:t>dalina donose s brdskog dijela sliva mnogo vode i nanosa koji se talože u nizinskom dijelu sliva. Vodotoci na području Općine Kloštar Podravski pripadaju slivnom području „Bistra“.</w:t>
      </w:r>
    </w:p>
    <w:p w:rsidR="008F0D85" w:rsidRDefault="008F0D85">
      <w:pPr>
        <w:spacing w:after="0"/>
        <w:rPr>
          <w:szCs w:val="24"/>
        </w:rPr>
      </w:pPr>
    </w:p>
    <w:p w:rsidR="008F0D85" w:rsidRDefault="00AE42A1">
      <w:pPr>
        <w:spacing w:after="0"/>
        <w:rPr>
          <w:szCs w:val="24"/>
        </w:rPr>
      </w:pPr>
      <w:r>
        <w:rPr>
          <w:szCs w:val="24"/>
        </w:rPr>
        <w:t xml:space="preserve">Područje Općine Kloštar Podravski opisano je Provedbenim planom obrane od </w:t>
      </w:r>
      <w:r>
        <w:rPr>
          <w:szCs w:val="24"/>
        </w:rPr>
        <w:t>poplava branjenog područja, Sektor A – Mura i gronja Drava, Branjeno područje 19, područje malog sliva Bistra.</w:t>
      </w:r>
    </w:p>
    <w:p w:rsidR="008F0D85" w:rsidRDefault="008F0D85">
      <w:pPr>
        <w:spacing w:after="0"/>
        <w:rPr>
          <w:szCs w:val="24"/>
        </w:rPr>
      </w:pPr>
    </w:p>
    <w:p w:rsidR="008F0D85" w:rsidRDefault="00AE42A1">
      <w:pPr>
        <w:spacing w:after="0"/>
        <w:rPr>
          <w:rFonts w:cs="Calibri"/>
          <w:szCs w:val="24"/>
        </w:rPr>
      </w:pPr>
      <w:r>
        <w:rPr>
          <w:rFonts w:cs="Calibri"/>
          <w:szCs w:val="24"/>
        </w:rPr>
        <w:lastRenderedPageBreak/>
        <w:t xml:space="preserve">Branjeno područje 19. - Mali sliv „Bistra“ (osim Drave) se, prema Državnom planu obrane od poplava (NN 84/10) i Pravilniku o granicama područja </w:t>
      </w:r>
      <w:r>
        <w:rPr>
          <w:rFonts w:cs="Calibri"/>
          <w:szCs w:val="24"/>
        </w:rPr>
        <w:t>podslivova, malih slivova i sektora (NN 97/10; 31/13), nalazi u Sektoru A i obuhvaća</w:t>
      </w:r>
    </w:p>
    <w:p w:rsidR="008F0D85" w:rsidRDefault="00AE42A1">
      <w:pPr>
        <w:spacing w:after="0"/>
        <w:rPr>
          <w:rFonts w:cs="Calibri"/>
          <w:szCs w:val="24"/>
        </w:rPr>
      </w:pPr>
      <w:r>
        <w:rPr>
          <w:rFonts w:cs="Calibri"/>
          <w:szCs w:val="24"/>
        </w:rPr>
        <w:t>Područje:</w:t>
      </w:r>
    </w:p>
    <w:p w:rsidR="008F0D85" w:rsidRDefault="008F0D85">
      <w:pPr>
        <w:spacing w:after="0"/>
        <w:rPr>
          <w:rFonts w:cs="Calibri"/>
          <w:szCs w:val="24"/>
        </w:rPr>
      </w:pPr>
    </w:p>
    <w:p w:rsidR="008F0D85" w:rsidRDefault="00AE42A1">
      <w:pPr>
        <w:spacing w:after="0"/>
        <w:rPr>
          <w:rFonts w:cs="Calibri"/>
          <w:szCs w:val="24"/>
        </w:rPr>
      </w:pPr>
      <w:r>
        <w:rPr>
          <w:rFonts w:cs="Calibri"/>
          <w:szCs w:val="24"/>
        </w:rPr>
        <w:t>a) Koprivničko-križevačke županije i to:</w:t>
      </w:r>
    </w:p>
    <w:p w:rsidR="008F0D85" w:rsidRDefault="00AE42A1">
      <w:pPr>
        <w:pStyle w:val="Odlomakpopisa"/>
        <w:numPr>
          <w:ilvl w:val="0"/>
          <w:numId w:val="47"/>
        </w:numPr>
        <w:spacing w:after="0"/>
        <w:jc w:val="both"/>
        <w:rPr>
          <w:rFonts w:cs="Calibri"/>
          <w:sz w:val="24"/>
          <w:szCs w:val="24"/>
        </w:rPr>
      </w:pPr>
      <w:r>
        <w:rPr>
          <w:rFonts w:cs="Calibri"/>
          <w:sz w:val="24"/>
          <w:szCs w:val="24"/>
        </w:rPr>
        <w:t>gradove: Đurđevac, Koprivnica,</w:t>
      </w:r>
    </w:p>
    <w:p w:rsidR="008F0D85" w:rsidRDefault="00AE42A1">
      <w:pPr>
        <w:pStyle w:val="Odlomakpopisa"/>
        <w:numPr>
          <w:ilvl w:val="0"/>
          <w:numId w:val="47"/>
        </w:numPr>
        <w:spacing w:after="0"/>
        <w:jc w:val="both"/>
        <w:rPr>
          <w:rFonts w:cs="Calibri"/>
          <w:sz w:val="24"/>
          <w:szCs w:val="24"/>
        </w:rPr>
      </w:pPr>
      <w:r>
        <w:rPr>
          <w:rFonts w:cs="Calibri"/>
          <w:sz w:val="24"/>
          <w:szCs w:val="24"/>
        </w:rPr>
        <w:t xml:space="preserve">općine: Drnje, Đelekovec, Ferdinandovac, Gola, Hlebine, Kalinovac, Kloštar </w:t>
      </w:r>
      <w:r>
        <w:rPr>
          <w:rFonts w:cs="Calibri"/>
          <w:sz w:val="24"/>
          <w:szCs w:val="24"/>
        </w:rPr>
        <w:t>Podravski, Koprivnički Bregi, Koprivnički Ivanec, Legrad, Molve, Novigrad Podravski, Novo Virje, Peteranec, Podravske Sesvete, Rasinja, Sokolovac, Virje.</w:t>
      </w:r>
    </w:p>
    <w:p w:rsidR="008F0D85" w:rsidRDefault="008F0D85">
      <w:pPr>
        <w:spacing w:after="0"/>
        <w:rPr>
          <w:rFonts w:cs="Calibri"/>
          <w:szCs w:val="24"/>
        </w:rPr>
      </w:pPr>
    </w:p>
    <w:p w:rsidR="008F0D85" w:rsidRDefault="00AE42A1">
      <w:pPr>
        <w:pStyle w:val="Opisslike"/>
        <w:jc w:val="center"/>
        <w:rPr>
          <w:rFonts w:cs="Calibri"/>
          <w:sz w:val="24"/>
          <w:szCs w:val="24"/>
        </w:rPr>
      </w:pPr>
      <w:bookmarkStart w:id="731" w:name="_Toc527969524"/>
      <w:r>
        <w:t xml:space="preserve">Tablica </w:t>
      </w:r>
      <w:r>
        <w:fldChar w:fldCharType="begin"/>
      </w:r>
      <w:r>
        <w:instrText>SEQ Tablica \* ARABIC</w:instrText>
      </w:r>
      <w:r>
        <w:fldChar w:fldCharType="separate"/>
      </w:r>
      <w:r>
        <w:t>42</w:t>
      </w:r>
      <w:r>
        <w:fldChar w:fldCharType="end"/>
      </w:r>
      <w:bookmarkEnd w:id="731"/>
      <w:r>
        <w:t>: Dionica A.19.2. - Kopanjek, lijeva i desna obala</w:t>
      </w:r>
    </w:p>
    <w:tbl>
      <w:tblPr>
        <w:tblW w:w="906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1812"/>
        <w:gridCol w:w="1809"/>
        <w:gridCol w:w="1809"/>
        <w:gridCol w:w="1814"/>
        <w:gridCol w:w="1818"/>
      </w:tblGrid>
      <w:tr w:rsidR="008F0D85">
        <w:tc>
          <w:tcPr>
            <w:tcW w:w="181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Vodotok</w:t>
            </w:r>
          </w:p>
        </w:tc>
        <w:tc>
          <w:tcPr>
            <w:tcW w:w="1809"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Nasip</w:t>
            </w:r>
          </w:p>
        </w:tc>
        <w:tc>
          <w:tcPr>
            <w:tcW w:w="1809"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Objekti</w:t>
            </w:r>
          </w:p>
        </w:tc>
        <w:tc>
          <w:tcPr>
            <w:tcW w:w="1814"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Ugroženo područje</w:t>
            </w:r>
          </w:p>
        </w:tc>
        <w:tc>
          <w:tcPr>
            <w:tcW w:w="1818"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Mjerodavni vodomjer</w:t>
            </w:r>
          </w:p>
        </w:tc>
      </w:tr>
      <w:tr w:rsidR="008F0D85">
        <w:trPr>
          <w:trHeight w:val="3291"/>
        </w:trPr>
        <w:tc>
          <w:tcPr>
            <w:tcW w:w="181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eastAsia="Tahoma,Bold" w:cs="Calibri"/>
                <w:b/>
                <w:bCs/>
                <w:sz w:val="20"/>
                <w:szCs w:val="20"/>
              </w:rPr>
            </w:pPr>
            <w:r>
              <w:rPr>
                <w:rFonts w:eastAsia="Tahoma,Bold" w:cs="Calibri"/>
                <w:b/>
                <w:bCs/>
                <w:sz w:val="20"/>
                <w:szCs w:val="20"/>
              </w:rPr>
              <w:t>Kopanjek, l.o i</w:t>
            </w:r>
          </w:p>
          <w:p w:rsidR="008F0D85" w:rsidRDefault="00AE42A1">
            <w:pPr>
              <w:spacing w:after="0" w:line="240" w:lineRule="auto"/>
              <w:jc w:val="center"/>
              <w:rPr>
                <w:rFonts w:eastAsia="Tahoma,Bold" w:cs="Calibri"/>
                <w:b/>
                <w:bCs/>
                <w:sz w:val="20"/>
                <w:szCs w:val="20"/>
              </w:rPr>
            </w:pPr>
            <w:r>
              <w:rPr>
                <w:rFonts w:eastAsia="Tahoma,Bold" w:cs="Calibri"/>
                <w:b/>
                <w:bCs/>
                <w:sz w:val="20"/>
                <w:szCs w:val="20"/>
              </w:rPr>
              <w:t>d.o.</w:t>
            </w:r>
          </w:p>
          <w:p w:rsidR="008F0D85" w:rsidRDefault="00AE42A1">
            <w:pPr>
              <w:spacing w:after="0" w:line="240" w:lineRule="auto"/>
              <w:jc w:val="center"/>
              <w:rPr>
                <w:rFonts w:eastAsia="Tahoma,Bold" w:cs="Calibri"/>
                <w:sz w:val="20"/>
                <w:szCs w:val="20"/>
              </w:rPr>
            </w:pPr>
            <w:r>
              <w:rPr>
                <w:rFonts w:eastAsia="Tahoma,Bold" w:cs="Calibri"/>
                <w:sz w:val="20"/>
                <w:szCs w:val="20"/>
              </w:rPr>
              <w:t>Utok u Rog-strug-</w:t>
            </w:r>
          </w:p>
          <w:p w:rsidR="008F0D85" w:rsidRDefault="00AE42A1">
            <w:pPr>
              <w:spacing w:after="0" w:line="240" w:lineRule="auto"/>
              <w:jc w:val="center"/>
              <w:rPr>
                <w:rFonts w:eastAsia="Tahoma,Bold" w:cs="Calibri"/>
                <w:sz w:val="20"/>
                <w:szCs w:val="20"/>
              </w:rPr>
            </w:pPr>
            <w:r>
              <w:rPr>
                <w:rFonts w:eastAsia="Tahoma,Bold" w:cs="Calibri"/>
                <w:sz w:val="20"/>
                <w:szCs w:val="20"/>
              </w:rPr>
              <w:t>9+100</w:t>
            </w:r>
          </w:p>
          <w:p w:rsidR="008F0D85" w:rsidRDefault="00AE42A1">
            <w:pPr>
              <w:spacing w:after="0" w:line="240" w:lineRule="auto"/>
              <w:jc w:val="center"/>
              <w:rPr>
                <w:rFonts w:eastAsia="Tahoma,Bold" w:cs="Calibri"/>
                <w:sz w:val="20"/>
                <w:szCs w:val="20"/>
              </w:rPr>
            </w:pPr>
            <w:r>
              <w:rPr>
                <w:rFonts w:eastAsia="Tahoma,Bold" w:cs="Calibri"/>
                <w:sz w:val="20"/>
                <w:szCs w:val="20"/>
              </w:rPr>
              <w:t>0+000 – 9+100</w:t>
            </w:r>
          </w:p>
          <w:p w:rsidR="008F0D85" w:rsidRDefault="00AE42A1">
            <w:pPr>
              <w:spacing w:after="0" w:line="240" w:lineRule="auto"/>
              <w:jc w:val="center"/>
              <w:rPr>
                <w:rFonts w:cs="Calibri"/>
                <w:sz w:val="20"/>
                <w:szCs w:val="20"/>
              </w:rPr>
            </w:pPr>
            <w:r>
              <w:rPr>
                <w:rFonts w:eastAsia="Tahoma,Bold" w:cs="Calibri"/>
                <w:sz w:val="20"/>
                <w:szCs w:val="20"/>
              </w:rPr>
              <w:t>dužine 9,10 km</w:t>
            </w:r>
          </w:p>
        </w:tc>
        <w:tc>
          <w:tcPr>
            <w:tcW w:w="180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line="240" w:lineRule="auto"/>
              <w:jc w:val="center"/>
              <w:rPr>
                <w:rFonts w:cs="Calibri"/>
                <w:sz w:val="20"/>
                <w:szCs w:val="20"/>
              </w:rPr>
            </w:pPr>
          </w:p>
        </w:tc>
        <w:tc>
          <w:tcPr>
            <w:tcW w:w="180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-km 4+250 most na cesti</w:t>
            </w:r>
          </w:p>
          <w:p w:rsidR="008F0D85" w:rsidRDefault="00AE42A1">
            <w:pPr>
              <w:spacing w:after="0" w:line="240" w:lineRule="auto"/>
              <w:jc w:val="center"/>
              <w:rPr>
                <w:rFonts w:cs="Calibri"/>
                <w:sz w:val="20"/>
                <w:szCs w:val="20"/>
              </w:rPr>
            </w:pPr>
            <w:r>
              <w:rPr>
                <w:rFonts w:cs="Calibri"/>
                <w:sz w:val="20"/>
                <w:szCs w:val="20"/>
              </w:rPr>
              <w:t>Pitomača-</w:t>
            </w:r>
          </w:p>
          <w:p w:rsidR="008F0D85" w:rsidRDefault="00AE42A1">
            <w:pPr>
              <w:spacing w:after="0" w:line="240" w:lineRule="auto"/>
              <w:jc w:val="center"/>
              <w:rPr>
                <w:rFonts w:cs="Calibri"/>
                <w:sz w:val="20"/>
                <w:szCs w:val="20"/>
              </w:rPr>
            </w:pPr>
            <w:r>
              <w:rPr>
                <w:rFonts w:cs="Calibri"/>
                <w:sz w:val="20"/>
                <w:szCs w:val="20"/>
              </w:rPr>
              <w:t>Podravske Sesvete</w:t>
            </w:r>
          </w:p>
          <w:p w:rsidR="008F0D85" w:rsidRDefault="00AE42A1">
            <w:pPr>
              <w:spacing w:after="0" w:line="240" w:lineRule="auto"/>
              <w:jc w:val="center"/>
              <w:rPr>
                <w:rFonts w:eastAsia="Tahoma,Bold" w:cs="Calibri"/>
                <w:b/>
                <w:bCs/>
                <w:sz w:val="20"/>
                <w:szCs w:val="20"/>
              </w:rPr>
            </w:pPr>
            <w:r>
              <w:rPr>
                <w:rFonts w:cs="Calibri"/>
                <w:sz w:val="20"/>
                <w:szCs w:val="20"/>
              </w:rPr>
              <w:t xml:space="preserve">-km 4+300 </w:t>
            </w:r>
            <w:r>
              <w:rPr>
                <w:rFonts w:eastAsia="Tahoma,Bold" w:cs="Calibri"/>
                <w:b/>
                <w:bCs/>
                <w:sz w:val="20"/>
                <w:szCs w:val="20"/>
              </w:rPr>
              <w:t>vodomjer</w:t>
            </w:r>
          </w:p>
          <w:p w:rsidR="008F0D85" w:rsidRDefault="00AE42A1">
            <w:pPr>
              <w:spacing w:after="0" w:line="240" w:lineRule="auto"/>
              <w:jc w:val="center"/>
              <w:rPr>
                <w:rFonts w:cs="Calibri"/>
                <w:sz w:val="20"/>
                <w:szCs w:val="20"/>
              </w:rPr>
            </w:pPr>
            <w:r>
              <w:rPr>
                <w:rFonts w:cs="Calibri"/>
                <w:sz w:val="20"/>
                <w:szCs w:val="20"/>
              </w:rPr>
              <w:t>P.Sesvete –</w:t>
            </w:r>
          </w:p>
          <w:p w:rsidR="008F0D85" w:rsidRDefault="00AE42A1">
            <w:pPr>
              <w:spacing w:after="0" w:line="240" w:lineRule="auto"/>
              <w:jc w:val="center"/>
              <w:rPr>
                <w:rFonts w:cs="Calibri"/>
                <w:sz w:val="20"/>
                <w:szCs w:val="20"/>
              </w:rPr>
            </w:pPr>
            <w:r>
              <w:rPr>
                <w:rFonts w:cs="Calibri"/>
                <w:sz w:val="20"/>
                <w:szCs w:val="20"/>
              </w:rPr>
              <w:t>-km 4+840 - drveni most</w:t>
            </w:r>
          </w:p>
          <w:p w:rsidR="008F0D85" w:rsidRDefault="00AE42A1">
            <w:pPr>
              <w:spacing w:after="0" w:line="240" w:lineRule="auto"/>
              <w:jc w:val="center"/>
              <w:rPr>
                <w:rFonts w:cs="Calibri"/>
                <w:sz w:val="20"/>
                <w:szCs w:val="20"/>
              </w:rPr>
            </w:pPr>
            <w:r>
              <w:rPr>
                <w:rFonts w:cs="Calibri"/>
                <w:sz w:val="20"/>
                <w:szCs w:val="20"/>
              </w:rPr>
              <w:t>na</w:t>
            </w:r>
          </w:p>
          <w:p w:rsidR="008F0D85" w:rsidRDefault="00AE42A1">
            <w:pPr>
              <w:spacing w:after="0" w:line="240" w:lineRule="auto"/>
              <w:jc w:val="center"/>
              <w:rPr>
                <w:rFonts w:cs="Calibri"/>
                <w:sz w:val="20"/>
                <w:szCs w:val="20"/>
              </w:rPr>
            </w:pPr>
            <w:r>
              <w:rPr>
                <w:rFonts w:cs="Calibri"/>
                <w:sz w:val="20"/>
                <w:szCs w:val="20"/>
              </w:rPr>
              <w:t>poljskom putu</w:t>
            </w:r>
          </w:p>
          <w:p w:rsidR="008F0D85" w:rsidRDefault="00AE42A1">
            <w:pPr>
              <w:spacing w:after="0" w:line="240" w:lineRule="auto"/>
              <w:jc w:val="center"/>
              <w:rPr>
                <w:rFonts w:cs="Calibri"/>
                <w:sz w:val="20"/>
                <w:szCs w:val="20"/>
              </w:rPr>
            </w:pPr>
            <w:r>
              <w:rPr>
                <w:rFonts w:cs="Calibri"/>
                <w:sz w:val="20"/>
                <w:szCs w:val="20"/>
              </w:rPr>
              <w:t>-km 7+160 most na cesti</w:t>
            </w:r>
          </w:p>
          <w:p w:rsidR="008F0D85" w:rsidRDefault="00AE42A1">
            <w:pPr>
              <w:spacing w:after="0" w:line="240" w:lineRule="auto"/>
              <w:jc w:val="center"/>
              <w:rPr>
                <w:rFonts w:cs="Calibri"/>
                <w:sz w:val="20"/>
                <w:szCs w:val="20"/>
              </w:rPr>
            </w:pPr>
            <w:r>
              <w:rPr>
                <w:rFonts w:cs="Calibri"/>
                <w:sz w:val="20"/>
                <w:szCs w:val="20"/>
              </w:rPr>
              <w:t>Kloštar Pod</w:t>
            </w:r>
          </w:p>
          <w:p w:rsidR="008F0D85" w:rsidRDefault="00AE42A1">
            <w:pPr>
              <w:spacing w:after="0" w:line="240" w:lineRule="auto"/>
              <w:jc w:val="center"/>
              <w:rPr>
                <w:rFonts w:cs="Calibri"/>
                <w:sz w:val="20"/>
                <w:szCs w:val="20"/>
              </w:rPr>
            </w:pPr>
            <w:r>
              <w:rPr>
                <w:rFonts w:cs="Calibri"/>
                <w:sz w:val="20"/>
                <w:szCs w:val="20"/>
              </w:rPr>
              <w:t>- Sesvete Podravske</w:t>
            </w:r>
          </w:p>
        </w:tc>
        <w:tc>
          <w:tcPr>
            <w:tcW w:w="181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eastAsia="Tahoma,Bold" w:cs="Calibri"/>
                <w:b/>
                <w:bCs/>
                <w:sz w:val="20"/>
                <w:szCs w:val="20"/>
              </w:rPr>
            </w:pPr>
            <w:r>
              <w:rPr>
                <w:rFonts w:eastAsia="Tahoma,Bold" w:cs="Calibri"/>
                <w:b/>
                <w:bCs/>
                <w:sz w:val="20"/>
                <w:szCs w:val="20"/>
              </w:rPr>
              <w:t>VIROVITIČKO PODRAVSKA</w:t>
            </w:r>
          </w:p>
          <w:p w:rsidR="008F0D85" w:rsidRDefault="00AE42A1">
            <w:pPr>
              <w:spacing w:after="0" w:line="240" w:lineRule="auto"/>
              <w:jc w:val="center"/>
              <w:rPr>
                <w:rFonts w:eastAsia="Tahoma,Bold" w:cs="Calibri"/>
                <w:b/>
                <w:bCs/>
                <w:sz w:val="20"/>
                <w:szCs w:val="20"/>
              </w:rPr>
            </w:pPr>
            <w:r>
              <w:rPr>
                <w:rFonts w:eastAsia="Tahoma,Bold" w:cs="Calibri"/>
                <w:b/>
                <w:bCs/>
                <w:sz w:val="20"/>
                <w:szCs w:val="20"/>
              </w:rPr>
              <w:t>ŽUPANIJA</w:t>
            </w:r>
          </w:p>
          <w:p w:rsidR="008F0D85" w:rsidRDefault="00AE42A1">
            <w:pPr>
              <w:spacing w:after="0" w:line="240" w:lineRule="auto"/>
              <w:jc w:val="center"/>
              <w:rPr>
                <w:rFonts w:eastAsia="Tahoma,Bold" w:cs="Calibri"/>
                <w:b/>
                <w:bCs/>
                <w:sz w:val="20"/>
                <w:szCs w:val="20"/>
              </w:rPr>
            </w:pPr>
            <w:r>
              <w:rPr>
                <w:rFonts w:eastAsia="Tahoma,Bold" w:cs="Calibri"/>
                <w:b/>
                <w:bCs/>
                <w:sz w:val="20"/>
                <w:szCs w:val="20"/>
              </w:rPr>
              <w:t>Pitomača:</w:t>
            </w:r>
          </w:p>
          <w:p w:rsidR="008F0D85" w:rsidRDefault="00AE42A1">
            <w:pPr>
              <w:spacing w:after="0" w:line="240" w:lineRule="auto"/>
              <w:jc w:val="center"/>
              <w:rPr>
                <w:rFonts w:eastAsia="Tahoma,Bold" w:cs="Calibri"/>
                <w:sz w:val="20"/>
                <w:szCs w:val="20"/>
              </w:rPr>
            </w:pPr>
            <w:r>
              <w:rPr>
                <w:rFonts w:eastAsia="Tahoma,Bold" w:cs="Calibri"/>
                <w:sz w:val="20"/>
                <w:szCs w:val="20"/>
              </w:rPr>
              <w:t>Đuretina</w:t>
            </w:r>
          </w:p>
          <w:p w:rsidR="008F0D85" w:rsidRDefault="00AE42A1">
            <w:pPr>
              <w:spacing w:after="0" w:line="240" w:lineRule="auto"/>
              <w:jc w:val="center"/>
              <w:rPr>
                <w:rFonts w:eastAsia="Tahoma,Bold" w:cs="Calibri"/>
                <w:b/>
                <w:bCs/>
                <w:sz w:val="20"/>
                <w:szCs w:val="20"/>
              </w:rPr>
            </w:pPr>
            <w:r>
              <w:rPr>
                <w:rFonts w:eastAsia="Tahoma,Bold" w:cs="Calibri"/>
                <w:b/>
                <w:bCs/>
                <w:sz w:val="20"/>
                <w:szCs w:val="20"/>
              </w:rPr>
              <w:t>KOPRIVNIČKO KRIŽEVAČKA</w:t>
            </w:r>
          </w:p>
          <w:p w:rsidR="008F0D85" w:rsidRDefault="00AE42A1">
            <w:pPr>
              <w:spacing w:after="0" w:line="240" w:lineRule="auto"/>
              <w:jc w:val="center"/>
              <w:rPr>
                <w:rFonts w:eastAsia="Tahoma,Bold" w:cs="Calibri"/>
                <w:b/>
                <w:bCs/>
                <w:sz w:val="20"/>
                <w:szCs w:val="20"/>
              </w:rPr>
            </w:pPr>
            <w:r>
              <w:rPr>
                <w:rFonts w:eastAsia="Tahoma,Bold" w:cs="Calibri"/>
                <w:b/>
                <w:bCs/>
                <w:sz w:val="20"/>
                <w:szCs w:val="20"/>
              </w:rPr>
              <w:t>ŽUPANIJA</w:t>
            </w:r>
          </w:p>
          <w:p w:rsidR="008F0D85" w:rsidRDefault="00AE42A1">
            <w:pPr>
              <w:spacing w:after="0" w:line="240" w:lineRule="auto"/>
              <w:jc w:val="center"/>
              <w:rPr>
                <w:rFonts w:eastAsia="Tahoma,Bold" w:cs="Calibri"/>
                <w:b/>
                <w:bCs/>
                <w:sz w:val="20"/>
                <w:szCs w:val="20"/>
              </w:rPr>
            </w:pPr>
            <w:r>
              <w:rPr>
                <w:rFonts w:eastAsia="Tahoma,Bold" w:cs="Calibri"/>
                <w:b/>
                <w:bCs/>
                <w:sz w:val="20"/>
                <w:szCs w:val="20"/>
              </w:rPr>
              <w:t>Podravske Sesvete</w:t>
            </w:r>
          </w:p>
          <w:p w:rsidR="008F0D85" w:rsidRDefault="00AE42A1">
            <w:pPr>
              <w:spacing w:after="0" w:line="240" w:lineRule="auto"/>
              <w:jc w:val="center"/>
              <w:rPr>
                <w:rFonts w:eastAsia="Tahoma,Bold" w:cs="Calibri"/>
                <w:sz w:val="20"/>
                <w:szCs w:val="20"/>
              </w:rPr>
            </w:pPr>
            <w:r>
              <w:rPr>
                <w:rFonts w:eastAsia="Tahoma,Bold" w:cs="Calibri"/>
                <w:sz w:val="20"/>
                <w:szCs w:val="20"/>
              </w:rPr>
              <w:t>Podravske Sesvete</w:t>
            </w:r>
          </w:p>
          <w:p w:rsidR="008F0D85" w:rsidRDefault="00AE42A1">
            <w:pPr>
              <w:spacing w:after="0" w:line="240" w:lineRule="auto"/>
              <w:jc w:val="center"/>
              <w:rPr>
                <w:rFonts w:eastAsia="Tahoma,Bold" w:cs="Calibri"/>
                <w:b/>
                <w:bCs/>
                <w:sz w:val="20"/>
                <w:szCs w:val="20"/>
              </w:rPr>
            </w:pPr>
            <w:r>
              <w:rPr>
                <w:rFonts w:eastAsia="Tahoma,Bold" w:cs="Calibri"/>
                <w:b/>
                <w:bCs/>
                <w:sz w:val="20"/>
                <w:szCs w:val="20"/>
              </w:rPr>
              <w:t>Kloštar Podravski</w:t>
            </w:r>
          </w:p>
          <w:p w:rsidR="008F0D85" w:rsidRDefault="00AE42A1">
            <w:pPr>
              <w:spacing w:after="0" w:line="240" w:lineRule="auto"/>
              <w:jc w:val="center"/>
              <w:rPr>
                <w:rFonts w:cs="Calibri"/>
                <w:sz w:val="20"/>
                <w:szCs w:val="20"/>
              </w:rPr>
            </w:pPr>
            <w:r>
              <w:rPr>
                <w:rFonts w:eastAsia="Tahoma,Bold" w:cs="Calibri"/>
                <w:sz w:val="20"/>
                <w:szCs w:val="20"/>
              </w:rPr>
              <w:t>Kloštar Podravski</w:t>
            </w:r>
          </w:p>
        </w:tc>
        <w:tc>
          <w:tcPr>
            <w:tcW w:w="181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jc w:val="center"/>
              <w:rPr>
                <w:rFonts w:eastAsia="Tahoma,Bold" w:cs="Calibri"/>
                <w:b/>
                <w:bCs/>
                <w:sz w:val="20"/>
                <w:szCs w:val="20"/>
              </w:rPr>
            </w:pPr>
            <w:r>
              <w:rPr>
                <w:rFonts w:eastAsia="Tahoma,Bold" w:cs="Calibri"/>
                <w:b/>
                <w:bCs/>
                <w:sz w:val="20"/>
                <w:szCs w:val="20"/>
              </w:rPr>
              <w:t>V- Podravske Sesvete -</w:t>
            </w:r>
          </w:p>
          <w:p w:rsidR="008F0D85" w:rsidRDefault="00AE42A1">
            <w:pPr>
              <w:spacing w:after="0" w:line="240" w:lineRule="auto"/>
              <w:jc w:val="center"/>
              <w:rPr>
                <w:rFonts w:eastAsia="Tahoma,Bold" w:cs="Calibri"/>
                <w:b/>
                <w:bCs/>
                <w:sz w:val="20"/>
                <w:szCs w:val="20"/>
              </w:rPr>
            </w:pPr>
            <w:r>
              <w:rPr>
                <w:rFonts w:eastAsia="Tahoma,Bold" w:cs="Calibri"/>
                <w:b/>
                <w:bCs/>
                <w:sz w:val="20"/>
                <w:szCs w:val="20"/>
              </w:rPr>
              <w:t xml:space="preserve">most na cesti </w:t>
            </w:r>
            <w:r>
              <w:rPr>
                <w:rFonts w:eastAsia="Tahoma,Bold" w:cs="Calibri"/>
                <w:b/>
                <w:bCs/>
                <w:sz w:val="20"/>
                <w:szCs w:val="20"/>
              </w:rPr>
              <w:t>Pitomača</w:t>
            </w:r>
          </w:p>
          <w:p w:rsidR="008F0D85" w:rsidRDefault="00AE42A1">
            <w:pPr>
              <w:spacing w:after="0" w:line="240" w:lineRule="auto"/>
              <w:jc w:val="center"/>
              <w:rPr>
                <w:rFonts w:eastAsia="Tahoma,Bold" w:cs="Calibri"/>
                <w:b/>
                <w:bCs/>
                <w:sz w:val="20"/>
                <w:szCs w:val="20"/>
              </w:rPr>
            </w:pPr>
            <w:r>
              <w:rPr>
                <w:rFonts w:eastAsia="Tahoma,Bold" w:cs="Calibri"/>
                <w:b/>
                <w:bCs/>
                <w:sz w:val="20"/>
                <w:szCs w:val="20"/>
              </w:rPr>
              <w:t>- Podravske Sesvete</w:t>
            </w:r>
          </w:p>
          <w:p w:rsidR="008F0D85" w:rsidRDefault="00AE42A1">
            <w:pPr>
              <w:spacing w:after="0" w:line="240" w:lineRule="auto"/>
              <w:jc w:val="center"/>
              <w:rPr>
                <w:rFonts w:eastAsia="Tahoma,Bold" w:cs="Calibri"/>
                <w:sz w:val="20"/>
                <w:szCs w:val="20"/>
              </w:rPr>
            </w:pPr>
            <w:r>
              <w:rPr>
                <w:rFonts w:eastAsia="Tahoma,Bold" w:cs="Calibri"/>
                <w:b/>
                <w:bCs/>
                <w:sz w:val="20"/>
                <w:szCs w:val="20"/>
              </w:rPr>
              <w:t xml:space="preserve">u km </w:t>
            </w:r>
            <w:r>
              <w:rPr>
                <w:rFonts w:eastAsia="Tahoma,Bold" w:cs="Calibri"/>
                <w:sz w:val="20"/>
                <w:szCs w:val="20"/>
              </w:rPr>
              <w:t>4+250</w:t>
            </w:r>
          </w:p>
          <w:p w:rsidR="008F0D85" w:rsidRDefault="00AE42A1">
            <w:pPr>
              <w:spacing w:after="0" w:line="240" w:lineRule="auto"/>
              <w:jc w:val="center"/>
              <w:rPr>
                <w:rFonts w:eastAsia="Tahoma,Bold" w:cs="Calibri"/>
                <w:sz w:val="20"/>
                <w:szCs w:val="20"/>
              </w:rPr>
            </w:pPr>
            <w:r>
              <w:rPr>
                <w:rFonts w:eastAsia="Tahoma,Bold" w:cs="Calibri"/>
                <w:b/>
                <w:bCs/>
                <w:sz w:val="20"/>
                <w:szCs w:val="20"/>
              </w:rPr>
              <w:t xml:space="preserve">R: </w:t>
            </w:r>
            <w:r>
              <w:rPr>
                <w:rFonts w:eastAsia="Tahoma,Bold" w:cs="Calibri"/>
                <w:sz w:val="20"/>
                <w:szCs w:val="20"/>
              </w:rPr>
              <w:t>111,94 m.n.m – plava</w:t>
            </w:r>
          </w:p>
          <w:p w:rsidR="008F0D85" w:rsidRDefault="00AE42A1">
            <w:pPr>
              <w:spacing w:after="0" w:line="240" w:lineRule="auto"/>
              <w:jc w:val="center"/>
              <w:rPr>
                <w:rFonts w:eastAsia="Tahoma,Bold" w:cs="Calibri"/>
                <w:sz w:val="20"/>
                <w:szCs w:val="20"/>
              </w:rPr>
            </w:pPr>
            <w:r>
              <w:rPr>
                <w:rFonts w:eastAsia="Tahoma,Bold" w:cs="Calibri"/>
                <w:sz w:val="20"/>
                <w:szCs w:val="20"/>
              </w:rPr>
              <w:t>oznaka</w:t>
            </w:r>
          </w:p>
          <w:p w:rsidR="008F0D85" w:rsidRDefault="00AE42A1">
            <w:pPr>
              <w:spacing w:after="0" w:line="240" w:lineRule="auto"/>
              <w:jc w:val="center"/>
              <w:rPr>
                <w:rFonts w:eastAsia="Tahoma,Bold" w:cs="Calibri"/>
                <w:sz w:val="20"/>
                <w:szCs w:val="20"/>
              </w:rPr>
            </w:pPr>
            <w:r>
              <w:rPr>
                <w:rFonts w:eastAsia="Tahoma,Bold" w:cs="Calibri"/>
                <w:b/>
                <w:bCs/>
                <w:sz w:val="20"/>
                <w:szCs w:val="20"/>
              </w:rPr>
              <w:t xml:space="preserve">I: </w:t>
            </w:r>
            <w:r>
              <w:rPr>
                <w:rFonts w:eastAsia="Tahoma,Bold" w:cs="Calibri"/>
                <w:sz w:val="20"/>
                <w:szCs w:val="20"/>
              </w:rPr>
              <w:t>112,14 m.n.m –crvena</w:t>
            </w:r>
          </w:p>
          <w:p w:rsidR="008F0D85" w:rsidRDefault="00AE42A1">
            <w:pPr>
              <w:spacing w:after="0" w:line="240" w:lineRule="auto"/>
              <w:jc w:val="center"/>
              <w:rPr>
                <w:rFonts w:cs="Calibri"/>
                <w:sz w:val="20"/>
                <w:szCs w:val="20"/>
              </w:rPr>
            </w:pPr>
            <w:r>
              <w:rPr>
                <w:rFonts w:eastAsia="Tahoma,Bold" w:cs="Calibri"/>
                <w:sz w:val="20"/>
                <w:szCs w:val="20"/>
              </w:rPr>
              <w:t>oznaka</w:t>
            </w:r>
          </w:p>
        </w:tc>
      </w:tr>
    </w:tbl>
    <w:p w:rsidR="008F0D85" w:rsidRDefault="00AE42A1">
      <w:pPr>
        <w:spacing w:after="0"/>
        <w:jc w:val="center"/>
        <w:rPr>
          <w:sz w:val="20"/>
          <w:szCs w:val="20"/>
        </w:rPr>
      </w:pPr>
      <w:r>
        <w:rPr>
          <w:rFonts w:cs="Calibri"/>
          <w:sz w:val="20"/>
          <w:szCs w:val="20"/>
        </w:rPr>
        <w:t xml:space="preserve">Izvor: </w:t>
      </w:r>
      <w:r>
        <w:rPr>
          <w:sz w:val="20"/>
          <w:szCs w:val="20"/>
        </w:rPr>
        <w:t>Provedbeni plan obrane od poplava branjenog područja, Sektor A – Mura i gronja Drava, Branjeno područje 19, područje malog sliva Bistra.</w:t>
      </w:r>
    </w:p>
    <w:p w:rsidR="008F0D85" w:rsidRDefault="008F0D85">
      <w:pPr>
        <w:spacing w:after="0"/>
        <w:jc w:val="center"/>
        <w:rPr>
          <w:rFonts w:cs="Calibri"/>
          <w:szCs w:val="24"/>
        </w:rPr>
      </w:pPr>
    </w:p>
    <w:p w:rsidR="008F0D85" w:rsidRDefault="00AE42A1">
      <w:pPr>
        <w:spacing w:after="0"/>
        <w:jc w:val="center"/>
        <w:rPr>
          <w:rFonts w:cs="Calibri"/>
          <w:szCs w:val="24"/>
        </w:rPr>
      </w:pPr>
      <w:r>
        <w:rPr>
          <w:noProof/>
        </w:rPr>
        <w:lastRenderedPageBreak/>
        <w:drawing>
          <wp:inline distT="0" distB="0" distL="0" distR="0">
            <wp:extent cx="5420360" cy="3010535"/>
            <wp:effectExtent l="0" t="0" r="0" b="0"/>
            <wp:docPr id="63"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ka 7"/>
                    <pic:cNvPicPr>
                      <a:picLocks noChangeAspect="1" noChangeArrowheads="1"/>
                    </pic:cNvPicPr>
                  </pic:nvPicPr>
                  <pic:blipFill>
                    <a:blip r:embed="rId50"/>
                    <a:stretch>
                      <a:fillRect/>
                    </a:stretch>
                  </pic:blipFill>
                  <pic:spPr bwMode="auto">
                    <a:xfrm>
                      <a:off x="0" y="0"/>
                      <a:ext cx="5420360" cy="3010535"/>
                    </a:xfrm>
                    <a:prstGeom prst="rect">
                      <a:avLst/>
                    </a:prstGeom>
                  </pic:spPr>
                </pic:pic>
              </a:graphicData>
            </a:graphic>
          </wp:inline>
        </w:drawing>
      </w:r>
    </w:p>
    <w:p w:rsidR="008F0D85" w:rsidRDefault="00AE42A1">
      <w:pPr>
        <w:pStyle w:val="Opisslike"/>
      </w:pPr>
      <w:bookmarkStart w:id="732" w:name="_Toc527969587"/>
      <w:r>
        <w:t xml:space="preserve">Slika </w:t>
      </w:r>
      <w:r>
        <w:fldChar w:fldCharType="begin"/>
      </w:r>
      <w:r>
        <w:instrText>SEQ Slika \* ARABIC</w:instrText>
      </w:r>
      <w:r>
        <w:fldChar w:fldCharType="separate"/>
      </w:r>
      <w:r>
        <w:t>15</w:t>
      </w:r>
      <w:r>
        <w:fldChar w:fldCharType="end"/>
      </w:r>
      <w:bookmarkEnd w:id="732"/>
      <w:r>
        <w:t>: Prikaz dionice A.19.2. - Kopanjek, lijeva i desna obala</w:t>
      </w:r>
    </w:p>
    <w:p w:rsidR="008F0D85" w:rsidRDefault="00AE42A1">
      <w:pPr>
        <w:spacing w:after="0"/>
        <w:rPr>
          <w:sz w:val="20"/>
          <w:szCs w:val="20"/>
        </w:rPr>
      </w:pPr>
      <w:r>
        <w:rPr>
          <w:rFonts w:cs="Calibri"/>
          <w:sz w:val="20"/>
          <w:szCs w:val="20"/>
        </w:rPr>
        <w:t xml:space="preserve">Izvor: </w:t>
      </w:r>
      <w:r>
        <w:rPr>
          <w:sz w:val="20"/>
          <w:szCs w:val="20"/>
        </w:rPr>
        <w:t>Provedbeni plan obrane od poplava branjenog područja, Sektor A – Mura i gronja Drava, Branjeno područje 19, područje malog sliva Bistra</w:t>
      </w:r>
    </w:p>
    <w:p w:rsidR="008F0D85" w:rsidRDefault="008F0D85">
      <w:pPr>
        <w:spacing w:after="0"/>
        <w:rPr>
          <w:sz w:val="20"/>
          <w:szCs w:val="20"/>
        </w:rPr>
      </w:pPr>
    </w:p>
    <w:p w:rsidR="008F0D85" w:rsidRDefault="008F0D85">
      <w:pPr>
        <w:spacing w:after="0"/>
        <w:rPr>
          <w:sz w:val="20"/>
          <w:szCs w:val="20"/>
        </w:rPr>
      </w:pPr>
    </w:p>
    <w:p w:rsidR="008F0D85" w:rsidRDefault="00AE42A1">
      <w:pPr>
        <w:spacing w:after="0"/>
        <w:rPr>
          <w:rFonts w:cs="Calibri"/>
          <w:szCs w:val="24"/>
        </w:rPr>
      </w:pPr>
      <w:r>
        <w:rPr>
          <w:rFonts w:cs="Calibri"/>
          <w:szCs w:val="24"/>
        </w:rPr>
        <w:t>Dionica obuhvaća lijevu</w:t>
      </w:r>
      <w:r>
        <w:rPr>
          <w:rFonts w:cs="Calibri"/>
          <w:szCs w:val="24"/>
        </w:rPr>
        <w:t xml:space="preserve"> i desnu obalu potoka – bujice Kopanjek i to od utoka u kanal Rog-Strug do spoja potoka Suha i Sirova Katalena u ukupnoj dužini od 9,10 km.</w:t>
      </w:r>
    </w:p>
    <w:p w:rsidR="008F0D85" w:rsidRDefault="00AE42A1">
      <w:pPr>
        <w:spacing w:after="0"/>
        <w:rPr>
          <w:rFonts w:cs="Calibri"/>
          <w:szCs w:val="24"/>
        </w:rPr>
      </w:pPr>
      <w:r>
        <w:rPr>
          <w:rFonts w:cs="Calibri"/>
          <w:szCs w:val="24"/>
        </w:rPr>
        <w:t>Kanal Kopanjek prima desni pritok Kladare (Josinu reku) u km 4+322, te nekoliko manjih pritoka – melioracijskih kana</w:t>
      </w:r>
      <w:r>
        <w:rPr>
          <w:rFonts w:cs="Calibri"/>
          <w:szCs w:val="24"/>
        </w:rPr>
        <w:t>la.</w:t>
      </w:r>
    </w:p>
    <w:p w:rsidR="008F0D85" w:rsidRDefault="00AE42A1">
      <w:pPr>
        <w:spacing w:after="0"/>
        <w:rPr>
          <w:rFonts w:cs="Calibri"/>
          <w:szCs w:val="24"/>
        </w:rPr>
      </w:pPr>
      <w:r>
        <w:rPr>
          <w:rFonts w:cs="Calibri"/>
          <w:szCs w:val="24"/>
        </w:rPr>
        <w:t>Kanal Kopanjek nastaje spajanjem potoka Suha i Sirova Katalena u km 9+100 Čitavom dužinom kanala Kopanjek su obostrano deponije materijala od tehničkih čišćenja kanala koje se uzdižu od okolnog terena. Izgrađenih nasipa duž kanala nema.</w:t>
      </w:r>
    </w:p>
    <w:p w:rsidR="008F0D85" w:rsidRDefault="00AE42A1">
      <w:pPr>
        <w:spacing w:after="0"/>
        <w:rPr>
          <w:rFonts w:cs="Calibri"/>
          <w:szCs w:val="24"/>
        </w:rPr>
      </w:pPr>
      <w:r>
        <w:rPr>
          <w:rFonts w:cs="Calibri"/>
          <w:szCs w:val="24"/>
        </w:rPr>
        <w:t xml:space="preserve">Na ovoj </w:t>
      </w:r>
      <w:r>
        <w:rPr>
          <w:rFonts w:cs="Calibri"/>
          <w:szCs w:val="24"/>
        </w:rPr>
        <w:t>dionici u km 4+300 kanala Kopanjek je hidrološka stanica Podravske Sesvete koja je opremljena limnigrafom (nema daljinsku dojavu). Stanica radi od 1972. godine a kota „0“ je 106,17. Najniži zabilježeni vodostaj je +37 cm (2000. god) a najviši je +289 cm (1</w:t>
      </w:r>
      <w:r>
        <w:rPr>
          <w:rFonts w:cs="Calibri"/>
          <w:szCs w:val="24"/>
        </w:rPr>
        <w:t>992. god).</w:t>
      </w:r>
    </w:p>
    <w:p w:rsidR="008F0D85" w:rsidRDefault="008F0D85">
      <w:pPr>
        <w:spacing w:after="0"/>
        <w:rPr>
          <w:rFonts w:cs="Calibri"/>
          <w:szCs w:val="24"/>
        </w:rPr>
      </w:pPr>
    </w:p>
    <w:p w:rsidR="008F0D85" w:rsidRDefault="00AE42A1">
      <w:pPr>
        <w:spacing w:after="0"/>
        <w:rPr>
          <w:rFonts w:cs="Calibri"/>
          <w:szCs w:val="24"/>
        </w:rPr>
      </w:pPr>
      <w:r>
        <w:rPr>
          <w:rFonts w:cs="Calibri"/>
          <w:szCs w:val="24"/>
        </w:rPr>
        <w:t>Hidrotehničkih objekata na ovoj dionici nema.</w:t>
      </w:r>
    </w:p>
    <w:p w:rsidR="008F0D85" w:rsidRDefault="008F0D85">
      <w:pPr>
        <w:spacing w:after="0"/>
        <w:rPr>
          <w:rFonts w:cs="Calibri"/>
          <w:szCs w:val="24"/>
        </w:rPr>
      </w:pPr>
    </w:p>
    <w:p w:rsidR="008F0D85" w:rsidRDefault="00AE42A1">
      <w:pPr>
        <w:spacing w:after="0"/>
        <w:rPr>
          <w:rFonts w:cs="Calibri"/>
          <w:szCs w:val="24"/>
        </w:rPr>
      </w:pPr>
      <w:r>
        <w:rPr>
          <w:rFonts w:cs="Calibri"/>
          <w:szCs w:val="24"/>
        </w:rPr>
        <w:t>Prometni objekti s kojih se može pristupiti vodotoku na ovoj dionici obrane od poplave su:</w:t>
      </w:r>
    </w:p>
    <w:p w:rsidR="008F0D85" w:rsidRDefault="00AE42A1">
      <w:pPr>
        <w:pStyle w:val="Odlomakpopisa"/>
        <w:numPr>
          <w:ilvl w:val="0"/>
          <w:numId w:val="48"/>
        </w:numPr>
        <w:spacing w:after="0"/>
        <w:jc w:val="both"/>
        <w:rPr>
          <w:rFonts w:cs="Calibri"/>
          <w:sz w:val="24"/>
          <w:szCs w:val="24"/>
        </w:rPr>
      </w:pPr>
      <w:r>
        <w:rPr>
          <w:rFonts w:cs="Calibri"/>
          <w:sz w:val="24"/>
          <w:szCs w:val="24"/>
        </w:rPr>
        <w:t>most na cesti Pitomača – Podravske Sesvete u km 4+250</w:t>
      </w:r>
    </w:p>
    <w:p w:rsidR="008F0D85" w:rsidRDefault="00AE42A1">
      <w:pPr>
        <w:pStyle w:val="Odlomakpopisa"/>
        <w:numPr>
          <w:ilvl w:val="0"/>
          <w:numId w:val="48"/>
        </w:numPr>
        <w:spacing w:after="0"/>
        <w:jc w:val="both"/>
        <w:rPr>
          <w:rFonts w:cs="Calibri"/>
          <w:sz w:val="24"/>
          <w:szCs w:val="24"/>
        </w:rPr>
      </w:pPr>
      <w:r>
        <w:rPr>
          <w:rFonts w:cs="Calibri"/>
          <w:sz w:val="24"/>
          <w:szCs w:val="24"/>
        </w:rPr>
        <w:t>drveni most 4+840</w:t>
      </w:r>
    </w:p>
    <w:p w:rsidR="008F0D85" w:rsidRDefault="00AE42A1">
      <w:pPr>
        <w:pStyle w:val="Odlomakpopisa"/>
        <w:numPr>
          <w:ilvl w:val="0"/>
          <w:numId w:val="48"/>
        </w:numPr>
        <w:spacing w:after="0"/>
        <w:jc w:val="both"/>
        <w:rPr>
          <w:rFonts w:cs="Calibri"/>
          <w:sz w:val="24"/>
          <w:szCs w:val="24"/>
        </w:rPr>
      </w:pPr>
      <w:r>
        <w:rPr>
          <w:rFonts w:cs="Calibri"/>
          <w:sz w:val="24"/>
          <w:szCs w:val="24"/>
        </w:rPr>
        <w:t xml:space="preserve">most na cesti Kloštar Podravski – </w:t>
      </w:r>
      <w:r>
        <w:rPr>
          <w:rFonts w:cs="Calibri"/>
          <w:sz w:val="24"/>
          <w:szCs w:val="24"/>
        </w:rPr>
        <w:t>Podravske Sesvete 7+160</w:t>
      </w:r>
    </w:p>
    <w:p w:rsidR="008F0D85" w:rsidRDefault="008F0D85">
      <w:pPr>
        <w:spacing w:after="0"/>
        <w:rPr>
          <w:rFonts w:cs="Calibri"/>
          <w:szCs w:val="24"/>
        </w:rPr>
      </w:pPr>
    </w:p>
    <w:p w:rsidR="008F0D85" w:rsidRDefault="00AE42A1">
      <w:pPr>
        <w:spacing w:after="0"/>
        <w:rPr>
          <w:rFonts w:cs="Calibri"/>
          <w:szCs w:val="24"/>
        </w:rPr>
      </w:pPr>
      <w:r>
        <w:rPr>
          <w:rFonts w:cs="Calibri"/>
          <w:szCs w:val="24"/>
        </w:rPr>
        <w:t>Pristupni putevi za obilazak i nadzor kao i dopremu mehanizacije, opreme i ljudi su:</w:t>
      </w:r>
    </w:p>
    <w:p w:rsidR="008F0D85" w:rsidRDefault="00AE42A1">
      <w:pPr>
        <w:pStyle w:val="Odlomakpopisa"/>
        <w:numPr>
          <w:ilvl w:val="0"/>
          <w:numId w:val="49"/>
        </w:numPr>
        <w:spacing w:after="0"/>
        <w:jc w:val="both"/>
        <w:rPr>
          <w:rFonts w:cs="Calibri"/>
          <w:sz w:val="24"/>
          <w:szCs w:val="24"/>
        </w:rPr>
      </w:pPr>
      <w:r>
        <w:rPr>
          <w:rFonts w:cs="Calibri"/>
          <w:sz w:val="24"/>
          <w:szCs w:val="24"/>
        </w:rPr>
        <w:t>cesta Pitomača – Podravske Sesvete</w:t>
      </w:r>
    </w:p>
    <w:p w:rsidR="008F0D85" w:rsidRDefault="00AE42A1">
      <w:pPr>
        <w:pStyle w:val="Odlomakpopisa"/>
        <w:numPr>
          <w:ilvl w:val="0"/>
          <w:numId w:val="49"/>
        </w:numPr>
        <w:spacing w:after="0"/>
        <w:jc w:val="both"/>
        <w:rPr>
          <w:rFonts w:cs="Calibri"/>
          <w:sz w:val="24"/>
          <w:szCs w:val="24"/>
        </w:rPr>
      </w:pPr>
      <w:r>
        <w:rPr>
          <w:rFonts w:cs="Calibri"/>
          <w:sz w:val="24"/>
          <w:szCs w:val="24"/>
        </w:rPr>
        <w:t>cesta Kloštar Podravski – Podravske Sesvete</w:t>
      </w:r>
    </w:p>
    <w:p w:rsidR="008F0D85" w:rsidRDefault="008F0D85">
      <w:pPr>
        <w:spacing w:after="0"/>
        <w:rPr>
          <w:rFonts w:cs="Calibri"/>
          <w:szCs w:val="24"/>
        </w:rPr>
      </w:pPr>
    </w:p>
    <w:p w:rsidR="008F0D85" w:rsidRDefault="00AE42A1">
      <w:pPr>
        <w:spacing w:after="0"/>
        <w:rPr>
          <w:rFonts w:cs="Calibri"/>
          <w:szCs w:val="24"/>
        </w:rPr>
      </w:pPr>
      <w:r>
        <w:rPr>
          <w:rFonts w:cs="Calibri"/>
          <w:szCs w:val="24"/>
        </w:rPr>
        <w:t>Slaba mjesta na dionici:</w:t>
      </w:r>
    </w:p>
    <w:p w:rsidR="008F0D85" w:rsidRDefault="00AE42A1">
      <w:pPr>
        <w:spacing w:after="0"/>
        <w:rPr>
          <w:rFonts w:cs="Calibri"/>
          <w:szCs w:val="24"/>
        </w:rPr>
      </w:pPr>
      <w:r>
        <w:rPr>
          <w:rFonts w:cs="Calibri"/>
          <w:szCs w:val="24"/>
        </w:rPr>
        <w:lastRenderedPageBreak/>
        <w:t>- km 4+320 -ušće Kladara I</w:t>
      </w:r>
    </w:p>
    <w:p w:rsidR="008F0D85" w:rsidRDefault="00AE42A1">
      <w:pPr>
        <w:spacing w:after="0"/>
        <w:rPr>
          <w:rFonts w:cs="Calibri"/>
          <w:szCs w:val="24"/>
        </w:rPr>
      </w:pPr>
      <w:r>
        <w:rPr>
          <w:rFonts w:cs="Calibri"/>
          <w:szCs w:val="24"/>
        </w:rPr>
        <w:t>- km 5+170 – č</w:t>
      </w:r>
      <w:r>
        <w:rPr>
          <w:rFonts w:cs="Calibri"/>
          <w:szCs w:val="24"/>
        </w:rPr>
        <w:t>ep Limbuš</w:t>
      </w:r>
    </w:p>
    <w:p w:rsidR="008F0D85" w:rsidRDefault="008F0D85">
      <w:pPr>
        <w:spacing w:after="0"/>
        <w:rPr>
          <w:rFonts w:cs="Calibri"/>
          <w:szCs w:val="24"/>
        </w:rPr>
      </w:pPr>
    </w:p>
    <w:p w:rsidR="008F0D85" w:rsidRDefault="00AE42A1">
      <w:pPr>
        <w:spacing w:after="0"/>
        <w:rPr>
          <w:rFonts w:cs="Calibri"/>
          <w:szCs w:val="24"/>
        </w:rPr>
      </w:pPr>
      <w:r>
        <w:rPr>
          <w:rFonts w:cs="Calibri"/>
          <w:szCs w:val="24"/>
        </w:rPr>
        <w:t>Područja ugrožena od poplave su:</w:t>
      </w:r>
    </w:p>
    <w:p w:rsidR="008F0D85" w:rsidRDefault="00AE42A1">
      <w:pPr>
        <w:pStyle w:val="Odlomakpopisa"/>
        <w:numPr>
          <w:ilvl w:val="0"/>
          <w:numId w:val="50"/>
        </w:numPr>
        <w:spacing w:after="0"/>
        <w:jc w:val="both"/>
        <w:rPr>
          <w:rFonts w:cs="Calibri"/>
          <w:sz w:val="24"/>
          <w:szCs w:val="24"/>
        </w:rPr>
      </w:pPr>
      <w:r>
        <w:rPr>
          <w:rFonts w:cs="Calibri"/>
          <w:sz w:val="24"/>
          <w:szCs w:val="24"/>
        </w:rPr>
        <w:t>naselja Kloštar Podravski, Podravske Sesvete i Đuretina</w:t>
      </w:r>
    </w:p>
    <w:p w:rsidR="008F0D85" w:rsidRDefault="00AE42A1">
      <w:pPr>
        <w:pStyle w:val="Odlomakpopisa"/>
        <w:numPr>
          <w:ilvl w:val="0"/>
          <w:numId w:val="50"/>
        </w:numPr>
        <w:spacing w:after="0"/>
        <w:jc w:val="both"/>
        <w:rPr>
          <w:rFonts w:cs="Calibri"/>
          <w:sz w:val="24"/>
          <w:szCs w:val="24"/>
        </w:rPr>
      </w:pPr>
      <w:r>
        <w:rPr>
          <w:rFonts w:cs="Calibri"/>
          <w:sz w:val="24"/>
          <w:szCs w:val="24"/>
        </w:rPr>
        <w:t>šumsko zemljište</w:t>
      </w:r>
    </w:p>
    <w:p w:rsidR="008F0D85" w:rsidRDefault="008F0D85">
      <w:pPr>
        <w:spacing w:after="0"/>
        <w:rPr>
          <w:rFonts w:cs="Calibri"/>
          <w:szCs w:val="24"/>
        </w:rPr>
      </w:pPr>
    </w:p>
    <w:p w:rsidR="008F0D85" w:rsidRDefault="00AE42A1">
      <w:pPr>
        <w:spacing w:after="0"/>
        <w:rPr>
          <w:rFonts w:cs="Calibri"/>
          <w:szCs w:val="24"/>
        </w:rPr>
      </w:pPr>
      <w:r>
        <w:rPr>
          <w:rFonts w:cs="Calibri"/>
          <w:szCs w:val="24"/>
        </w:rPr>
        <w:t>Druga crta obrane: ne postoji i nije moguća</w:t>
      </w:r>
    </w:p>
    <w:p w:rsidR="008F0D85" w:rsidRDefault="00AE42A1">
      <w:pPr>
        <w:spacing w:after="0"/>
        <w:rPr>
          <w:rFonts w:cs="Calibri"/>
          <w:szCs w:val="24"/>
        </w:rPr>
      </w:pPr>
      <w:r>
        <w:rPr>
          <w:rFonts w:cs="Calibri"/>
          <w:szCs w:val="24"/>
        </w:rPr>
        <w:t>Evakuacija stanovništva: ako bude nužno izvesti na povišene dijelove naselja</w:t>
      </w:r>
    </w:p>
    <w:p w:rsidR="008F0D85" w:rsidRDefault="008F0D85">
      <w:pPr>
        <w:rPr>
          <w:szCs w:val="24"/>
          <w:lang w:eastAsia="hr-HR"/>
        </w:rPr>
      </w:pPr>
    </w:p>
    <w:p w:rsidR="008F0D85" w:rsidRDefault="00AE42A1">
      <w:pPr>
        <w:pStyle w:val="Opisslike"/>
        <w:jc w:val="center"/>
        <w:rPr>
          <w:sz w:val="24"/>
          <w:szCs w:val="24"/>
          <w:lang w:eastAsia="hr-HR"/>
        </w:rPr>
      </w:pPr>
      <w:bookmarkStart w:id="733" w:name="_Toc527969525"/>
      <w:r>
        <w:t xml:space="preserve">Tablica </w:t>
      </w:r>
      <w:r>
        <w:fldChar w:fldCharType="begin"/>
      </w:r>
      <w:r>
        <w:instrText xml:space="preserve">SEQ </w:instrText>
      </w:r>
      <w:r>
        <w:instrText>Tablica \* ARABIC</w:instrText>
      </w:r>
      <w:r>
        <w:fldChar w:fldCharType="separate"/>
      </w:r>
      <w:r>
        <w:t>43</w:t>
      </w:r>
      <w:r>
        <w:fldChar w:fldCharType="end"/>
      </w:r>
      <w:bookmarkEnd w:id="733"/>
      <w:r>
        <w:t>: Dionica A.19.4. - bujica Kozarevac, lijeva i desna obala</w:t>
      </w:r>
    </w:p>
    <w:tbl>
      <w:tblPr>
        <w:tblW w:w="906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1812"/>
        <w:gridCol w:w="1809"/>
        <w:gridCol w:w="1809"/>
        <w:gridCol w:w="1814"/>
        <w:gridCol w:w="1818"/>
      </w:tblGrid>
      <w:tr w:rsidR="008F0D85">
        <w:tc>
          <w:tcPr>
            <w:tcW w:w="1812"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Vodotok</w:t>
            </w:r>
          </w:p>
        </w:tc>
        <w:tc>
          <w:tcPr>
            <w:tcW w:w="1809"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Nasip</w:t>
            </w:r>
          </w:p>
        </w:tc>
        <w:tc>
          <w:tcPr>
            <w:tcW w:w="1809"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Objekti</w:t>
            </w:r>
          </w:p>
        </w:tc>
        <w:tc>
          <w:tcPr>
            <w:tcW w:w="1814"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Ugroženo područje</w:t>
            </w:r>
          </w:p>
        </w:tc>
        <w:tc>
          <w:tcPr>
            <w:tcW w:w="1818"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Mjerodavni vodomjer</w:t>
            </w:r>
          </w:p>
        </w:tc>
      </w:tr>
      <w:tr w:rsidR="008F0D85">
        <w:trPr>
          <w:trHeight w:val="3291"/>
        </w:trPr>
        <w:tc>
          <w:tcPr>
            <w:tcW w:w="181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rPr>
                <w:rFonts w:eastAsia="Tahoma,Bold" w:cs="Calibri"/>
                <w:b/>
                <w:bCs/>
                <w:sz w:val="20"/>
                <w:szCs w:val="20"/>
              </w:rPr>
            </w:pPr>
            <w:r>
              <w:rPr>
                <w:rFonts w:eastAsia="Tahoma,Bold" w:cs="Calibri"/>
                <w:b/>
                <w:bCs/>
                <w:sz w:val="20"/>
                <w:szCs w:val="20"/>
              </w:rPr>
              <w:t>b. Kozarevac</w:t>
            </w:r>
          </w:p>
          <w:p w:rsidR="008F0D85" w:rsidRDefault="00AE42A1">
            <w:pPr>
              <w:spacing w:after="0" w:line="240" w:lineRule="auto"/>
              <w:rPr>
                <w:rFonts w:eastAsia="Tahoma,Bold" w:cs="Calibri"/>
                <w:sz w:val="20"/>
                <w:szCs w:val="20"/>
              </w:rPr>
            </w:pPr>
            <w:r>
              <w:rPr>
                <w:rFonts w:eastAsia="Tahoma,Bold" w:cs="Calibri"/>
                <w:sz w:val="20"/>
                <w:szCs w:val="20"/>
              </w:rPr>
              <w:t>l.o. i d.o.</w:t>
            </w:r>
          </w:p>
          <w:p w:rsidR="008F0D85" w:rsidRDefault="00AE42A1">
            <w:pPr>
              <w:spacing w:after="0" w:line="240" w:lineRule="auto"/>
              <w:rPr>
                <w:rFonts w:eastAsia="Tahoma,Bold" w:cs="Calibri"/>
                <w:sz w:val="20"/>
                <w:szCs w:val="20"/>
              </w:rPr>
            </w:pPr>
            <w:r>
              <w:rPr>
                <w:rFonts w:eastAsia="Tahoma,Bold" w:cs="Calibri"/>
                <w:sz w:val="20"/>
                <w:szCs w:val="20"/>
              </w:rPr>
              <w:t>utok u Kopanjek –</w:t>
            </w:r>
          </w:p>
          <w:p w:rsidR="008F0D85" w:rsidRDefault="00AE42A1">
            <w:pPr>
              <w:spacing w:after="0" w:line="240" w:lineRule="auto"/>
              <w:rPr>
                <w:rFonts w:eastAsia="Tahoma,Bold" w:cs="Calibri"/>
                <w:sz w:val="20"/>
                <w:szCs w:val="20"/>
              </w:rPr>
            </w:pPr>
            <w:r>
              <w:rPr>
                <w:rFonts w:eastAsia="Tahoma,Bold" w:cs="Calibri"/>
                <w:sz w:val="20"/>
                <w:szCs w:val="20"/>
              </w:rPr>
              <w:t>izvor</w:t>
            </w:r>
          </w:p>
          <w:p w:rsidR="008F0D85" w:rsidRDefault="00AE42A1">
            <w:pPr>
              <w:spacing w:after="0" w:line="240" w:lineRule="auto"/>
              <w:rPr>
                <w:rFonts w:eastAsia="Tahoma,Bold" w:cs="Calibri"/>
                <w:sz w:val="20"/>
                <w:szCs w:val="20"/>
              </w:rPr>
            </w:pPr>
            <w:r>
              <w:rPr>
                <w:rFonts w:eastAsia="Tahoma,Bold" w:cs="Calibri"/>
                <w:sz w:val="20"/>
                <w:szCs w:val="20"/>
              </w:rPr>
              <w:t>0+000 – 17+410</w:t>
            </w:r>
          </w:p>
          <w:p w:rsidR="008F0D85" w:rsidRDefault="00AE42A1">
            <w:pPr>
              <w:spacing w:after="0" w:line="240" w:lineRule="auto"/>
              <w:jc w:val="center"/>
              <w:rPr>
                <w:rFonts w:cs="Calibri"/>
                <w:sz w:val="20"/>
                <w:szCs w:val="20"/>
              </w:rPr>
            </w:pPr>
            <w:r>
              <w:rPr>
                <w:rFonts w:eastAsia="Tahoma,Bold" w:cs="Calibri"/>
                <w:sz w:val="20"/>
                <w:szCs w:val="20"/>
              </w:rPr>
              <w:t>dužine 17,41 km</w:t>
            </w:r>
          </w:p>
        </w:tc>
        <w:tc>
          <w:tcPr>
            <w:tcW w:w="180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rPr>
                <w:rFonts w:eastAsia="Tahoma,Bold" w:cs="Calibri"/>
                <w:b/>
                <w:bCs/>
                <w:sz w:val="20"/>
                <w:szCs w:val="20"/>
              </w:rPr>
            </w:pPr>
            <w:r>
              <w:rPr>
                <w:rFonts w:eastAsia="Tahoma,Bold" w:cs="Calibri"/>
                <w:b/>
                <w:bCs/>
                <w:sz w:val="20"/>
                <w:szCs w:val="20"/>
              </w:rPr>
              <w:t>Nasipi</w:t>
            </w:r>
          </w:p>
          <w:p w:rsidR="008F0D85" w:rsidRDefault="00AE42A1">
            <w:pPr>
              <w:spacing w:after="0" w:line="240" w:lineRule="auto"/>
              <w:rPr>
                <w:rFonts w:eastAsia="Tahoma,Bold" w:cs="Calibri"/>
                <w:sz w:val="20"/>
                <w:szCs w:val="20"/>
              </w:rPr>
            </w:pPr>
            <w:r>
              <w:rPr>
                <w:rFonts w:eastAsia="Tahoma,Bold" w:cs="Calibri"/>
                <w:sz w:val="20"/>
                <w:szCs w:val="20"/>
              </w:rPr>
              <w:t>l.o. 0+000-1+280</w:t>
            </w:r>
          </w:p>
          <w:p w:rsidR="008F0D85" w:rsidRDefault="00AE42A1">
            <w:pPr>
              <w:spacing w:after="0" w:line="240" w:lineRule="auto"/>
              <w:rPr>
                <w:rFonts w:eastAsia="Tahoma,Bold" w:cs="Calibri"/>
                <w:sz w:val="20"/>
                <w:szCs w:val="20"/>
              </w:rPr>
            </w:pPr>
            <w:r>
              <w:rPr>
                <w:rFonts w:eastAsia="Tahoma,Bold" w:cs="Calibri"/>
                <w:sz w:val="20"/>
                <w:szCs w:val="20"/>
              </w:rPr>
              <w:t>Dužine 1,28 km</w:t>
            </w:r>
          </w:p>
          <w:p w:rsidR="008F0D85" w:rsidRDefault="00AE42A1">
            <w:pPr>
              <w:spacing w:after="0" w:line="240" w:lineRule="auto"/>
              <w:rPr>
                <w:rFonts w:eastAsia="Tahoma,Bold" w:cs="Calibri"/>
                <w:sz w:val="20"/>
                <w:szCs w:val="20"/>
              </w:rPr>
            </w:pPr>
            <w:r>
              <w:rPr>
                <w:rFonts w:eastAsia="Tahoma,Bold" w:cs="Calibri"/>
                <w:sz w:val="20"/>
                <w:szCs w:val="20"/>
              </w:rPr>
              <w:t>d.o. 1+600 –</w:t>
            </w:r>
          </w:p>
          <w:p w:rsidR="008F0D85" w:rsidRDefault="00AE42A1">
            <w:pPr>
              <w:spacing w:after="0" w:line="240" w:lineRule="auto"/>
              <w:rPr>
                <w:rFonts w:eastAsia="Tahoma,Bold" w:cs="Calibri"/>
                <w:sz w:val="20"/>
                <w:szCs w:val="20"/>
              </w:rPr>
            </w:pPr>
            <w:r>
              <w:rPr>
                <w:rFonts w:eastAsia="Tahoma,Bold" w:cs="Calibri"/>
                <w:sz w:val="20"/>
                <w:szCs w:val="20"/>
              </w:rPr>
              <w:t>2+400</w:t>
            </w:r>
          </w:p>
          <w:p w:rsidR="008F0D85" w:rsidRDefault="00AE42A1">
            <w:pPr>
              <w:spacing w:after="0" w:line="240" w:lineRule="auto"/>
              <w:rPr>
                <w:rFonts w:eastAsia="Tahoma,Bold" w:cs="Calibri"/>
                <w:sz w:val="20"/>
                <w:szCs w:val="20"/>
              </w:rPr>
            </w:pPr>
            <w:r>
              <w:rPr>
                <w:rFonts w:eastAsia="Tahoma,Bold" w:cs="Calibri"/>
                <w:sz w:val="20"/>
                <w:szCs w:val="20"/>
              </w:rPr>
              <w:t>Dužina 0,80km</w:t>
            </w:r>
          </w:p>
          <w:p w:rsidR="008F0D85" w:rsidRDefault="00AE42A1">
            <w:pPr>
              <w:spacing w:after="0" w:line="240" w:lineRule="auto"/>
              <w:rPr>
                <w:rFonts w:eastAsia="Tahoma,Bold" w:cs="Calibri"/>
                <w:b/>
                <w:bCs/>
                <w:sz w:val="20"/>
                <w:szCs w:val="20"/>
              </w:rPr>
            </w:pPr>
            <w:r>
              <w:rPr>
                <w:rFonts w:eastAsia="Tahoma,Bold" w:cs="Calibri"/>
                <w:b/>
                <w:bCs/>
                <w:sz w:val="20"/>
                <w:szCs w:val="20"/>
              </w:rPr>
              <w:t>Ukupno 2,08</w:t>
            </w:r>
          </w:p>
          <w:p w:rsidR="008F0D85" w:rsidRDefault="00AE42A1">
            <w:pPr>
              <w:spacing w:after="0" w:line="240" w:lineRule="auto"/>
              <w:jc w:val="center"/>
              <w:rPr>
                <w:rFonts w:cs="Calibri"/>
                <w:sz w:val="20"/>
                <w:szCs w:val="20"/>
              </w:rPr>
            </w:pPr>
            <w:r>
              <w:rPr>
                <w:rFonts w:eastAsia="Tahoma,Bold" w:cs="Calibri"/>
                <w:b/>
                <w:bCs/>
                <w:sz w:val="20"/>
                <w:szCs w:val="20"/>
              </w:rPr>
              <w:t>km</w:t>
            </w:r>
          </w:p>
        </w:tc>
        <w:tc>
          <w:tcPr>
            <w:tcW w:w="180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rPr>
                <w:rFonts w:cs="Calibri"/>
                <w:sz w:val="20"/>
                <w:szCs w:val="20"/>
              </w:rPr>
            </w:pPr>
            <w:r>
              <w:rPr>
                <w:rFonts w:cs="Calibri"/>
                <w:sz w:val="20"/>
                <w:szCs w:val="20"/>
              </w:rPr>
              <w:t>-km 1+166 betonska</w:t>
            </w:r>
          </w:p>
          <w:p w:rsidR="008F0D85" w:rsidRDefault="00AE42A1">
            <w:pPr>
              <w:spacing w:after="0" w:line="240" w:lineRule="auto"/>
              <w:rPr>
                <w:rFonts w:cs="Calibri"/>
                <w:sz w:val="20"/>
                <w:szCs w:val="20"/>
              </w:rPr>
            </w:pPr>
            <w:r>
              <w:rPr>
                <w:rFonts w:cs="Calibri"/>
                <w:sz w:val="20"/>
                <w:szCs w:val="20"/>
              </w:rPr>
              <w:t>stepenica</w:t>
            </w:r>
          </w:p>
          <w:p w:rsidR="008F0D85" w:rsidRDefault="00AE42A1">
            <w:pPr>
              <w:spacing w:after="0" w:line="240" w:lineRule="auto"/>
              <w:rPr>
                <w:rFonts w:cs="Calibri"/>
                <w:sz w:val="20"/>
                <w:szCs w:val="20"/>
              </w:rPr>
            </w:pPr>
            <w:r>
              <w:rPr>
                <w:rFonts w:cs="Calibri"/>
                <w:sz w:val="20"/>
                <w:szCs w:val="20"/>
              </w:rPr>
              <w:t>-km 1+170 most na cesti</w:t>
            </w:r>
          </w:p>
          <w:p w:rsidR="008F0D85" w:rsidRDefault="00AE42A1">
            <w:pPr>
              <w:spacing w:after="0" w:line="240" w:lineRule="auto"/>
              <w:rPr>
                <w:rFonts w:cs="Calibri"/>
                <w:sz w:val="20"/>
                <w:szCs w:val="20"/>
              </w:rPr>
            </w:pPr>
            <w:r>
              <w:rPr>
                <w:rFonts w:cs="Calibri"/>
                <w:sz w:val="20"/>
                <w:szCs w:val="20"/>
              </w:rPr>
              <w:t>Koprivnica-Osijek</w:t>
            </w:r>
          </w:p>
          <w:p w:rsidR="008F0D85" w:rsidRDefault="00AE42A1">
            <w:pPr>
              <w:spacing w:after="0" w:line="240" w:lineRule="auto"/>
              <w:rPr>
                <w:rFonts w:cs="Calibri"/>
                <w:sz w:val="20"/>
                <w:szCs w:val="20"/>
              </w:rPr>
            </w:pPr>
            <w:r>
              <w:rPr>
                <w:rFonts w:cs="Calibri"/>
                <w:sz w:val="20"/>
                <w:szCs w:val="20"/>
              </w:rPr>
              <w:t>-km 1+580 drveni most na</w:t>
            </w:r>
          </w:p>
          <w:p w:rsidR="008F0D85" w:rsidRDefault="00AE42A1">
            <w:pPr>
              <w:spacing w:after="0" w:line="240" w:lineRule="auto"/>
              <w:rPr>
                <w:rFonts w:cs="Calibri"/>
                <w:sz w:val="20"/>
                <w:szCs w:val="20"/>
              </w:rPr>
            </w:pPr>
            <w:r>
              <w:rPr>
                <w:rFonts w:cs="Calibri"/>
                <w:sz w:val="20"/>
                <w:szCs w:val="20"/>
              </w:rPr>
              <w:t>poljskom putu</w:t>
            </w:r>
          </w:p>
          <w:p w:rsidR="008F0D85" w:rsidRDefault="00AE42A1">
            <w:pPr>
              <w:spacing w:after="0" w:line="240" w:lineRule="auto"/>
              <w:rPr>
                <w:rFonts w:cs="Calibri"/>
                <w:sz w:val="20"/>
                <w:szCs w:val="20"/>
              </w:rPr>
            </w:pPr>
            <w:r>
              <w:rPr>
                <w:rFonts w:cs="Calibri"/>
                <w:sz w:val="20"/>
                <w:szCs w:val="20"/>
              </w:rPr>
              <w:t>-km 1+910 drveni most na</w:t>
            </w:r>
          </w:p>
          <w:p w:rsidR="008F0D85" w:rsidRDefault="00AE42A1">
            <w:pPr>
              <w:spacing w:after="0" w:line="240" w:lineRule="auto"/>
              <w:rPr>
                <w:rFonts w:cs="Calibri"/>
                <w:sz w:val="20"/>
                <w:szCs w:val="20"/>
              </w:rPr>
            </w:pPr>
            <w:r>
              <w:rPr>
                <w:rFonts w:cs="Calibri"/>
                <w:sz w:val="20"/>
                <w:szCs w:val="20"/>
              </w:rPr>
              <w:t>poljskom putu</w:t>
            </w:r>
          </w:p>
          <w:p w:rsidR="008F0D85" w:rsidRDefault="00AE42A1">
            <w:pPr>
              <w:spacing w:after="0" w:line="240" w:lineRule="auto"/>
              <w:rPr>
                <w:rFonts w:cs="Calibri"/>
                <w:sz w:val="20"/>
                <w:szCs w:val="20"/>
              </w:rPr>
            </w:pPr>
            <w:r>
              <w:rPr>
                <w:rFonts w:cs="Calibri"/>
                <w:sz w:val="20"/>
                <w:szCs w:val="20"/>
              </w:rPr>
              <w:t>-km 2+420 betonski most</w:t>
            </w:r>
          </w:p>
          <w:p w:rsidR="008F0D85" w:rsidRDefault="00AE42A1">
            <w:pPr>
              <w:spacing w:after="0" w:line="240" w:lineRule="auto"/>
              <w:rPr>
                <w:rFonts w:cs="Calibri"/>
                <w:sz w:val="20"/>
                <w:szCs w:val="20"/>
              </w:rPr>
            </w:pPr>
            <w:r>
              <w:rPr>
                <w:rFonts w:cs="Calibri"/>
                <w:sz w:val="20"/>
                <w:szCs w:val="20"/>
              </w:rPr>
              <w:t>na poljskom putu</w:t>
            </w:r>
          </w:p>
          <w:p w:rsidR="008F0D85" w:rsidRDefault="00AE42A1">
            <w:pPr>
              <w:spacing w:after="0" w:line="240" w:lineRule="auto"/>
              <w:rPr>
                <w:rFonts w:cs="Calibri"/>
                <w:sz w:val="20"/>
                <w:szCs w:val="20"/>
              </w:rPr>
            </w:pPr>
            <w:r>
              <w:rPr>
                <w:rFonts w:cs="Calibri"/>
                <w:sz w:val="20"/>
                <w:szCs w:val="20"/>
              </w:rPr>
              <w:t>-km</w:t>
            </w:r>
            <w:r>
              <w:rPr>
                <w:rFonts w:cs="Calibri"/>
                <w:sz w:val="20"/>
                <w:szCs w:val="20"/>
              </w:rPr>
              <w:t xml:space="preserve"> 2+700 betonska</w:t>
            </w:r>
          </w:p>
          <w:p w:rsidR="008F0D85" w:rsidRDefault="00AE42A1">
            <w:pPr>
              <w:spacing w:after="0" w:line="240" w:lineRule="auto"/>
              <w:rPr>
                <w:rFonts w:cs="Calibri"/>
                <w:sz w:val="20"/>
                <w:szCs w:val="20"/>
              </w:rPr>
            </w:pPr>
            <w:r>
              <w:rPr>
                <w:rFonts w:cs="Calibri"/>
                <w:sz w:val="20"/>
                <w:szCs w:val="20"/>
              </w:rPr>
              <w:t>stepenica</w:t>
            </w:r>
          </w:p>
          <w:p w:rsidR="008F0D85" w:rsidRDefault="00AE42A1">
            <w:pPr>
              <w:spacing w:after="0" w:line="240" w:lineRule="auto"/>
              <w:rPr>
                <w:rFonts w:cs="Calibri"/>
                <w:sz w:val="20"/>
                <w:szCs w:val="20"/>
              </w:rPr>
            </w:pPr>
            <w:r>
              <w:rPr>
                <w:rFonts w:cs="Calibri"/>
                <w:sz w:val="20"/>
                <w:szCs w:val="20"/>
              </w:rPr>
              <w:t>-km 2+720 most na</w:t>
            </w:r>
          </w:p>
          <w:p w:rsidR="008F0D85" w:rsidRDefault="00AE42A1">
            <w:pPr>
              <w:spacing w:after="0" w:line="240" w:lineRule="auto"/>
              <w:rPr>
                <w:rFonts w:cs="Calibri"/>
                <w:sz w:val="20"/>
                <w:szCs w:val="20"/>
              </w:rPr>
            </w:pPr>
            <w:r>
              <w:rPr>
                <w:rFonts w:cs="Calibri"/>
                <w:sz w:val="20"/>
                <w:szCs w:val="20"/>
              </w:rPr>
              <w:t>želj.pruzi KC-OS</w:t>
            </w:r>
          </w:p>
          <w:p w:rsidR="008F0D85" w:rsidRDefault="00AE42A1">
            <w:pPr>
              <w:spacing w:after="0" w:line="240" w:lineRule="auto"/>
              <w:rPr>
                <w:rFonts w:cs="Calibri"/>
                <w:sz w:val="20"/>
                <w:szCs w:val="20"/>
              </w:rPr>
            </w:pPr>
            <w:r>
              <w:rPr>
                <w:rFonts w:cs="Calibri"/>
                <w:sz w:val="20"/>
                <w:szCs w:val="20"/>
              </w:rPr>
              <w:t>-km 5+900 most i</w:t>
            </w:r>
          </w:p>
          <w:p w:rsidR="008F0D85" w:rsidRDefault="00AE42A1">
            <w:pPr>
              <w:spacing w:after="0" w:line="240" w:lineRule="auto"/>
              <w:rPr>
                <w:rFonts w:cs="Calibri"/>
                <w:sz w:val="20"/>
                <w:szCs w:val="20"/>
              </w:rPr>
            </w:pPr>
            <w:r>
              <w:rPr>
                <w:rFonts w:cs="Calibri"/>
                <w:sz w:val="20"/>
                <w:szCs w:val="20"/>
              </w:rPr>
              <w:t>stepenica</w:t>
            </w:r>
          </w:p>
          <w:p w:rsidR="008F0D85" w:rsidRDefault="00AE42A1">
            <w:pPr>
              <w:spacing w:after="0" w:line="240" w:lineRule="auto"/>
              <w:rPr>
                <w:rFonts w:cs="Calibri"/>
                <w:sz w:val="20"/>
                <w:szCs w:val="20"/>
              </w:rPr>
            </w:pPr>
            <w:r>
              <w:rPr>
                <w:rFonts w:cs="Calibri"/>
                <w:sz w:val="20"/>
                <w:szCs w:val="20"/>
              </w:rPr>
              <w:t>-km 9+100 most u</w:t>
            </w:r>
          </w:p>
          <w:p w:rsidR="008F0D85" w:rsidRDefault="00AE42A1">
            <w:pPr>
              <w:spacing w:after="0" w:line="240" w:lineRule="auto"/>
              <w:rPr>
                <w:rFonts w:cs="Calibri"/>
                <w:sz w:val="20"/>
                <w:szCs w:val="20"/>
              </w:rPr>
            </w:pPr>
            <w:r>
              <w:rPr>
                <w:rFonts w:cs="Calibri"/>
                <w:sz w:val="20"/>
                <w:szCs w:val="20"/>
              </w:rPr>
              <w:t>Kozarevcu</w:t>
            </w:r>
          </w:p>
          <w:p w:rsidR="008F0D85" w:rsidRDefault="00AE42A1">
            <w:pPr>
              <w:spacing w:after="0" w:line="240" w:lineRule="auto"/>
              <w:rPr>
                <w:rFonts w:cs="Calibri"/>
                <w:sz w:val="20"/>
                <w:szCs w:val="20"/>
              </w:rPr>
            </w:pPr>
            <w:r>
              <w:rPr>
                <w:rFonts w:cs="Calibri"/>
                <w:sz w:val="20"/>
                <w:szCs w:val="20"/>
              </w:rPr>
              <w:t>-km 10+880 most u</w:t>
            </w:r>
          </w:p>
          <w:p w:rsidR="008F0D85" w:rsidRDefault="00AE42A1">
            <w:pPr>
              <w:spacing w:after="0" w:line="240" w:lineRule="auto"/>
              <w:jc w:val="center"/>
              <w:rPr>
                <w:rFonts w:cs="Calibri"/>
                <w:sz w:val="20"/>
                <w:szCs w:val="20"/>
              </w:rPr>
            </w:pPr>
            <w:r>
              <w:rPr>
                <w:rFonts w:cs="Calibri"/>
                <w:sz w:val="20"/>
                <w:szCs w:val="20"/>
              </w:rPr>
              <w:t>Kozarevcu</w:t>
            </w:r>
          </w:p>
        </w:tc>
        <w:tc>
          <w:tcPr>
            <w:tcW w:w="181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rPr>
                <w:rFonts w:eastAsia="Tahoma,Bold" w:cs="Calibri"/>
                <w:b/>
                <w:bCs/>
                <w:sz w:val="20"/>
                <w:szCs w:val="20"/>
              </w:rPr>
            </w:pPr>
            <w:r>
              <w:rPr>
                <w:rFonts w:eastAsia="Tahoma,Bold" w:cs="Calibri"/>
                <w:b/>
                <w:bCs/>
                <w:sz w:val="20"/>
                <w:szCs w:val="20"/>
              </w:rPr>
              <w:t>KOPRIVNIČKO KRIŽEVAČKA</w:t>
            </w:r>
          </w:p>
          <w:p w:rsidR="008F0D85" w:rsidRDefault="00AE42A1">
            <w:pPr>
              <w:spacing w:after="0" w:line="240" w:lineRule="auto"/>
              <w:rPr>
                <w:rFonts w:eastAsia="Tahoma,Bold" w:cs="Calibri"/>
                <w:b/>
                <w:bCs/>
                <w:sz w:val="20"/>
                <w:szCs w:val="20"/>
              </w:rPr>
            </w:pPr>
            <w:r>
              <w:rPr>
                <w:rFonts w:eastAsia="Tahoma,Bold" w:cs="Calibri"/>
                <w:b/>
                <w:bCs/>
                <w:sz w:val="20"/>
                <w:szCs w:val="20"/>
              </w:rPr>
              <w:t>ŽUPANIJA</w:t>
            </w:r>
          </w:p>
          <w:p w:rsidR="008F0D85" w:rsidRDefault="00AE42A1">
            <w:pPr>
              <w:spacing w:after="0" w:line="240" w:lineRule="auto"/>
              <w:rPr>
                <w:rFonts w:eastAsia="Tahoma,Bold" w:cs="Calibri"/>
                <w:b/>
                <w:bCs/>
                <w:sz w:val="20"/>
                <w:szCs w:val="20"/>
              </w:rPr>
            </w:pPr>
            <w:r>
              <w:rPr>
                <w:rFonts w:eastAsia="Tahoma,Bold" w:cs="Calibri"/>
                <w:b/>
                <w:bCs/>
                <w:sz w:val="20"/>
                <w:szCs w:val="20"/>
              </w:rPr>
              <w:t>Kloštar Podravski</w:t>
            </w:r>
          </w:p>
          <w:p w:rsidR="008F0D85" w:rsidRDefault="00AE42A1">
            <w:pPr>
              <w:spacing w:after="0" w:line="240" w:lineRule="auto"/>
              <w:rPr>
                <w:rFonts w:eastAsia="Tahoma,Bold" w:cs="Calibri"/>
                <w:sz w:val="20"/>
                <w:szCs w:val="20"/>
              </w:rPr>
            </w:pPr>
            <w:r>
              <w:rPr>
                <w:rFonts w:eastAsia="Tahoma,Bold" w:cs="Calibri"/>
                <w:sz w:val="20"/>
                <w:szCs w:val="20"/>
              </w:rPr>
              <w:t>Kozarevac</w:t>
            </w:r>
          </w:p>
          <w:p w:rsidR="008F0D85" w:rsidRDefault="00AE42A1">
            <w:pPr>
              <w:spacing w:after="0" w:line="240" w:lineRule="auto"/>
              <w:rPr>
                <w:rFonts w:eastAsia="Tahoma,Bold" w:cs="Calibri"/>
                <w:sz w:val="20"/>
                <w:szCs w:val="20"/>
              </w:rPr>
            </w:pPr>
            <w:r>
              <w:rPr>
                <w:rFonts w:eastAsia="Tahoma,Bold" w:cs="Calibri"/>
                <w:sz w:val="20"/>
                <w:szCs w:val="20"/>
              </w:rPr>
              <w:t>Kloštar Podravski</w:t>
            </w:r>
          </w:p>
          <w:p w:rsidR="008F0D85" w:rsidRDefault="00AE42A1">
            <w:pPr>
              <w:spacing w:after="0" w:line="240" w:lineRule="auto"/>
              <w:rPr>
                <w:rFonts w:cs="Calibri"/>
                <w:sz w:val="20"/>
                <w:szCs w:val="20"/>
              </w:rPr>
            </w:pPr>
            <w:r>
              <w:rPr>
                <w:rFonts w:eastAsia="Tahoma,Bold" w:cs="Calibri"/>
                <w:sz w:val="20"/>
                <w:szCs w:val="20"/>
              </w:rPr>
              <w:t>Budančevica</w:t>
            </w:r>
          </w:p>
        </w:tc>
        <w:tc>
          <w:tcPr>
            <w:tcW w:w="1818"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line="240" w:lineRule="auto"/>
              <w:rPr>
                <w:rFonts w:eastAsia="Tahoma,Bold" w:cs="Calibri"/>
                <w:sz w:val="20"/>
                <w:szCs w:val="20"/>
              </w:rPr>
            </w:pPr>
            <w:r>
              <w:rPr>
                <w:rFonts w:eastAsia="Tahoma,Bold" w:cs="Calibri"/>
                <w:b/>
                <w:bCs/>
                <w:sz w:val="20"/>
                <w:szCs w:val="20"/>
              </w:rPr>
              <w:t xml:space="preserve">V – Budančevica, </w:t>
            </w:r>
            <w:r>
              <w:rPr>
                <w:rFonts w:eastAsia="Tahoma,Bold" w:cs="Calibri"/>
                <w:sz w:val="20"/>
                <w:szCs w:val="20"/>
              </w:rPr>
              <w:t>most</w:t>
            </w:r>
          </w:p>
          <w:p w:rsidR="008F0D85" w:rsidRDefault="00AE42A1">
            <w:pPr>
              <w:spacing w:after="0" w:line="240" w:lineRule="auto"/>
              <w:rPr>
                <w:rFonts w:eastAsia="Tahoma,Bold" w:cs="Calibri"/>
                <w:sz w:val="20"/>
                <w:szCs w:val="20"/>
              </w:rPr>
            </w:pPr>
            <w:r>
              <w:rPr>
                <w:rFonts w:eastAsia="Tahoma,Bold" w:cs="Calibri"/>
                <w:sz w:val="20"/>
                <w:szCs w:val="20"/>
              </w:rPr>
              <w:t>na državnoj cesti</w:t>
            </w:r>
          </w:p>
          <w:p w:rsidR="008F0D85" w:rsidRDefault="00AE42A1">
            <w:pPr>
              <w:spacing w:after="0" w:line="240" w:lineRule="auto"/>
              <w:rPr>
                <w:rFonts w:eastAsia="Tahoma,Bold" w:cs="Calibri"/>
                <w:sz w:val="20"/>
                <w:szCs w:val="20"/>
              </w:rPr>
            </w:pPr>
            <w:r>
              <w:rPr>
                <w:rFonts w:eastAsia="Tahoma,Bold" w:cs="Calibri"/>
                <w:sz w:val="20"/>
                <w:szCs w:val="20"/>
              </w:rPr>
              <w:t>Koprivnica – Osijek u km</w:t>
            </w:r>
          </w:p>
          <w:p w:rsidR="008F0D85" w:rsidRDefault="00AE42A1">
            <w:pPr>
              <w:spacing w:after="0" w:line="240" w:lineRule="auto"/>
              <w:rPr>
                <w:rFonts w:eastAsia="Tahoma,Bold" w:cs="Calibri"/>
                <w:sz w:val="20"/>
                <w:szCs w:val="20"/>
              </w:rPr>
            </w:pPr>
            <w:r>
              <w:rPr>
                <w:rFonts w:eastAsia="Tahoma,Bold" w:cs="Calibri"/>
                <w:sz w:val="20"/>
                <w:szCs w:val="20"/>
              </w:rPr>
              <w:t>1+170</w:t>
            </w:r>
          </w:p>
          <w:p w:rsidR="008F0D85" w:rsidRDefault="00AE42A1">
            <w:pPr>
              <w:spacing w:after="0" w:line="240" w:lineRule="auto"/>
              <w:rPr>
                <w:rFonts w:eastAsia="Tahoma,Bold" w:cs="Calibri"/>
                <w:sz w:val="20"/>
                <w:szCs w:val="20"/>
              </w:rPr>
            </w:pPr>
            <w:r>
              <w:rPr>
                <w:rFonts w:eastAsia="Tahoma,Bold" w:cs="Calibri"/>
                <w:b/>
                <w:bCs/>
                <w:sz w:val="20"/>
                <w:szCs w:val="20"/>
              </w:rPr>
              <w:t xml:space="preserve">R: </w:t>
            </w:r>
            <w:r>
              <w:rPr>
                <w:rFonts w:eastAsia="Tahoma,Bold" w:cs="Calibri"/>
                <w:sz w:val="20"/>
                <w:szCs w:val="20"/>
              </w:rPr>
              <w:t>116,46 m.n.m – plava</w:t>
            </w:r>
          </w:p>
          <w:p w:rsidR="008F0D85" w:rsidRDefault="00AE42A1">
            <w:pPr>
              <w:spacing w:after="0" w:line="240" w:lineRule="auto"/>
              <w:rPr>
                <w:rFonts w:eastAsia="Tahoma,Bold" w:cs="Calibri"/>
                <w:sz w:val="20"/>
                <w:szCs w:val="20"/>
              </w:rPr>
            </w:pPr>
            <w:r>
              <w:rPr>
                <w:rFonts w:eastAsia="Tahoma,Bold" w:cs="Calibri"/>
                <w:sz w:val="20"/>
                <w:szCs w:val="20"/>
              </w:rPr>
              <w:t>oznaka</w:t>
            </w:r>
          </w:p>
          <w:p w:rsidR="008F0D85" w:rsidRDefault="00AE42A1">
            <w:pPr>
              <w:spacing w:after="0" w:line="240" w:lineRule="auto"/>
              <w:rPr>
                <w:rFonts w:eastAsia="Tahoma,Bold" w:cs="Calibri"/>
                <w:sz w:val="20"/>
                <w:szCs w:val="20"/>
              </w:rPr>
            </w:pPr>
            <w:r>
              <w:rPr>
                <w:rFonts w:eastAsia="Tahoma,Bold" w:cs="Calibri"/>
                <w:b/>
                <w:bCs/>
                <w:sz w:val="20"/>
                <w:szCs w:val="20"/>
              </w:rPr>
              <w:t xml:space="preserve">I: </w:t>
            </w:r>
            <w:r>
              <w:rPr>
                <w:rFonts w:eastAsia="Tahoma,Bold" w:cs="Calibri"/>
                <w:sz w:val="20"/>
                <w:szCs w:val="20"/>
              </w:rPr>
              <w:t>116,66 m.n.m –crvena</w:t>
            </w:r>
          </w:p>
          <w:p w:rsidR="008F0D85" w:rsidRDefault="00AE42A1">
            <w:pPr>
              <w:spacing w:after="0" w:line="240" w:lineRule="auto"/>
              <w:jc w:val="center"/>
              <w:rPr>
                <w:rFonts w:cs="Calibri"/>
                <w:sz w:val="20"/>
                <w:szCs w:val="20"/>
              </w:rPr>
            </w:pPr>
            <w:r>
              <w:rPr>
                <w:rFonts w:eastAsia="Tahoma,Bold" w:cs="Calibri"/>
                <w:sz w:val="20"/>
                <w:szCs w:val="20"/>
              </w:rPr>
              <w:t>oznaka</w:t>
            </w:r>
          </w:p>
        </w:tc>
      </w:tr>
    </w:tbl>
    <w:p w:rsidR="008F0D85" w:rsidRDefault="00AE42A1">
      <w:pPr>
        <w:spacing w:after="0"/>
        <w:jc w:val="center"/>
        <w:rPr>
          <w:sz w:val="20"/>
          <w:szCs w:val="20"/>
        </w:rPr>
      </w:pPr>
      <w:r>
        <w:rPr>
          <w:rFonts w:cs="Calibri"/>
          <w:sz w:val="20"/>
          <w:szCs w:val="20"/>
        </w:rPr>
        <w:t xml:space="preserve">Izvor: </w:t>
      </w:r>
      <w:r>
        <w:rPr>
          <w:sz w:val="20"/>
          <w:szCs w:val="20"/>
        </w:rPr>
        <w:t xml:space="preserve">Provedbeni plan obrane od poplava branjenog područja, Sektor A – Mura i gronja Drava, Branjeno područje 19, </w:t>
      </w:r>
      <w:r>
        <w:rPr>
          <w:sz w:val="20"/>
          <w:szCs w:val="20"/>
        </w:rPr>
        <w:t>područje malog sliva Bistra.</w:t>
      </w:r>
    </w:p>
    <w:p w:rsidR="008F0D85" w:rsidRDefault="00AE42A1">
      <w:pPr>
        <w:jc w:val="center"/>
        <w:rPr>
          <w:szCs w:val="24"/>
          <w:lang w:eastAsia="hr-HR"/>
        </w:rPr>
      </w:pPr>
      <w:r>
        <w:rPr>
          <w:noProof/>
        </w:rPr>
        <w:lastRenderedPageBreak/>
        <w:drawing>
          <wp:inline distT="0" distB="0" distL="0" distR="0">
            <wp:extent cx="5753735" cy="5448935"/>
            <wp:effectExtent l="0" t="0" r="0" b="0"/>
            <wp:docPr id="64"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ika 12"/>
                    <pic:cNvPicPr>
                      <a:picLocks noChangeAspect="1" noChangeArrowheads="1"/>
                    </pic:cNvPicPr>
                  </pic:nvPicPr>
                  <pic:blipFill>
                    <a:blip r:embed="rId51"/>
                    <a:stretch>
                      <a:fillRect/>
                    </a:stretch>
                  </pic:blipFill>
                  <pic:spPr bwMode="auto">
                    <a:xfrm>
                      <a:off x="0" y="0"/>
                      <a:ext cx="5753735" cy="5448935"/>
                    </a:xfrm>
                    <a:prstGeom prst="rect">
                      <a:avLst/>
                    </a:prstGeom>
                  </pic:spPr>
                </pic:pic>
              </a:graphicData>
            </a:graphic>
          </wp:inline>
        </w:drawing>
      </w:r>
    </w:p>
    <w:p w:rsidR="008F0D85" w:rsidRDefault="00AE42A1">
      <w:pPr>
        <w:pStyle w:val="Opisslike"/>
      </w:pPr>
      <w:bookmarkStart w:id="734" w:name="_Toc527969588"/>
      <w:r>
        <w:t xml:space="preserve">Slika </w:t>
      </w:r>
      <w:r>
        <w:fldChar w:fldCharType="begin"/>
      </w:r>
      <w:r>
        <w:instrText>SEQ Slika \* ARABIC</w:instrText>
      </w:r>
      <w:r>
        <w:fldChar w:fldCharType="separate"/>
      </w:r>
      <w:r>
        <w:t>16</w:t>
      </w:r>
      <w:r>
        <w:fldChar w:fldCharType="end"/>
      </w:r>
      <w:bookmarkEnd w:id="734"/>
      <w:r>
        <w:t>: Prikaz dionice A.19.4. - bujica Kozarevac, lijeva i desna obala</w:t>
      </w:r>
    </w:p>
    <w:p w:rsidR="008F0D85" w:rsidRDefault="00AE42A1">
      <w:pPr>
        <w:spacing w:after="0"/>
        <w:rPr>
          <w:sz w:val="20"/>
          <w:szCs w:val="20"/>
        </w:rPr>
      </w:pPr>
      <w:r>
        <w:rPr>
          <w:rFonts w:cs="Calibri"/>
          <w:sz w:val="20"/>
          <w:szCs w:val="20"/>
        </w:rPr>
        <w:t xml:space="preserve">Izvor: </w:t>
      </w:r>
      <w:r>
        <w:rPr>
          <w:sz w:val="20"/>
          <w:szCs w:val="20"/>
        </w:rPr>
        <w:t>Provedbeni plan obrane od poplava branjenog područja, Sektor A – Mura i gronja Drava, Branjeno područje 19, područje malog</w:t>
      </w:r>
      <w:r>
        <w:rPr>
          <w:sz w:val="20"/>
          <w:szCs w:val="20"/>
        </w:rPr>
        <w:t xml:space="preserve"> sliva Bistra.</w:t>
      </w:r>
    </w:p>
    <w:p w:rsidR="008F0D85" w:rsidRDefault="008F0D85"/>
    <w:p w:rsidR="008F0D85" w:rsidRDefault="00AE42A1">
      <w:pPr>
        <w:pStyle w:val="Odlomakpopisa"/>
        <w:numPr>
          <w:ilvl w:val="0"/>
          <w:numId w:val="93"/>
        </w:numPr>
        <w:spacing w:after="0"/>
        <w:rPr>
          <w:rFonts w:eastAsia="Tahoma,Bold" w:cs="Calibri"/>
          <w:b/>
          <w:bCs/>
          <w:szCs w:val="24"/>
        </w:rPr>
      </w:pPr>
      <w:r>
        <w:rPr>
          <w:rFonts w:eastAsia="Tahoma,Bold" w:cs="Calibri"/>
          <w:b/>
          <w:bCs/>
          <w:szCs w:val="24"/>
        </w:rPr>
        <w:t>Opis dionice</w:t>
      </w:r>
    </w:p>
    <w:p w:rsidR="008F0D85" w:rsidRDefault="00AE42A1">
      <w:pPr>
        <w:spacing w:after="0"/>
        <w:rPr>
          <w:rFonts w:eastAsia="Tahoma,Bold" w:cs="Calibri"/>
          <w:szCs w:val="24"/>
        </w:rPr>
      </w:pPr>
      <w:r>
        <w:rPr>
          <w:rFonts w:eastAsia="Tahoma,Bold" w:cs="Calibri"/>
          <w:szCs w:val="24"/>
        </w:rPr>
        <w:t>Dionica obuhvaća lijevu i desnu obalu potoka – bujice Kozarevac i to od utoka u kanal Kopanjek sjeverno od mjesta Kloštar Podravski do izvora u dužini od 17,41 km. U nizinskom dijelu nalazi se u nasipu i to lijeva obala od 0+00</w:t>
      </w:r>
      <w:r>
        <w:rPr>
          <w:rFonts w:eastAsia="Tahoma,Bold" w:cs="Calibri"/>
          <w:szCs w:val="24"/>
        </w:rPr>
        <w:t>0-1+280 dužine 1,28 km i desna obala od 1+600-2+400 dužine 0,80 km. Na tom dijelu dno mu je mjestimično u razini okolnog terena. Nasip je izveden od zemljanog materijala iz iskopa. Uz nasip nema servisnog puta, a košnja se vrši s krune nasipa.</w:t>
      </w:r>
    </w:p>
    <w:p w:rsidR="008F0D85" w:rsidRDefault="008F0D85">
      <w:pPr>
        <w:spacing w:after="0"/>
        <w:rPr>
          <w:rFonts w:eastAsia="Tahoma,Bold" w:cs="Calibri"/>
          <w:szCs w:val="24"/>
        </w:rPr>
      </w:pPr>
    </w:p>
    <w:p w:rsidR="008F0D85" w:rsidRDefault="00AE42A1">
      <w:pPr>
        <w:spacing w:after="0"/>
        <w:rPr>
          <w:rFonts w:eastAsia="Tahoma,Bold" w:cs="Calibri"/>
          <w:szCs w:val="24"/>
        </w:rPr>
      </w:pPr>
      <w:r>
        <w:rPr>
          <w:rFonts w:eastAsia="Tahoma,Bold" w:cs="Calibri"/>
          <w:szCs w:val="24"/>
        </w:rPr>
        <w:t>Za ovu dion</w:t>
      </w:r>
      <w:r>
        <w:rPr>
          <w:rFonts w:eastAsia="Tahoma,Bold" w:cs="Calibri"/>
          <w:szCs w:val="24"/>
        </w:rPr>
        <w:t>icu mjerodavan je vodostaj na cestovnom mostu u Budančevici, km 1+170.</w:t>
      </w:r>
    </w:p>
    <w:p w:rsidR="008F0D85" w:rsidRDefault="008F0D85">
      <w:pPr>
        <w:spacing w:after="0"/>
        <w:rPr>
          <w:rFonts w:eastAsia="Tahoma,Bold" w:cs="Calibri"/>
          <w:szCs w:val="24"/>
        </w:rPr>
      </w:pPr>
    </w:p>
    <w:p w:rsidR="008F0D85" w:rsidRDefault="00AE42A1">
      <w:pPr>
        <w:spacing w:after="0"/>
        <w:rPr>
          <w:rFonts w:eastAsia="Tahoma,Bold" w:cs="Calibri"/>
          <w:szCs w:val="24"/>
        </w:rPr>
      </w:pPr>
      <w:r>
        <w:rPr>
          <w:rFonts w:eastAsia="Tahoma,Bold" w:cs="Calibri"/>
          <w:szCs w:val="24"/>
        </w:rPr>
        <w:t>Prometni objekti s kojih se može pristupiti vodotocima na ovoj dionici obrane od poplave su:</w:t>
      </w:r>
    </w:p>
    <w:p w:rsidR="008F0D85" w:rsidRDefault="00AE42A1">
      <w:pPr>
        <w:pStyle w:val="Odlomakpopisa"/>
        <w:numPr>
          <w:ilvl w:val="0"/>
          <w:numId w:val="51"/>
        </w:numPr>
        <w:spacing w:after="0"/>
        <w:jc w:val="both"/>
        <w:rPr>
          <w:rFonts w:eastAsia="Tahoma,Bold" w:cs="Calibri"/>
          <w:sz w:val="24"/>
          <w:szCs w:val="24"/>
        </w:rPr>
      </w:pPr>
      <w:r>
        <w:rPr>
          <w:rFonts w:eastAsia="Tahoma,Bold" w:cs="Calibri"/>
          <w:sz w:val="24"/>
          <w:szCs w:val="24"/>
        </w:rPr>
        <w:lastRenderedPageBreak/>
        <w:t>most na cesti u Budančevici u km 1+170</w:t>
      </w:r>
    </w:p>
    <w:p w:rsidR="008F0D85" w:rsidRDefault="00AE42A1">
      <w:pPr>
        <w:pStyle w:val="Odlomakpopisa"/>
        <w:numPr>
          <w:ilvl w:val="0"/>
          <w:numId w:val="51"/>
        </w:numPr>
        <w:spacing w:after="0"/>
        <w:jc w:val="both"/>
        <w:rPr>
          <w:rFonts w:eastAsia="Tahoma,Bold" w:cs="Calibri"/>
          <w:sz w:val="24"/>
          <w:szCs w:val="24"/>
        </w:rPr>
      </w:pPr>
      <w:r>
        <w:rPr>
          <w:rFonts w:eastAsia="Tahoma,Bold" w:cs="Calibri"/>
          <w:sz w:val="24"/>
          <w:szCs w:val="24"/>
        </w:rPr>
        <w:t>drveni most na poljskom putu u km 1+580</w:t>
      </w:r>
    </w:p>
    <w:p w:rsidR="008F0D85" w:rsidRDefault="00AE42A1">
      <w:pPr>
        <w:pStyle w:val="Odlomakpopisa"/>
        <w:numPr>
          <w:ilvl w:val="0"/>
          <w:numId w:val="51"/>
        </w:numPr>
        <w:spacing w:after="0"/>
        <w:jc w:val="both"/>
        <w:rPr>
          <w:rFonts w:eastAsia="Tahoma,Bold" w:cs="Calibri"/>
          <w:sz w:val="24"/>
          <w:szCs w:val="24"/>
        </w:rPr>
      </w:pPr>
      <w:r>
        <w:rPr>
          <w:rFonts w:eastAsia="Tahoma,Bold" w:cs="Calibri"/>
          <w:sz w:val="24"/>
          <w:szCs w:val="24"/>
        </w:rPr>
        <w:t xml:space="preserve">drveni </w:t>
      </w:r>
      <w:r>
        <w:rPr>
          <w:rFonts w:eastAsia="Tahoma,Bold" w:cs="Calibri"/>
          <w:sz w:val="24"/>
          <w:szCs w:val="24"/>
        </w:rPr>
        <w:t>most na poljskom putu u km 1+910</w:t>
      </w:r>
    </w:p>
    <w:p w:rsidR="008F0D85" w:rsidRDefault="00AE42A1">
      <w:pPr>
        <w:pStyle w:val="Odlomakpopisa"/>
        <w:numPr>
          <w:ilvl w:val="0"/>
          <w:numId w:val="51"/>
        </w:numPr>
        <w:spacing w:after="0"/>
        <w:jc w:val="both"/>
        <w:rPr>
          <w:rFonts w:eastAsia="Tahoma,Bold" w:cs="Calibri"/>
          <w:sz w:val="24"/>
          <w:szCs w:val="24"/>
        </w:rPr>
      </w:pPr>
      <w:r>
        <w:rPr>
          <w:rFonts w:eastAsia="Tahoma,Bold" w:cs="Calibri"/>
          <w:sz w:val="24"/>
          <w:szCs w:val="24"/>
        </w:rPr>
        <w:t>betonski most na poljskom putu u km 2+420</w:t>
      </w:r>
    </w:p>
    <w:p w:rsidR="008F0D85" w:rsidRDefault="00AE42A1">
      <w:pPr>
        <w:pStyle w:val="Odlomakpopisa"/>
        <w:numPr>
          <w:ilvl w:val="0"/>
          <w:numId w:val="51"/>
        </w:numPr>
        <w:spacing w:after="0"/>
        <w:jc w:val="both"/>
        <w:rPr>
          <w:rFonts w:eastAsia="Tahoma,Bold" w:cs="Calibri"/>
          <w:sz w:val="24"/>
          <w:szCs w:val="24"/>
        </w:rPr>
      </w:pPr>
      <w:r>
        <w:rPr>
          <w:rFonts w:eastAsia="Tahoma,Bold" w:cs="Calibri"/>
          <w:sz w:val="24"/>
          <w:szCs w:val="24"/>
        </w:rPr>
        <w:t>željeznički most na pruzi KC-OS u km 2+720</w:t>
      </w:r>
    </w:p>
    <w:p w:rsidR="008F0D85" w:rsidRDefault="00AE42A1">
      <w:pPr>
        <w:pStyle w:val="Odlomakpopisa"/>
        <w:numPr>
          <w:ilvl w:val="0"/>
          <w:numId w:val="51"/>
        </w:numPr>
        <w:spacing w:after="0"/>
        <w:jc w:val="both"/>
        <w:rPr>
          <w:rFonts w:eastAsia="Tahoma,Bold" w:cs="Calibri"/>
          <w:sz w:val="24"/>
          <w:szCs w:val="24"/>
        </w:rPr>
      </w:pPr>
      <w:r>
        <w:rPr>
          <w:rFonts w:eastAsia="Tahoma,Bold" w:cs="Calibri"/>
          <w:sz w:val="24"/>
          <w:szCs w:val="24"/>
        </w:rPr>
        <w:t>betonski most na poljskom putu u km 5+900</w:t>
      </w:r>
    </w:p>
    <w:p w:rsidR="008F0D85" w:rsidRDefault="00AE42A1">
      <w:pPr>
        <w:pStyle w:val="Odlomakpopisa"/>
        <w:numPr>
          <w:ilvl w:val="0"/>
          <w:numId w:val="51"/>
        </w:numPr>
        <w:spacing w:after="0"/>
        <w:jc w:val="both"/>
        <w:rPr>
          <w:rFonts w:eastAsia="Tahoma,Bold" w:cs="Calibri"/>
          <w:sz w:val="24"/>
          <w:szCs w:val="24"/>
        </w:rPr>
      </w:pPr>
      <w:r>
        <w:rPr>
          <w:rFonts w:eastAsia="Tahoma,Bold" w:cs="Calibri"/>
          <w:sz w:val="24"/>
          <w:szCs w:val="24"/>
        </w:rPr>
        <w:t>cestovni most u Kozarevcu 9+100</w:t>
      </w:r>
    </w:p>
    <w:p w:rsidR="008F0D85" w:rsidRDefault="00AE42A1">
      <w:pPr>
        <w:pStyle w:val="Odlomakpopisa"/>
        <w:numPr>
          <w:ilvl w:val="0"/>
          <w:numId w:val="51"/>
        </w:numPr>
        <w:spacing w:after="0"/>
        <w:jc w:val="both"/>
        <w:rPr>
          <w:rFonts w:eastAsia="Tahoma,Bold" w:cs="Calibri"/>
          <w:sz w:val="24"/>
          <w:szCs w:val="24"/>
        </w:rPr>
      </w:pPr>
      <w:r>
        <w:rPr>
          <w:rFonts w:eastAsia="Tahoma,Bold" w:cs="Calibri"/>
          <w:sz w:val="24"/>
          <w:szCs w:val="24"/>
        </w:rPr>
        <w:t>cestovni most u Kozarevcu 10+880</w:t>
      </w:r>
    </w:p>
    <w:p w:rsidR="008F0D85" w:rsidRDefault="008F0D85">
      <w:pPr>
        <w:pStyle w:val="Odlomakpopisa"/>
        <w:spacing w:after="0"/>
        <w:jc w:val="both"/>
        <w:rPr>
          <w:rFonts w:eastAsia="Tahoma,Bold" w:cs="Calibri"/>
          <w:sz w:val="24"/>
          <w:szCs w:val="24"/>
        </w:rPr>
      </w:pPr>
    </w:p>
    <w:p w:rsidR="008F0D85" w:rsidRDefault="00AE42A1">
      <w:pPr>
        <w:spacing w:after="0"/>
        <w:rPr>
          <w:rFonts w:eastAsia="Tahoma,Bold" w:cs="Calibri"/>
          <w:szCs w:val="24"/>
        </w:rPr>
      </w:pPr>
      <w:r>
        <w:rPr>
          <w:rFonts w:eastAsia="Tahoma,Bold" w:cs="Calibri"/>
          <w:szCs w:val="24"/>
        </w:rPr>
        <w:t>Slaba mjesta na dionici: - dio</w:t>
      </w:r>
      <w:r>
        <w:rPr>
          <w:rFonts w:eastAsia="Tahoma,Bold" w:cs="Calibri"/>
          <w:szCs w:val="24"/>
        </w:rPr>
        <w:t>nica u nasipu od ušća do km 1+280</w:t>
      </w:r>
    </w:p>
    <w:p w:rsidR="008F0D85" w:rsidRDefault="00AE42A1">
      <w:pPr>
        <w:spacing w:after="0"/>
        <w:rPr>
          <w:rFonts w:eastAsia="Tahoma,Bold" w:cs="Calibri"/>
          <w:szCs w:val="24"/>
        </w:rPr>
      </w:pPr>
      <w:r>
        <w:rPr>
          <w:rFonts w:eastAsia="Tahoma,Bold" w:cs="Calibri"/>
          <w:szCs w:val="24"/>
        </w:rPr>
        <w:t>Područja ugrožena od poplave su naselja: Kozarevac, Kloštar Podravski i Budančevica</w:t>
      </w:r>
    </w:p>
    <w:p w:rsidR="008F0D85" w:rsidRDefault="00AE42A1">
      <w:pPr>
        <w:spacing w:after="0"/>
        <w:rPr>
          <w:rFonts w:eastAsia="Tahoma,Bold" w:cs="Calibri"/>
          <w:szCs w:val="24"/>
        </w:rPr>
      </w:pPr>
      <w:r>
        <w:rPr>
          <w:rFonts w:eastAsia="Tahoma,Bold" w:cs="Calibri"/>
          <w:szCs w:val="24"/>
        </w:rPr>
        <w:t>Druga crta obrane: ne postoji i nije potrebna</w:t>
      </w:r>
    </w:p>
    <w:p w:rsidR="008F0D85" w:rsidRDefault="00AE42A1">
      <w:pPr>
        <w:rPr>
          <w:rFonts w:eastAsia="Tahoma,Bold" w:cs="Calibri"/>
          <w:szCs w:val="24"/>
        </w:rPr>
      </w:pPr>
      <w:r>
        <w:rPr>
          <w:rFonts w:eastAsia="Tahoma,Bold" w:cs="Calibri"/>
          <w:szCs w:val="24"/>
        </w:rPr>
        <w:t>Evakuacija stanovništva: ako bude nužna, izvesti na povišene dijelove naselja.</w:t>
      </w:r>
    </w:p>
    <w:p w:rsidR="008F0D85" w:rsidRDefault="00AE42A1">
      <w:pPr>
        <w:jc w:val="center"/>
        <w:rPr>
          <w:rFonts w:cs="Calibri"/>
          <w:szCs w:val="24"/>
        </w:rPr>
      </w:pPr>
      <w:r>
        <w:rPr>
          <w:noProof/>
        </w:rPr>
        <w:drawing>
          <wp:inline distT="0" distB="0" distL="0" distR="0">
            <wp:extent cx="5734685" cy="4629785"/>
            <wp:effectExtent l="0" t="0" r="0" b="0"/>
            <wp:docPr id="65"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lika 14"/>
                    <pic:cNvPicPr>
                      <a:picLocks noChangeAspect="1" noChangeArrowheads="1"/>
                    </pic:cNvPicPr>
                  </pic:nvPicPr>
                  <pic:blipFill>
                    <a:blip r:embed="rId52"/>
                    <a:stretch>
                      <a:fillRect/>
                    </a:stretch>
                  </pic:blipFill>
                  <pic:spPr bwMode="auto">
                    <a:xfrm>
                      <a:off x="0" y="0"/>
                      <a:ext cx="5734685" cy="4629785"/>
                    </a:xfrm>
                    <a:prstGeom prst="rect">
                      <a:avLst/>
                    </a:prstGeom>
                  </pic:spPr>
                </pic:pic>
              </a:graphicData>
            </a:graphic>
          </wp:inline>
        </w:drawing>
      </w:r>
    </w:p>
    <w:p w:rsidR="008F0D85" w:rsidRDefault="00AE42A1">
      <w:pPr>
        <w:pStyle w:val="Opisslike"/>
      </w:pPr>
      <w:bookmarkStart w:id="735" w:name="_Toc527969589"/>
      <w:r>
        <w:t xml:space="preserve">Slika </w:t>
      </w:r>
      <w:r>
        <w:fldChar w:fldCharType="begin"/>
      </w:r>
      <w:r>
        <w:instrText>SEQ S</w:instrText>
      </w:r>
      <w:r>
        <w:instrText>lika \* ARABIC</w:instrText>
      </w:r>
      <w:r>
        <w:fldChar w:fldCharType="separate"/>
      </w:r>
      <w:r>
        <w:t>17</w:t>
      </w:r>
      <w:r>
        <w:fldChar w:fldCharType="end"/>
      </w:r>
      <w:bookmarkEnd w:id="735"/>
      <w:r>
        <w:t>: Prikaz kritične točke - naselje Kloštar Podravski</w:t>
      </w:r>
    </w:p>
    <w:p w:rsidR="008F0D85" w:rsidRDefault="00AE42A1">
      <w:pPr>
        <w:rPr>
          <w:sz w:val="20"/>
          <w:szCs w:val="20"/>
        </w:rPr>
      </w:pPr>
      <w:r>
        <w:rPr>
          <w:sz w:val="20"/>
          <w:szCs w:val="20"/>
        </w:rPr>
        <w:t>Izvor: ARKOD Preglednik, 2018.god.</w:t>
      </w:r>
    </w:p>
    <w:p w:rsidR="008F0D85" w:rsidRDefault="008F0D85">
      <w:pPr>
        <w:rPr>
          <w:sz w:val="20"/>
          <w:szCs w:val="20"/>
        </w:rPr>
      </w:pPr>
    </w:p>
    <w:p w:rsidR="008F0D85" w:rsidRDefault="00AE42A1">
      <w:pPr>
        <w:jc w:val="center"/>
        <w:rPr>
          <w:sz w:val="20"/>
          <w:szCs w:val="20"/>
        </w:rPr>
      </w:pPr>
      <w:r>
        <w:rPr>
          <w:noProof/>
        </w:rPr>
        <w:lastRenderedPageBreak/>
        <w:drawing>
          <wp:inline distT="0" distB="0" distL="0" distR="0">
            <wp:extent cx="5534660" cy="5277485"/>
            <wp:effectExtent l="0" t="0" r="0" b="0"/>
            <wp:docPr id="66"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ika 15"/>
                    <pic:cNvPicPr>
                      <a:picLocks noChangeAspect="1" noChangeArrowheads="1"/>
                    </pic:cNvPicPr>
                  </pic:nvPicPr>
                  <pic:blipFill>
                    <a:blip r:embed="rId53"/>
                    <a:stretch>
                      <a:fillRect/>
                    </a:stretch>
                  </pic:blipFill>
                  <pic:spPr bwMode="auto">
                    <a:xfrm>
                      <a:off x="0" y="0"/>
                      <a:ext cx="5534660" cy="5277485"/>
                    </a:xfrm>
                    <a:prstGeom prst="rect">
                      <a:avLst/>
                    </a:prstGeom>
                  </pic:spPr>
                </pic:pic>
              </a:graphicData>
            </a:graphic>
          </wp:inline>
        </w:drawing>
      </w:r>
    </w:p>
    <w:p w:rsidR="008F0D85" w:rsidRDefault="00AE42A1">
      <w:pPr>
        <w:pStyle w:val="Opisslike"/>
      </w:pPr>
      <w:bookmarkStart w:id="736" w:name="_Toc527969590"/>
      <w:r>
        <w:t xml:space="preserve">Slika </w:t>
      </w:r>
      <w:r>
        <w:fldChar w:fldCharType="begin"/>
      </w:r>
      <w:r>
        <w:instrText>SEQ Slika \* ARABIC</w:instrText>
      </w:r>
      <w:r>
        <w:fldChar w:fldCharType="separate"/>
      </w:r>
      <w:r>
        <w:t>18</w:t>
      </w:r>
      <w:r>
        <w:fldChar w:fldCharType="end"/>
      </w:r>
      <w:bookmarkEnd w:id="736"/>
      <w:r>
        <w:t>: Prikaz kritične točke - naselje Kozarevac</w:t>
      </w:r>
    </w:p>
    <w:p w:rsidR="008F0D85" w:rsidRDefault="00AE42A1">
      <w:pPr>
        <w:rPr>
          <w:sz w:val="20"/>
          <w:szCs w:val="20"/>
        </w:rPr>
      </w:pPr>
      <w:r>
        <w:rPr>
          <w:sz w:val="20"/>
          <w:szCs w:val="20"/>
        </w:rPr>
        <w:t>Izvor: ARKOD Preglednik, 2018.god.</w:t>
      </w:r>
    </w:p>
    <w:p w:rsidR="008F0D85" w:rsidRDefault="008F0D85">
      <w:pPr>
        <w:rPr>
          <w:sz w:val="20"/>
          <w:szCs w:val="20"/>
        </w:rPr>
      </w:pPr>
    </w:p>
    <w:p w:rsidR="008F0D85" w:rsidRDefault="008F0D85">
      <w:pPr>
        <w:rPr>
          <w:sz w:val="20"/>
          <w:szCs w:val="20"/>
        </w:rPr>
      </w:pPr>
    </w:p>
    <w:p w:rsidR="008F0D85" w:rsidRDefault="008F0D85">
      <w:pPr>
        <w:rPr>
          <w:sz w:val="20"/>
          <w:szCs w:val="20"/>
        </w:rPr>
      </w:pPr>
    </w:p>
    <w:p w:rsidR="008F0D85" w:rsidRDefault="008F0D85">
      <w:pPr>
        <w:rPr>
          <w:sz w:val="20"/>
          <w:szCs w:val="20"/>
        </w:rPr>
      </w:pPr>
    </w:p>
    <w:p w:rsidR="008F0D85" w:rsidRDefault="008F0D85">
      <w:pPr>
        <w:rPr>
          <w:sz w:val="20"/>
          <w:szCs w:val="20"/>
        </w:rPr>
      </w:pPr>
    </w:p>
    <w:p w:rsidR="008F0D85" w:rsidRDefault="008F0D85">
      <w:pPr>
        <w:rPr>
          <w:sz w:val="20"/>
          <w:szCs w:val="20"/>
        </w:rPr>
      </w:pPr>
    </w:p>
    <w:p w:rsidR="008F0D85" w:rsidRDefault="008F0D85">
      <w:pPr>
        <w:rPr>
          <w:sz w:val="20"/>
          <w:szCs w:val="20"/>
        </w:rPr>
      </w:pPr>
    </w:p>
    <w:p w:rsidR="008F0D85" w:rsidRDefault="008F0D85">
      <w:pPr>
        <w:rPr>
          <w:sz w:val="20"/>
          <w:szCs w:val="20"/>
        </w:rPr>
      </w:pPr>
    </w:p>
    <w:p w:rsidR="008F0D85" w:rsidRDefault="008F0D85">
      <w:pPr>
        <w:rPr>
          <w:sz w:val="20"/>
          <w:szCs w:val="20"/>
        </w:rPr>
      </w:pPr>
    </w:p>
    <w:p w:rsidR="008F0D85" w:rsidRDefault="00AE42A1">
      <w:pPr>
        <w:jc w:val="center"/>
        <w:rPr>
          <w:sz w:val="20"/>
          <w:szCs w:val="20"/>
          <w:lang w:val="en-US"/>
        </w:rPr>
      </w:pPr>
      <w:r>
        <w:rPr>
          <w:noProof/>
        </w:rPr>
        <w:lastRenderedPageBreak/>
        <w:drawing>
          <wp:inline distT="0" distB="0" distL="0" distR="0">
            <wp:extent cx="5725160" cy="4258310"/>
            <wp:effectExtent l="0" t="0" r="0" b="0"/>
            <wp:docPr id="67"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ika 64"/>
                    <pic:cNvPicPr>
                      <a:picLocks noChangeAspect="1" noChangeArrowheads="1"/>
                    </pic:cNvPicPr>
                  </pic:nvPicPr>
                  <pic:blipFill>
                    <a:blip r:embed="rId54"/>
                    <a:stretch>
                      <a:fillRect/>
                    </a:stretch>
                  </pic:blipFill>
                  <pic:spPr bwMode="auto">
                    <a:xfrm>
                      <a:off x="0" y="0"/>
                      <a:ext cx="5725160" cy="4258310"/>
                    </a:xfrm>
                    <a:prstGeom prst="rect">
                      <a:avLst/>
                    </a:prstGeom>
                  </pic:spPr>
                </pic:pic>
              </a:graphicData>
            </a:graphic>
          </wp:inline>
        </w:drawing>
      </w:r>
    </w:p>
    <w:p w:rsidR="008F0D85" w:rsidRDefault="00AE42A1">
      <w:pPr>
        <w:spacing w:after="240" w:line="240" w:lineRule="auto"/>
        <w:rPr>
          <w:rFonts w:cs="Arial"/>
          <w:b/>
          <w:bCs/>
          <w:sz w:val="20"/>
          <w:szCs w:val="20"/>
        </w:rPr>
      </w:pPr>
      <w:bookmarkStart w:id="737" w:name="_Toc514150988"/>
      <w:bookmarkStart w:id="738" w:name="_Toc514240408"/>
      <w:bookmarkStart w:id="739" w:name="_Toc516128497"/>
      <w:bookmarkStart w:id="740" w:name="_Toc527969591"/>
      <w:r>
        <w:rPr>
          <w:rFonts w:cs="Arial"/>
          <w:b/>
          <w:bCs/>
          <w:sz w:val="20"/>
          <w:szCs w:val="20"/>
        </w:rPr>
        <w:t xml:space="preserve">Slika </w:t>
      </w:r>
      <w:r>
        <w:rPr>
          <w:rFonts w:cs="Arial"/>
          <w:b/>
          <w:bCs/>
          <w:sz w:val="20"/>
          <w:szCs w:val="20"/>
        </w:rPr>
        <w:fldChar w:fldCharType="begin"/>
      </w:r>
      <w:r>
        <w:instrText xml:space="preserve">SEQ Slika \* </w:instrText>
      </w:r>
      <w:r>
        <w:instrText>ARABIC</w:instrText>
      </w:r>
      <w:r>
        <w:fldChar w:fldCharType="separate"/>
      </w:r>
      <w:r>
        <w:t>19</w:t>
      </w:r>
      <w:r>
        <w:fldChar w:fldCharType="end"/>
      </w:r>
      <w:bookmarkEnd w:id="737"/>
      <w:bookmarkEnd w:id="738"/>
      <w:bookmarkEnd w:id="739"/>
      <w:bookmarkEnd w:id="740"/>
      <w:r>
        <w:rPr>
          <w:rFonts w:cs="Arial"/>
          <w:b/>
          <w:bCs/>
          <w:sz w:val="20"/>
          <w:szCs w:val="20"/>
        </w:rPr>
        <w:t>: Prikaz odstupanja količina oborina za rujan 2017.god.</w:t>
      </w:r>
    </w:p>
    <w:p w:rsidR="008F0D85" w:rsidRDefault="00AE42A1">
      <w:pPr>
        <w:spacing w:after="240" w:line="240" w:lineRule="auto"/>
        <w:rPr>
          <w:sz w:val="20"/>
          <w:szCs w:val="20"/>
          <w:lang w:val="en-US"/>
        </w:rPr>
      </w:pPr>
      <w:r>
        <w:rPr>
          <w:sz w:val="20"/>
          <w:szCs w:val="20"/>
          <w:lang w:val="en-US"/>
        </w:rPr>
        <w:t>Izvor: DHMZ, 2018.god.</w:t>
      </w:r>
    </w:p>
    <w:p w:rsidR="008F0D85" w:rsidRDefault="008F0D85">
      <w:pPr>
        <w:spacing w:after="240" w:line="240" w:lineRule="auto"/>
        <w:rPr>
          <w:sz w:val="20"/>
          <w:szCs w:val="20"/>
          <w:lang w:val="en-US"/>
        </w:rPr>
      </w:pPr>
    </w:p>
    <w:p w:rsidR="008F0D85" w:rsidRDefault="00AE42A1">
      <w:pPr>
        <w:spacing w:after="0"/>
        <w:rPr>
          <w:rFonts w:cs="Calibri"/>
          <w:szCs w:val="24"/>
          <w:lang w:eastAsia="hr-HR"/>
        </w:rPr>
      </w:pPr>
      <w:r>
        <w:rPr>
          <w:rFonts w:cs="Calibri"/>
          <w:szCs w:val="24"/>
          <w:shd w:val="clear" w:color="auto" w:fill="FFFFFF"/>
          <w:lang w:eastAsia="hr-HR"/>
        </w:rPr>
        <w:t xml:space="preserve">Analiza količina oborine za rujan 2017.god. koje su izražene u postotcima (%) višegodišnjeg prosjeka (1961. - 1990.) pokazuje da su količine oborine bile iznad prosjeka na svim analiziranim postajama. </w:t>
      </w:r>
      <w:r>
        <w:rPr>
          <w:rFonts w:cs="Calibri"/>
          <w:szCs w:val="24"/>
          <w:lang w:eastAsia="hr-HR"/>
        </w:rPr>
        <w:t>Rujanske količine oborine nadmašile najveće rujanske ko</w:t>
      </w:r>
      <w:r>
        <w:rPr>
          <w:rFonts w:cs="Calibri"/>
          <w:szCs w:val="24"/>
          <w:lang w:eastAsia="hr-HR"/>
        </w:rPr>
        <w:t>ličine u povijesti mjerenja. Oborinske prilike u Hrvatskoj za rujan 2017.god. opisane su sljedećim kategorijama: </w:t>
      </w:r>
      <w:r>
        <w:rPr>
          <w:rFonts w:cs="Calibri"/>
          <w:b/>
          <w:bCs/>
          <w:szCs w:val="24"/>
          <w:lang w:eastAsia="hr-HR"/>
        </w:rPr>
        <w:t>kišno</w:t>
      </w:r>
      <w:r>
        <w:rPr>
          <w:rFonts w:cs="Calibri"/>
          <w:szCs w:val="24"/>
          <w:lang w:eastAsia="hr-HR"/>
        </w:rPr>
        <w:t> (dio istočne Hrvatske, dio srednjeg Jadrana i zaleđa te šire područje Rijeke i Dubrovnika), </w:t>
      </w:r>
      <w:r>
        <w:rPr>
          <w:rFonts w:cs="Calibri"/>
          <w:b/>
          <w:bCs/>
          <w:szCs w:val="24"/>
          <w:lang w:eastAsia="hr-HR"/>
        </w:rPr>
        <w:t>vrlo kišno</w:t>
      </w:r>
      <w:r>
        <w:rPr>
          <w:rFonts w:cs="Calibri"/>
          <w:szCs w:val="24"/>
          <w:lang w:eastAsia="hr-HR"/>
        </w:rPr>
        <w:t>(dio sjevernog i srednjeg Jadrana i</w:t>
      </w:r>
      <w:r>
        <w:rPr>
          <w:rFonts w:cs="Calibri"/>
          <w:szCs w:val="24"/>
          <w:lang w:eastAsia="hr-HR"/>
        </w:rPr>
        <w:t xml:space="preserve"> zaleđa te dio središnje i sjeveroistočne Hrvatske), </w:t>
      </w:r>
      <w:r>
        <w:rPr>
          <w:rFonts w:cs="Calibri"/>
          <w:b/>
          <w:bCs/>
          <w:szCs w:val="24"/>
          <w:lang w:eastAsia="hr-HR"/>
        </w:rPr>
        <w:t>normalno</w:t>
      </w:r>
      <w:r>
        <w:rPr>
          <w:rFonts w:cs="Calibri"/>
          <w:szCs w:val="24"/>
          <w:lang w:eastAsia="hr-HR"/>
        </w:rPr>
        <w:t>(dio južnog Jadrana) i </w:t>
      </w:r>
      <w:r>
        <w:rPr>
          <w:rFonts w:cs="Calibri"/>
          <w:b/>
          <w:bCs/>
          <w:szCs w:val="24"/>
          <w:lang w:eastAsia="hr-HR"/>
        </w:rPr>
        <w:t>ekstremno kišno</w:t>
      </w:r>
      <w:r>
        <w:rPr>
          <w:rFonts w:cs="Calibri"/>
          <w:szCs w:val="24"/>
          <w:lang w:eastAsia="hr-HR"/>
        </w:rPr>
        <w:t> (preostali dio Hrvatske).</w:t>
      </w:r>
    </w:p>
    <w:p w:rsidR="008F0D85" w:rsidRDefault="008F0D85">
      <w:pPr>
        <w:spacing w:after="240" w:line="240" w:lineRule="auto"/>
        <w:rPr>
          <w:sz w:val="20"/>
          <w:szCs w:val="20"/>
          <w:lang w:val="en-US"/>
        </w:rPr>
      </w:pPr>
    </w:p>
    <w:p w:rsidR="008F0D85" w:rsidRDefault="00AE42A1">
      <w:pPr>
        <w:spacing w:after="0" w:line="240" w:lineRule="auto"/>
        <w:jc w:val="center"/>
        <w:rPr>
          <w:sz w:val="20"/>
          <w:szCs w:val="20"/>
          <w:lang w:val="en-US"/>
        </w:rPr>
      </w:pPr>
      <w:r>
        <w:rPr>
          <w:noProof/>
        </w:rPr>
        <w:lastRenderedPageBreak/>
        <w:drawing>
          <wp:inline distT="0" distB="0" distL="0" distR="0">
            <wp:extent cx="5725160" cy="4725035"/>
            <wp:effectExtent l="0" t="0" r="0" b="0"/>
            <wp:docPr id="68"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lika 25"/>
                    <pic:cNvPicPr>
                      <a:picLocks noChangeAspect="1" noChangeArrowheads="1"/>
                    </pic:cNvPicPr>
                  </pic:nvPicPr>
                  <pic:blipFill>
                    <a:blip r:embed="rId55"/>
                    <a:stretch>
                      <a:fillRect/>
                    </a:stretch>
                  </pic:blipFill>
                  <pic:spPr bwMode="auto">
                    <a:xfrm>
                      <a:off x="0" y="0"/>
                      <a:ext cx="5725160" cy="4725035"/>
                    </a:xfrm>
                    <a:prstGeom prst="rect">
                      <a:avLst/>
                    </a:prstGeom>
                  </pic:spPr>
                </pic:pic>
              </a:graphicData>
            </a:graphic>
          </wp:inline>
        </w:drawing>
      </w:r>
    </w:p>
    <w:p w:rsidR="008F0D85" w:rsidRDefault="00AE42A1">
      <w:pPr>
        <w:spacing w:after="240" w:line="240" w:lineRule="auto"/>
        <w:rPr>
          <w:rFonts w:cs="Arial"/>
          <w:b/>
          <w:bCs/>
          <w:sz w:val="20"/>
          <w:szCs w:val="20"/>
        </w:rPr>
      </w:pPr>
      <w:bookmarkStart w:id="741" w:name="_Toc514150989"/>
      <w:bookmarkStart w:id="742" w:name="_Toc514240409"/>
      <w:bookmarkStart w:id="743" w:name="_Toc516128498"/>
      <w:bookmarkStart w:id="744" w:name="_Toc527969592"/>
      <w:r>
        <w:rPr>
          <w:rFonts w:cs="Arial"/>
          <w:b/>
          <w:bCs/>
          <w:sz w:val="20"/>
          <w:szCs w:val="20"/>
        </w:rPr>
        <w:t xml:space="preserve">Slika </w:t>
      </w:r>
      <w:r>
        <w:rPr>
          <w:rFonts w:cs="Arial"/>
          <w:b/>
          <w:bCs/>
          <w:sz w:val="20"/>
          <w:szCs w:val="20"/>
        </w:rPr>
        <w:fldChar w:fldCharType="begin"/>
      </w:r>
      <w:r>
        <w:instrText>SEQ Slika \* ARABIC</w:instrText>
      </w:r>
      <w:r>
        <w:fldChar w:fldCharType="separate"/>
      </w:r>
      <w:r>
        <w:t>20</w:t>
      </w:r>
      <w:r>
        <w:fldChar w:fldCharType="end"/>
      </w:r>
      <w:bookmarkEnd w:id="741"/>
      <w:bookmarkEnd w:id="742"/>
      <w:bookmarkEnd w:id="743"/>
      <w:bookmarkEnd w:id="744"/>
      <w:r>
        <w:rPr>
          <w:rFonts w:cs="Arial"/>
          <w:b/>
          <w:bCs/>
          <w:sz w:val="20"/>
          <w:szCs w:val="20"/>
        </w:rPr>
        <w:t>: Prikaz odstupanja količina oborina za veljaču 2018.god.</w:t>
      </w:r>
    </w:p>
    <w:p w:rsidR="008F0D85" w:rsidRDefault="00AE42A1">
      <w:pPr>
        <w:spacing w:after="240" w:line="240" w:lineRule="auto"/>
        <w:rPr>
          <w:sz w:val="20"/>
          <w:szCs w:val="20"/>
          <w:lang w:val="en-US"/>
        </w:rPr>
      </w:pPr>
      <w:r>
        <w:rPr>
          <w:sz w:val="20"/>
          <w:szCs w:val="20"/>
          <w:lang w:val="en-US"/>
        </w:rPr>
        <w:t>Izvor: DHMZ, 2018.god.</w:t>
      </w:r>
    </w:p>
    <w:p w:rsidR="008F0D85" w:rsidRDefault="00AE42A1">
      <w:pPr>
        <w:spacing w:after="0"/>
        <w:rPr>
          <w:rFonts w:cs="Calibri"/>
          <w:szCs w:val="24"/>
          <w:highlight w:val="white"/>
          <w:lang w:eastAsia="hr-HR"/>
        </w:rPr>
      </w:pPr>
      <w:r>
        <w:rPr>
          <w:rFonts w:cs="Calibri"/>
          <w:szCs w:val="24"/>
          <w:shd w:val="clear" w:color="auto" w:fill="FFFFFF"/>
          <w:lang w:eastAsia="hr-HR"/>
        </w:rPr>
        <w:t>Analiza količina</w:t>
      </w:r>
      <w:r>
        <w:rPr>
          <w:rFonts w:cs="Calibri"/>
          <w:szCs w:val="24"/>
          <w:shd w:val="clear" w:color="auto" w:fill="FFFFFF"/>
          <w:lang w:eastAsia="hr-HR"/>
        </w:rPr>
        <w:t xml:space="preserve"> oborine za veljaču 2018.god. koje su izražene u postotcima (%) višegodišnjeg prosjeka (1961. - 1990.) pokazuje da su količine oborine bile iznad višegodišnjeg prosjeka izuzevši postaju Rijeka. Usporedba s višegodišnjim prosjekom pokazuje da se količine ob</w:t>
      </w:r>
      <w:r>
        <w:rPr>
          <w:rFonts w:cs="Calibri"/>
          <w:szCs w:val="24"/>
          <w:shd w:val="clear" w:color="auto" w:fill="FFFFFF"/>
          <w:lang w:eastAsia="hr-HR"/>
        </w:rPr>
        <w:t>orine za veljaču 2018.god. nalaze u rasponu od 83 % višegodišnjeg prosjeka u Rijeci (98,2 mm) do 292 % tog prosjeka u Karlovcu (192,1 mm).</w:t>
      </w:r>
    </w:p>
    <w:p w:rsidR="008F0D85" w:rsidRDefault="008F0D85">
      <w:pPr>
        <w:spacing w:after="0"/>
        <w:rPr>
          <w:rFonts w:cs="Calibri"/>
          <w:szCs w:val="24"/>
          <w:lang w:eastAsia="hr-HR"/>
        </w:rPr>
      </w:pPr>
    </w:p>
    <w:p w:rsidR="008F0D85" w:rsidRDefault="00AE42A1">
      <w:pPr>
        <w:shd w:val="clear" w:color="auto" w:fill="FFFFFF"/>
        <w:spacing w:beforeAutospacing="1" w:afterAutospacing="1"/>
        <w:rPr>
          <w:rFonts w:cs="Calibri"/>
          <w:szCs w:val="24"/>
          <w:lang w:eastAsia="hr-HR"/>
        </w:rPr>
      </w:pPr>
      <w:r>
        <w:rPr>
          <w:rFonts w:cs="Calibri"/>
          <w:szCs w:val="24"/>
          <w:lang w:eastAsia="hr-HR"/>
        </w:rPr>
        <w:t>Oborinske prilike u Hrvatskoj za veljaču 2018.god. opisane su sljedećim kategorijama: </w:t>
      </w:r>
      <w:r>
        <w:rPr>
          <w:rFonts w:cs="Calibri"/>
          <w:b/>
          <w:bCs/>
          <w:szCs w:val="24"/>
          <w:lang w:eastAsia="hr-HR"/>
        </w:rPr>
        <w:t>normalno</w:t>
      </w:r>
      <w:r>
        <w:rPr>
          <w:rFonts w:cs="Calibri"/>
          <w:szCs w:val="24"/>
          <w:lang w:eastAsia="hr-HR"/>
        </w:rPr>
        <w:t> (šire područje Rijeke</w:t>
      </w:r>
      <w:r>
        <w:rPr>
          <w:rFonts w:cs="Calibri"/>
          <w:szCs w:val="24"/>
          <w:lang w:eastAsia="hr-HR"/>
        </w:rPr>
        <w:t xml:space="preserve"> i Dubrovnika), </w:t>
      </w:r>
      <w:r>
        <w:rPr>
          <w:rFonts w:cs="Calibri"/>
          <w:b/>
          <w:bCs/>
          <w:szCs w:val="24"/>
          <w:lang w:eastAsia="hr-HR"/>
        </w:rPr>
        <w:t>ekstremno kišno</w:t>
      </w:r>
      <w:r>
        <w:rPr>
          <w:rFonts w:cs="Calibri"/>
          <w:szCs w:val="24"/>
          <w:lang w:eastAsia="hr-HR"/>
        </w:rPr>
        <w:t> (šire područje Poreča i dio središnje Hrvatske), </w:t>
      </w:r>
      <w:r>
        <w:rPr>
          <w:rFonts w:cs="Calibri"/>
          <w:b/>
          <w:bCs/>
          <w:szCs w:val="24"/>
          <w:lang w:eastAsia="hr-HR"/>
        </w:rPr>
        <w:t>vrlo kišno</w:t>
      </w:r>
      <w:r>
        <w:rPr>
          <w:rFonts w:cs="Calibri"/>
          <w:szCs w:val="24"/>
          <w:lang w:eastAsia="hr-HR"/>
        </w:rPr>
        <w:t> (šire područje Paga, dio sjevernog Jadrana, Like te dio sjeverozapadne i istočne Hrvatske) i </w:t>
      </w:r>
      <w:r>
        <w:rPr>
          <w:rFonts w:cs="Calibri"/>
          <w:b/>
          <w:bCs/>
          <w:szCs w:val="24"/>
          <w:lang w:eastAsia="hr-HR"/>
        </w:rPr>
        <w:t>kišno</w:t>
      </w:r>
      <w:r>
        <w:rPr>
          <w:rFonts w:cs="Calibri"/>
          <w:szCs w:val="24"/>
          <w:lang w:eastAsia="hr-HR"/>
        </w:rPr>
        <w:t> (preostali dio Hrvatske).</w:t>
      </w:r>
    </w:p>
    <w:p w:rsidR="008F0D85" w:rsidRDefault="008F0D85">
      <w:pPr>
        <w:spacing w:after="0"/>
        <w:rPr>
          <w:rFonts w:cs="Calibri"/>
          <w:szCs w:val="24"/>
          <w:lang w:eastAsia="hr-HR"/>
        </w:rPr>
      </w:pPr>
    </w:p>
    <w:p w:rsidR="008F0D85" w:rsidRDefault="008F0D85">
      <w:pPr>
        <w:jc w:val="center"/>
        <w:rPr>
          <w:sz w:val="20"/>
          <w:szCs w:val="20"/>
        </w:rPr>
      </w:pPr>
    </w:p>
    <w:p w:rsidR="008F0D85" w:rsidRDefault="008F0D85">
      <w:pPr>
        <w:spacing w:after="0"/>
        <w:jc w:val="center"/>
        <w:rPr>
          <w:rFonts w:cs="Calibri"/>
          <w:szCs w:val="24"/>
        </w:rPr>
      </w:pPr>
    </w:p>
    <w:p w:rsidR="008F0D85" w:rsidRDefault="008F0D85">
      <w:pPr>
        <w:rPr>
          <w:rFonts w:cs="Calibri"/>
          <w:szCs w:val="24"/>
        </w:rPr>
      </w:pPr>
    </w:p>
    <w:p w:rsidR="008F0D85" w:rsidRDefault="00AE42A1">
      <w:pPr>
        <w:pStyle w:val="Naslov4"/>
      </w:pPr>
      <w:bookmarkStart w:id="745" w:name="_Toc512434651"/>
      <w:bookmarkStart w:id="746" w:name="_Toc514240220"/>
      <w:bookmarkStart w:id="747" w:name="_Toc516128324"/>
      <w:bookmarkStart w:id="748" w:name="_Toc527969419"/>
      <w:bookmarkEnd w:id="745"/>
      <w:bookmarkEnd w:id="746"/>
      <w:bookmarkEnd w:id="747"/>
      <w:bookmarkEnd w:id="748"/>
      <w:r>
        <w:lastRenderedPageBreak/>
        <w:t>6.4.1.5. Uzrok nastanka poplava</w:t>
      </w:r>
    </w:p>
    <w:p w:rsidR="008F0D85" w:rsidRDefault="008F0D85">
      <w:pPr>
        <w:rPr>
          <w:lang w:eastAsia="hr-HR"/>
        </w:rPr>
      </w:pPr>
    </w:p>
    <w:p w:rsidR="008F0D85" w:rsidRDefault="00AE42A1">
      <w:pPr>
        <w:spacing w:after="0"/>
      </w:pPr>
      <w:r>
        <w:rPr>
          <w:rFonts w:cs="Calibri"/>
          <w:color w:val="000000"/>
          <w:szCs w:val="24"/>
          <w:lang w:eastAsia="hr-HR"/>
        </w:rPr>
        <w:t>Po</w:t>
      </w:r>
      <w:r>
        <w:rPr>
          <w:rFonts w:cs="Calibri"/>
          <w:color w:val="000000"/>
          <w:szCs w:val="24"/>
          <w:lang w:eastAsia="hr-HR"/>
        </w:rPr>
        <w:t>plave su jedna od geofizičkih pojava</w:t>
      </w:r>
      <w:r>
        <w:rPr>
          <w:rFonts w:cs="Calibri"/>
          <w:bCs/>
          <w:color w:val="000033"/>
          <w:shd w:val="clear" w:color="auto" w:fill="FFFFFF"/>
        </w:rPr>
        <w:t xml:space="preserve">, </w:t>
      </w:r>
      <w:r>
        <w:rPr>
          <w:rFonts w:cs="Calibri"/>
          <w:bCs/>
          <w:shd w:val="clear" w:color="auto" w:fill="FFFFFF"/>
        </w:rPr>
        <w:t xml:space="preserve">odnosno </w:t>
      </w:r>
      <w:r>
        <w:rPr>
          <w:rFonts w:cs="Calibri"/>
          <w:szCs w:val="24"/>
          <w:shd w:val="clear" w:color="auto" w:fill="FFFFFF"/>
        </w:rPr>
        <w:t>pojava neuobičajeno velike količine </w:t>
      </w:r>
      <w:hyperlink r:id="rId56" w:tgtFrame="Voda">
        <w:r>
          <w:rPr>
            <w:rStyle w:val="Internetskapoveznica"/>
            <w:rFonts w:cs="Calibri"/>
            <w:szCs w:val="24"/>
            <w:highlight w:val="white"/>
          </w:rPr>
          <w:t>vode</w:t>
        </w:r>
      </w:hyperlink>
      <w:r>
        <w:rPr>
          <w:rFonts w:cs="Calibri"/>
          <w:szCs w:val="24"/>
          <w:shd w:val="clear" w:color="auto" w:fill="FFFFFF"/>
        </w:rPr>
        <w:t> na određenom mjestu zbog djelovanja prirodnih sila (velika količina </w:t>
      </w:r>
      <w:hyperlink r:id="rId57" w:tgtFrame="Oborine">
        <w:r>
          <w:rPr>
            <w:rStyle w:val="Internetskapoveznica"/>
            <w:rFonts w:cs="Calibri"/>
            <w:szCs w:val="24"/>
            <w:highlight w:val="white"/>
          </w:rPr>
          <w:t>oborina</w:t>
        </w:r>
      </w:hyperlink>
      <w:r>
        <w:rPr>
          <w:rFonts w:cs="Calibri"/>
          <w:szCs w:val="24"/>
          <w:shd w:val="clear" w:color="auto" w:fill="FFFFFF"/>
        </w:rPr>
        <w:t>) ili drugih uzroka kao što su propuštanje </w:t>
      </w:r>
      <w:hyperlink r:id="rId58" w:tgtFrame="Brana">
        <w:r>
          <w:rPr>
            <w:rStyle w:val="Internetskapoveznica"/>
            <w:rFonts w:cs="Calibri"/>
            <w:szCs w:val="24"/>
            <w:highlight w:val="white"/>
          </w:rPr>
          <w:t>brana</w:t>
        </w:r>
      </w:hyperlink>
      <w:r>
        <w:rPr>
          <w:rFonts w:cs="Calibri"/>
          <w:szCs w:val="24"/>
          <w:shd w:val="clear" w:color="auto" w:fill="FFFFFF"/>
        </w:rPr>
        <w:t>, ratna razaranja i sl.</w:t>
      </w:r>
    </w:p>
    <w:p w:rsidR="008F0D85" w:rsidRDefault="00AE42A1">
      <w:pPr>
        <w:shd w:val="clear" w:color="auto" w:fill="FFFFFF"/>
        <w:spacing w:before="120" w:after="120" w:line="240" w:lineRule="auto"/>
        <w:jc w:val="left"/>
        <w:rPr>
          <w:rFonts w:cs="Calibri"/>
          <w:szCs w:val="24"/>
          <w:lang w:eastAsia="hr-HR"/>
        </w:rPr>
      </w:pPr>
      <w:r>
        <w:rPr>
          <w:rFonts w:cs="Calibri"/>
          <w:szCs w:val="24"/>
          <w:lang w:eastAsia="hr-HR"/>
        </w:rPr>
        <w:t xml:space="preserve">Prema uzrocima nastanka poplave se mogu </w:t>
      </w:r>
      <w:r>
        <w:rPr>
          <w:rFonts w:cs="Calibri"/>
          <w:szCs w:val="24"/>
          <w:lang w:eastAsia="hr-HR"/>
        </w:rPr>
        <w:t>podijeliti na:</w:t>
      </w:r>
    </w:p>
    <w:p w:rsidR="008F0D85" w:rsidRDefault="00AE42A1">
      <w:pPr>
        <w:numPr>
          <w:ilvl w:val="0"/>
          <w:numId w:val="52"/>
        </w:numPr>
        <w:shd w:val="clear" w:color="auto" w:fill="FFFFFF"/>
        <w:tabs>
          <w:tab w:val="left" w:pos="720"/>
        </w:tabs>
        <w:spacing w:before="100" w:after="24" w:line="240" w:lineRule="auto"/>
        <w:ind w:left="384"/>
        <w:jc w:val="left"/>
        <w:rPr>
          <w:rFonts w:cs="Calibri"/>
          <w:szCs w:val="24"/>
          <w:lang w:eastAsia="hr-HR"/>
        </w:rPr>
      </w:pPr>
      <w:r>
        <w:rPr>
          <w:rFonts w:cs="Calibri"/>
          <w:szCs w:val="24"/>
          <w:lang w:eastAsia="hr-HR"/>
        </w:rPr>
        <w:t>poplave nastale zbog jakih oborina,</w:t>
      </w:r>
    </w:p>
    <w:p w:rsidR="008F0D85" w:rsidRDefault="00AE42A1">
      <w:pPr>
        <w:numPr>
          <w:ilvl w:val="0"/>
          <w:numId w:val="52"/>
        </w:numPr>
        <w:shd w:val="clear" w:color="auto" w:fill="FFFFFF"/>
        <w:tabs>
          <w:tab w:val="left" w:pos="720"/>
        </w:tabs>
        <w:spacing w:before="100" w:after="24" w:line="240" w:lineRule="auto"/>
        <w:ind w:left="384"/>
        <w:jc w:val="left"/>
      </w:pPr>
      <w:r>
        <w:rPr>
          <w:rFonts w:cs="Calibri"/>
          <w:szCs w:val="24"/>
          <w:lang w:eastAsia="hr-HR"/>
        </w:rPr>
        <w:t>poplave nastale zbog nagomilavanja </w:t>
      </w:r>
      <w:hyperlink r:id="rId59" w:tgtFrame="Led">
        <w:r>
          <w:rPr>
            <w:rStyle w:val="Internetskapoveznica"/>
            <w:rFonts w:cs="Calibri"/>
            <w:szCs w:val="24"/>
            <w:lang w:eastAsia="hr-HR"/>
          </w:rPr>
          <w:t>leda</w:t>
        </w:r>
      </w:hyperlink>
      <w:r>
        <w:rPr>
          <w:rFonts w:cs="Calibri"/>
          <w:szCs w:val="24"/>
          <w:lang w:eastAsia="hr-HR"/>
        </w:rPr>
        <w:t> u </w:t>
      </w:r>
      <w:hyperlink r:id="rId60" w:tgtFrame="Vodotok">
        <w:r>
          <w:rPr>
            <w:rStyle w:val="Internetskapoveznica"/>
            <w:rFonts w:cs="Calibri"/>
            <w:szCs w:val="24"/>
            <w:lang w:eastAsia="hr-HR"/>
          </w:rPr>
          <w:t>vodotocima</w:t>
        </w:r>
      </w:hyperlink>
      <w:r>
        <w:rPr>
          <w:rFonts w:cs="Calibri"/>
          <w:szCs w:val="24"/>
          <w:lang w:eastAsia="hr-HR"/>
        </w:rPr>
        <w:t>,</w:t>
      </w:r>
    </w:p>
    <w:p w:rsidR="008F0D85" w:rsidRDefault="00AE42A1">
      <w:pPr>
        <w:numPr>
          <w:ilvl w:val="0"/>
          <w:numId w:val="52"/>
        </w:numPr>
        <w:shd w:val="clear" w:color="auto" w:fill="FFFFFF"/>
        <w:tabs>
          <w:tab w:val="left" w:pos="720"/>
        </w:tabs>
        <w:spacing w:before="100" w:after="24" w:line="240" w:lineRule="auto"/>
        <w:ind w:left="384"/>
        <w:jc w:val="left"/>
      </w:pPr>
      <w:r>
        <w:rPr>
          <w:rFonts w:cs="Calibri"/>
          <w:szCs w:val="24"/>
          <w:lang w:eastAsia="hr-HR"/>
        </w:rPr>
        <w:t>poplave nastale zbo</w:t>
      </w:r>
      <w:r>
        <w:rPr>
          <w:rFonts w:cs="Calibri"/>
          <w:szCs w:val="24"/>
          <w:lang w:eastAsia="hr-HR"/>
        </w:rPr>
        <w:t>g klizanja tla ili </w:t>
      </w:r>
      <w:hyperlink r:id="rId61" w:tgtFrame="Potres">
        <w:r>
          <w:rPr>
            <w:rStyle w:val="Internetskapoveznica"/>
            <w:rFonts w:cs="Calibri"/>
            <w:szCs w:val="24"/>
            <w:lang w:eastAsia="hr-HR"/>
          </w:rPr>
          <w:t>potresa</w:t>
        </w:r>
      </w:hyperlink>
      <w:r>
        <w:rPr>
          <w:rFonts w:cs="Calibri"/>
          <w:szCs w:val="24"/>
          <w:lang w:eastAsia="hr-HR"/>
        </w:rPr>
        <w:t>,</w:t>
      </w:r>
    </w:p>
    <w:p w:rsidR="008F0D85" w:rsidRDefault="00AE42A1">
      <w:pPr>
        <w:numPr>
          <w:ilvl w:val="0"/>
          <w:numId w:val="52"/>
        </w:numPr>
        <w:shd w:val="clear" w:color="auto" w:fill="FFFFFF"/>
        <w:tabs>
          <w:tab w:val="left" w:pos="720"/>
        </w:tabs>
        <w:spacing w:before="100" w:after="24" w:line="240" w:lineRule="auto"/>
        <w:ind w:left="384"/>
        <w:jc w:val="left"/>
        <w:rPr>
          <w:rFonts w:cs="Calibri"/>
          <w:szCs w:val="24"/>
          <w:lang w:eastAsia="hr-HR"/>
        </w:rPr>
      </w:pPr>
      <w:bookmarkStart w:id="749" w:name="_Hlk497984111"/>
      <w:bookmarkEnd w:id="749"/>
      <w:r>
        <w:rPr>
          <w:rFonts w:cs="Calibri"/>
          <w:szCs w:val="24"/>
          <w:lang w:eastAsia="hr-HR"/>
        </w:rPr>
        <w:t>poplave nastale zbog rušenja brane ili ratnih razaranja.</w:t>
      </w:r>
    </w:p>
    <w:p w:rsidR="008F0D85" w:rsidRDefault="008F0D85">
      <w:pPr>
        <w:shd w:val="clear" w:color="auto" w:fill="FFFFFF"/>
        <w:tabs>
          <w:tab w:val="left" w:pos="720"/>
        </w:tabs>
        <w:spacing w:before="100" w:after="24" w:line="240" w:lineRule="auto"/>
        <w:ind w:left="384"/>
        <w:jc w:val="left"/>
        <w:rPr>
          <w:rFonts w:cs="Calibri"/>
          <w:szCs w:val="24"/>
          <w:lang w:eastAsia="hr-HR"/>
        </w:rPr>
      </w:pPr>
    </w:p>
    <w:p w:rsidR="008F0D85" w:rsidRDefault="00AE42A1">
      <w:pPr>
        <w:shd w:val="clear" w:color="auto" w:fill="FFFFFF"/>
        <w:spacing w:before="120" w:after="120" w:line="240" w:lineRule="auto"/>
        <w:jc w:val="left"/>
        <w:rPr>
          <w:rFonts w:cs="Calibri"/>
          <w:szCs w:val="24"/>
          <w:lang w:eastAsia="hr-HR"/>
        </w:rPr>
      </w:pPr>
      <w:r>
        <w:rPr>
          <w:rFonts w:cs="Calibri"/>
          <w:szCs w:val="24"/>
          <w:lang w:eastAsia="hr-HR"/>
        </w:rPr>
        <w:t>S obzirom na vrijeme formiranja vodnog vala poplave se mogu razvrstati na:</w:t>
      </w:r>
    </w:p>
    <w:p w:rsidR="008F0D85" w:rsidRDefault="00AE42A1">
      <w:pPr>
        <w:numPr>
          <w:ilvl w:val="0"/>
          <w:numId w:val="53"/>
        </w:numPr>
        <w:shd w:val="clear" w:color="auto" w:fill="FFFFFF"/>
        <w:tabs>
          <w:tab w:val="left" w:pos="720"/>
        </w:tabs>
        <w:spacing w:before="100" w:after="24" w:line="240" w:lineRule="auto"/>
        <w:ind w:left="384"/>
        <w:jc w:val="left"/>
        <w:rPr>
          <w:rFonts w:cs="Calibri"/>
          <w:szCs w:val="24"/>
          <w:lang w:eastAsia="hr-HR"/>
        </w:rPr>
      </w:pPr>
      <w:r>
        <w:rPr>
          <w:rFonts w:cs="Calibri"/>
          <w:szCs w:val="24"/>
          <w:lang w:eastAsia="hr-HR"/>
        </w:rPr>
        <w:t xml:space="preserve">mirne poplave - poplave na </w:t>
      </w:r>
      <w:r>
        <w:rPr>
          <w:rFonts w:cs="Calibri"/>
          <w:szCs w:val="24"/>
          <w:lang w:eastAsia="hr-HR"/>
        </w:rPr>
        <w:t>velikim rijekama kod kojih je potrebno deset i više sati za formiranje velikog vodnog vala,</w:t>
      </w:r>
    </w:p>
    <w:p w:rsidR="008F0D85" w:rsidRDefault="00AE42A1">
      <w:pPr>
        <w:numPr>
          <w:ilvl w:val="0"/>
          <w:numId w:val="53"/>
        </w:numPr>
        <w:shd w:val="clear" w:color="auto" w:fill="FFFFFF"/>
        <w:tabs>
          <w:tab w:val="left" w:pos="720"/>
        </w:tabs>
        <w:spacing w:before="100" w:after="24" w:line="240" w:lineRule="auto"/>
        <w:ind w:left="384"/>
        <w:jc w:val="left"/>
        <w:rPr>
          <w:rFonts w:cs="Calibri"/>
          <w:szCs w:val="24"/>
          <w:lang w:eastAsia="hr-HR"/>
        </w:rPr>
      </w:pPr>
      <w:r>
        <w:rPr>
          <w:rFonts w:cs="Calibri"/>
          <w:szCs w:val="24"/>
          <w:lang w:eastAsia="hr-HR"/>
        </w:rPr>
        <w:t>bujične poplave - poplave na brdskim vodotocima kod kojih se formira veliki vodni val za manje od deset sati,</w:t>
      </w:r>
    </w:p>
    <w:p w:rsidR="008F0D85" w:rsidRDefault="00AE42A1">
      <w:pPr>
        <w:numPr>
          <w:ilvl w:val="0"/>
          <w:numId w:val="53"/>
        </w:numPr>
        <w:shd w:val="clear" w:color="auto" w:fill="FFFFFF"/>
        <w:tabs>
          <w:tab w:val="left" w:pos="720"/>
        </w:tabs>
        <w:spacing w:before="100" w:after="24" w:line="240" w:lineRule="auto"/>
        <w:ind w:left="384"/>
        <w:jc w:val="left"/>
        <w:rPr>
          <w:rFonts w:cs="Calibri"/>
          <w:szCs w:val="24"/>
          <w:lang w:eastAsia="hr-HR"/>
        </w:rPr>
      </w:pPr>
      <w:r>
        <w:rPr>
          <w:rFonts w:cs="Calibri"/>
          <w:szCs w:val="24"/>
          <w:lang w:eastAsia="hr-HR"/>
        </w:rPr>
        <w:t>akcidentne poplave - poplave kod kojih se trenutno for</w:t>
      </w:r>
      <w:r>
        <w:rPr>
          <w:rFonts w:cs="Calibri"/>
          <w:szCs w:val="24"/>
          <w:lang w:eastAsia="hr-HR"/>
        </w:rPr>
        <w:t>mira veliki vodni val rušenjem vodoprivrednih ili hidro energetskih objekata.</w:t>
      </w:r>
    </w:p>
    <w:p w:rsidR="008F0D85" w:rsidRDefault="00AE42A1">
      <w:pPr>
        <w:shd w:val="clear" w:color="auto" w:fill="FFFFFF"/>
        <w:spacing w:before="120" w:after="120" w:line="240" w:lineRule="auto"/>
        <w:jc w:val="left"/>
        <w:rPr>
          <w:rFonts w:cs="Calibri"/>
          <w:szCs w:val="24"/>
          <w:lang w:eastAsia="hr-HR"/>
        </w:rPr>
      </w:pPr>
      <w:r>
        <w:rPr>
          <w:rFonts w:cs="Calibri"/>
          <w:szCs w:val="24"/>
          <w:lang w:eastAsia="hr-HR"/>
        </w:rPr>
        <w:t>Nositelj obrane od poplave u </w:t>
      </w:r>
      <w:hyperlink r:id="rId62" w:tgtFrame="Republika Hrvatska">
        <w:r>
          <w:rPr>
            <w:rStyle w:val="Internetskapoveznica"/>
            <w:rFonts w:cs="Calibri"/>
            <w:szCs w:val="24"/>
            <w:lang w:eastAsia="hr-HR"/>
          </w:rPr>
          <w:t>Republici Hrvatskoj</w:t>
        </w:r>
      </w:hyperlink>
      <w:r>
        <w:rPr>
          <w:rFonts w:cs="Calibri"/>
          <w:szCs w:val="24"/>
          <w:lang w:eastAsia="hr-HR"/>
        </w:rPr>
        <w:t> je </w:t>
      </w:r>
      <w:r>
        <w:rPr>
          <w:rFonts w:cs="Calibri"/>
          <w:i/>
          <w:iCs/>
          <w:szCs w:val="24"/>
          <w:lang w:eastAsia="hr-HR"/>
        </w:rPr>
        <w:t>Državna uprava za vode</w:t>
      </w:r>
      <w:r>
        <w:rPr>
          <w:rFonts w:cs="Calibri"/>
          <w:szCs w:val="24"/>
          <w:lang w:eastAsia="hr-HR"/>
        </w:rPr>
        <w:t>, a pravna o</w:t>
      </w:r>
      <w:r>
        <w:rPr>
          <w:rFonts w:cs="Calibri"/>
          <w:szCs w:val="24"/>
          <w:lang w:eastAsia="hr-HR"/>
        </w:rPr>
        <w:t>soba za upravljanje svim vodama na području države su </w:t>
      </w:r>
      <w:r>
        <w:rPr>
          <w:rFonts w:cs="Calibri"/>
          <w:i/>
          <w:iCs/>
          <w:szCs w:val="24"/>
          <w:lang w:eastAsia="hr-HR"/>
        </w:rPr>
        <w:t>Hrvatske vode</w:t>
      </w:r>
      <w:r>
        <w:rPr>
          <w:rFonts w:cs="Calibri"/>
          <w:szCs w:val="24"/>
          <w:lang w:eastAsia="hr-HR"/>
        </w:rPr>
        <w:t>.</w:t>
      </w:r>
    </w:p>
    <w:p w:rsidR="008F0D85" w:rsidRDefault="008F0D85">
      <w:pPr>
        <w:shd w:val="clear" w:color="auto" w:fill="FFFFFF"/>
        <w:spacing w:before="120" w:after="120" w:line="240" w:lineRule="auto"/>
        <w:jc w:val="left"/>
        <w:rPr>
          <w:rFonts w:cs="Calibri"/>
          <w:szCs w:val="24"/>
          <w:lang w:eastAsia="hr-HR"/>
        </w:rPr>
      </w:pPr>
    </w:p>
    <w:p w:rsidR="008F0D85" w:rsidRDefault="00AE42A1">
      <w:pPr>
        <w:pStyle w:val="Naslov5"/>
      </w:pPr>
      <w:bookmarkStart w:id="750" w:name="_Toc512434652"/>
      <w:bookmarkStart w:id="751" w:name="_Toc514240221"/>
      <w:bookmarkStart w:id="752" w:name="_Toc516128325"/>
      <w:bookmarkStart w:id="753" w:name="_Toc527969420"/>
      <w:bookmarkEnd w:id="750"/>
      <w:bookmarkEnd w:id="751"/>
      <w:bookmarkEnd w:id="752"/>
      <w:bookmarkEnd w:id="753"/>
      <w:r>
        <w:t>6.4.1.5.1. Razvoj događaja koji prethodi velikoj nesreći uzrokovanoj poplavom</w:t>
      </w:r>
    </w:p>
    <w:p w:rsidR="008F0D85" w:rsidRDefault="008F0D85"/>
    <w:p w:rsidR="008F0D85" w:rsidRDefault="00AE42A1">
      <w:pPr>
        <w:contextualSpacing/>
        <w:jc w:val="left"/>
        <w:rPr>
          <w:rFonts w:cs="Calibri"/>
          <w:szCs w:val="24"/>
          <w:lang w:val="en-US"/>
        </w:rPr>
      </w:pPr>
      <w:r>
        <w:rPr>
          <w:rFonts w:cs="Calibri"/>
          <w:szCs w:val="24"/>
          <w:lang w:val="en-US"/>
        </w:rPr>
        <w:t>Topljenje snijega i leda praćeno dužim oborinskim razdobljem.</w:t>
      </w:r>
    </w:p>
    <w:p w:rsidR="008F0D85" w:rsidRDefault="00AE42A1">
      <w:pPr>
        <w:pStyle w:val="Naslov5"/>
      </w:pPr>
      <w:bookmarkStart w:id="754" w:name="_Toc512434653"/>
      <w:bookmarkStart w:id="755" w:name="_Toc514240222"/>
      <w:bookmarkStart w:id="756" w:name="_Toc516128326"/>
      <w:bookmarkStart w:id="757" w:name="_Toc527969421"/>
      <w:bookmarkEnd w:id="754"/>
      <w:bookmarkEnd w:id="755"/>
      <w:bookmarkEnd w:id="756"/>
      <w:bookmarkEnd w:id="757"/>
      <w:r>
        <w:t xml:space="preserve">6.4.1.5.2. Okidač koji je uzrokovao </w:t>
      </w:r>
      <w:r>
        <w:t>veliku nesreću pojavom poplave</w:t>
      </w:r>
    </w:p>
    <w:p w:rsidR="008F0D85" w:rsidRDefault="008F0D85"/>
    <w:p w:rsidR="008F0D85" w:rsidRDefault="00AE42A1">
      <w:pPr>
        <w:shd w:val="clear" w:color="auto" w:fill="FFFFFF"/>
        <w:spacing w:before="120" w:after="120" w:line="240" w:lineRule="auto"/>
        <w:jc w:val="left"/>
        <w:rPr>
          <w:rFonts w:cs="Calibri"/>
          <w:szCs w:val="24"/>
          <w:lang w:eastAsia="hr-HR"/>
        </w:rPr>
      </w:pPr>
      <w:r>
        <w:rPr>
          <w:rFonts w:cs="Calibri"/>
          <w:szCs w:val="24"/>
          <w:lang w:eastAsia="hr-HR"/>
        </w:rPr>
        <w:t xml:space="preserve">Prekomjerne oborine. </w:t>
      </w:r>
    </w:p>
    <w:p w:rsidR="008F0D85" w:rsidRDefault="008F0D85">
      <w:pPr>
        <w:shd w:val="clear" w:color="auto" w:fill="FFFFFF"/>
        <w:spacing w:before="120" w:after="120" w:line="240" w:lineRule="auto"/>
        <w:jc w:val="left"/>
        <w:rPr>
          <w:rFonts w:cs="Calibri"/>
          <w:szCs w:val="24"/>
          <w:lang w:eastAsia="hr-HR"/>
        </w:rPr>
      </w:pPr>
    </w:p>
    <w:p w:rsidR="008F0D85" w:rsidRDefault="008F0D85">
      <w:pPr>
        <w:shd w:val="clear" w:color="auto" w:fill="FFFFFF"/>
        <w:spacing w:before="120" w:after="120" w:line="240" w:lineRule="auto"/>
        <w:jc w:val="left"/>
        <w:rPr>
          <w:rFonts w:cs="Calibri"/>
          <w:szCs w:val="24"/>
          <w:lang w:eastAsia="hr-HR"/>
        </w:rPr>
      </w:pPr>
    </w:p>
    <w:p w:rsidR="008F0D85" w:rsidRDefault="008F0D85">
      <w:pPr>
        <w:shd w:val="clear" w:color="auto" w:fill="FFFFFF"/>
        <w:spacing w:before="120" w:after="120" w:line="240" w:lineRule="auto"/>
        <w:jc w:val="left"/>
        <w:rPr>
          <w:rFonts w:cs="Calibri"/>
          <w:szCs w:val="24"/>
          <w:lang w:eastAsia="hr-HR"/>
        </w:rPr>
      </w:pPr>
    </w:p>
    <w:p w:rsidR="008F0D85" w:rsidRDefault="008F0D85">
      <w:pPr>
        <w:shd w:val="clear" w:color="auto" w:fill="FFFFFF"/>
        <w:spacing w:before="120" w:after="120" w:line="240" w:lineRule="auto"/>
        <w:jc w:val="left"/>
        <w:rPr>
          <w:rFonts w:cs="Calibri"/>
          <w:szCs w:val="24"/>
          <w:lang w:eastAsia="hr-HR"/>
        </w:rPr>
      </w:pPr>
    </w:p>
    <w:p w:rsidR="008F0D85" w:rsidRDefault="008F0D85">
      <w:pPr>
        <w:shd w:val="clear" w:color="auto" w:fill="FFFFFF"/>
        <w:spacing w:before="120" w:after="120" w:line="240" w:lineRule="auto"/>
        <w:jc w:val="left"/>
        <w:rPr>
          <w:rFonts w:cs="Calibri"/>
          <w:szCs w:val="24"/>
          <w:lang w:eastAsia="hr-HR"/>
        </w:rPr>
      </w:pPr>
    </w:p>
    <w:p w:rsidR="008F0D85" w:rsidRDefault="008F0D85">
      <w:pPr>
        <w:shd w:val="clear" w:color="auto" w:fill="FFFFFF"/>
        <w:spacing w:before="120" w:after="120" w:line="240" w:lineRule="auto"/>
        <w:jc w:val="left"/>
        <w:rPr>
          <w:rFonts w:cs="Calibri"/>
          <w:szCs w:val="24"/>
          <w:lang w:eastAsia="hr-HR"/>
        </w:rPr>
      </w:pPr>
    </w:p>
    <w:p w:rsidR="008F0D85" w:rsidRDefault="008F0D85">
      <w:pPr>
        <w:shd w:val="clear" w:color="auto" w:fill="FFFFFF"/>
        <w:spacing w:before="120" w:after="120" w:line="240" w:lineRule="auto"/>
        <w:jc w:val="left"/>
        <w:rPr>
          <w:rFonts w:cs="Calibri"/>
          <w:szCs w:val="24"/>
          <w:lang w:eastAsia="hr-HR"/>
        </w:rPr>
      </w:pPr>
    </w:p>
    <w:p w:rsidR="008F0D85" w:rsidRDefault="008F0D85">
      <w:pPr>
        <w:shd w:val="clear" w:color="auto" w:fill="FFFFFF"/>
        <w:spacing w:before="120" w:after="120" w:line="240" w:lineRule="auto"/>
        <w:jc w:val="left"/>
        <w:rPr>
          <w:rFonts w:cs="Calibri"/>
          <w:szCs w:val="24"/>
          <w:lang w:eastAsia="hr-HR"/>
        </w:rPr>
      </w:pPr>
    </w:p>
    <w:p w:rsidR="008F0D85" w:rsidRDefault="00AE42A1">
      <w:pPr>
        <w:pStyle w:val="Naslov3"/>
      </w:pPr>
      <w:bookmarkStart w:id="758" w:name="_Toc516128327"/>
      <w:bookmarkStart w:id="759" w:name="_Toc527969422"/>
      <w:bookmarkEnd w:id="758"/>
      <w:bookmarkEnd w:id="759"/>
      <w:r>
        <w:lastRenderedPageBreak/>
        <w:t>6.4.2. Poplave izazvane izlijevanjem kopnenih vodenih tijela</w:t>
      </w:r>
    </w:p>
    <w:p w:rsidR="008F0D85" w:rsidRDefault="00AE42A1">
      <w:pPr>
        <w:pStyle w:val="Naslov4"/>
      </w:pPr>
      <w:bookmarkStart w:id="760" w:name="_Toc527969423"/>
      <w:bookmarkStart w:id="761" w:name="_Toc516128328"/>
      <w:r>
        <w:t xml:space="preserve">6.4.2.1. Događaj s najgorim mogućim posljedicama – </w:t>
      </w:r>
      <w:bookmarkEnd w:id="760"/>
      <w:bookmarkEnd w:id="761"/>
      <w:r>
        <w:t>Izlijevanje kopnenih vodenih tijela na području Općine</w:t>
      </w:r>
    </w:p>
    <w:p w:rsidR="008F0D85" w:rsidRDefault="008F0D85">
      <w:pPr>
        <w:shd w:val="clear" w:color="auto" w:fill="FFFFFF"/>
        <w:spacing w:before="120" w:after="120" w:line="240" w:lineRule="auto"/>
        <w:jc w:val="left"/>
        <w:rPr>
          <w:rFonts w:cs="Calibri"/>
          <w:szCs w:val="24"/>
          <w:lang w:eastAsia="hr-HR"/>
        </w:rPr>
      </w:pPr>
    </w:p>
    <w:p w:rsidR="008F0D85" w:rsidRDefault="00AE42A1">
      <w:pPr>
        <w:rPr>
          <w:szCs w:val="24"/>
        </w:rPr>
      </w:pPr>
      <w:r>
        <w:rPr>
          <w:szCs w:val="24"/>
        </w:rPr>
        <w:t>Navedeni vodotoci su većim</w:t>
      </w:r>
      <w:r>
        <w:rPr>
          <w:szCs w:val="24"/>
        </w:rPr>
        <w:t xml:space="preserve"> dijelom bujičnog karaktera pa u vrijeme obilnijih padalina donose s brdskog dijela sliva mnogo vode i nanosa koji se talože u nizinskom dijelu sliva. Uslijed zasićivanja korita potoka – bujice Kozarevac dolazi do plavljena okolnog područja te prelijevanja</w:t>
      </w:r>
      <w:r>
        <w:rPr>
          <w:szCs w:val="24"/>
        </w:rPr>
        <w:t xml:space="preserve"> nasipa od ušća do km 1+280 pri čemu je ugroženo naselje Kozarevac, Kloštar podravski i Budančevica.</w:t>
      </w:r>
    </w:p>
    <w:p w:rsidR="008F0D85" w:rsidRDefault="00AE42A1">
      <w:pPr>
        <w:spacing w:after="0"/>
        <w:rPr>
          <w:rFonts w:eastAsia="Tahoma,Bold" w:cs="Calibri"/>
          <w:szCs w:val="24"/>
        </w:rPr>
      </w:pPr>
      <w:r>
        <w:rPr>
          <w:rFonts w:eastAsia="Tahoma,Bold" w:cs="Calibri"/>
          <w:szCs w:val="24"/>
        </w:rPr>
        <w:t>Za ovu dionicu mjerodavan je vodostaj na cestovnom mostu u Budančevici, km 1+170.</w:t>
      </w:r>
    </w:p>
    <w:p w:rsidR="008F0D85" w:rsidRDefault="00AE42A1">
      <w:pPr>
        <w:spacing w:after="0"/>
        <w:rPr>
          <w:rFonts w:eastAsia="Tahoma,Bold" w:cs="Calibri"/>
          <w:szCs w:val="24"/>
        </w:rPr>
      </w:pPr>
      <w:r>
        <w:rPr>
          <w:rFonts w:eastAsia="Tahoma,Bold" w:cs="Calibri"/>
          <w:szCs w:val="24"/>
        </w:rPr>
        <w:t>Prometni objekti s kojih se može pristupiti vodotocima na ovoj dionici ob</w:t>
      </w:r>
      <w:r>
        <w:rPr>
          <w:rFonts w:eastAsia="Tahoma,Bold" w:cs="Calibri"/>
          <w:szCs w:val="24"/>
        </w:rPr>
        <w:t>rane od poplave su:</w:t>
      </w:r>
    </w:p>
    <w:p w:rsidR="008F0D85" w:rsidRDefault="00AE42A1">
      <w:pPr>
        <w:pStyle w:val="Odlomakpopisa"/>
        <w:numPr>
          <w:ilvl w:val="0"/>
          <w:numId w:val="51"/>
        </w:numPr>
        <w:spacing w:after="0"/>
        <w:jc w:val="both"/>
        <w:rPr>
          <w:rFonts w:eastAsia="Tahoma,Bold" w:cs="Calibri"/>
          <w:sz w:val="24"/>
          <w:szCs w:val="24"/>
        </w:rPr>
      </w:pPr>
      <w:r>
        <w:rPr>
          <w:rFonts w:eastAsia="Tahoma,Bold" w:cs="Calibri"/>
          <w:sz w:val="24"/>
          <w:szCs w:val="24"/>
        </w:rPr>
        <w:t>most na cesti u Budančevici u km 1+170</w:t>
      </w:r>
    </w:p>
    <w:p w:rsidR="008F0D85" w:rsidRDefault="00AE42A1">
      <w:pPr>
        <w:pStyle w:val="Odlomakpopisa"/>
        <w:numPr>
          <w:ilvl w:val="0"/>
          <w:numId w:val="51"/>
        </w:numPr>
        <w:spacing w:after="0"/>
        <w:jc w:val="both"/>
        <w:rPr>
          <w:rFonts w:eastAsia="Tahoma,Bold" w:cs="Calibri"/>
          <w:sz w:val="24"/>
          <w:szCs w:val="24"/>
        </w:rPr>
      </w:pPr>
      <w:r>
        <w:rPr>
          <w:rFonts w:eastAsia="Tahoma,Bold" w:cs="Calibri"/>
          <w:sz w:val="24"/>
          <w:szCs w:val="24"/>
        </w:rPr>
        <w:t>drveni most na poljskom putu u km 1+580</w:t>
      </w:r>
    </w:p>
    <w:p w:rsidR="008F0D85" w:rsidRDefault="00AE42A1">
      <w:pPr>
        <w:pStyle w:val="Odlomakpopisa"/>
        <w:numPr>
          <w:ilvl w:val="0"/>
          <w:numId w:val="51"/>
        </w:numPr>
        <w:spacing w:after="0"/>
        <w:jc w:val="both"/>
        <w:rPr>
          <w:rFonts w:eastAsia="Tahoma,Bold" w:cs="Calibri"/>
          <w:sz w:val="24"/>
          <w:szCs w:val="24"/>
        </w:rPr>
      </w:pPr>
      <w:r>
        <w:rPr>
          <w:rFonts w:eastAsia="Tahoma,Bold" w:cs="Calibri"/>
          <w:sz w:val="24"/>
          <w:szCs w:val="24"/>
        </w:rPr>
        <w:t>drveni most na poljskom putu u km 1+910</w:t>
      </w:r>
    </w:p>
    <w:p w:rsidR="008F0D85" w:rsidRDefault="00AE42A1">
      <w:pPr>
        <w:pStyle w:val="Odlomakpopisa"/>
        <w:numPr>
          <w:ilvl w:val="0"/>
          <w:numId w:val="51"/>
        </w:numPr>
        <w:spacing w:after="0"/>
        <w:jc w:val="both"/>
        <w:rPr>
          <w:rFonts w:eastAsia="Tahoma,Bold" w:cs="Calibri"/>
          <w:sz w:val="24"/>
          <w:szCs w:val="24"/>
        </w:rPr>
      </w:pPr>
      <w:r>
        <w:rPr>
          <w:rFonts w:eastAsia="Tahoma,Bold" w:cs="Calibri"/>
          <w:sz w:val="24"/>
          <w:szCs w:val="24"/>
        </w:rPr>
        <w:t>betonski most na poljskom putu u km 2+420</w:t>
      </w:r>
    </w:p>
    <w:p w:rsidR="008F0D85" w:rsidRDefault="00AE42A1">
      <w:pPr>
        <w:pStyle w:val="Odlomakpopisa"/>
        <w:numPr>
          <w:ilvl w:val="0"/>
          <w:numId w:val="51"/>
        </w:numPr>
        <w:spacing w:after="0"/>
        <w:jc w:val="both"/>
        <w:rPr>
          <w:rFonts w:eastAsia="Tahoma,Bold" w:cs="Calibri"/>
          <w:sz w:val="24"/>
          <w:szCs w:val="24"/>
        </w:rPr>
      </w:pPr>
      <w:r>
        <w:rPr>
          <w:rFonts w:eastAsia="Tahoma,Bold" w:cs="Calibri"/>
          <w:sz w:val="24"/>
          <w:szCs w:val="24"/>
        </w:rPr>
        <w:t>željeznički most na pruzi KC-OS u km 2+720</w:t>
      </w:r>
    </w:p>
    <w:p w:rsidR="008F0D85" w:rsidRDefault="00AE42A1">
      <w:pPr>
        <w:pStyle w:val="Odlomakpopisa"/>
        <w:numPr>
          <w:ilvl w:val="0"/>
          <w:numId w:val="51"/>
        </w:numPr>
        <w:spacing w:after="0"/>
        <w:jc w:val="both"/>
        <w:rPr>
          <w:rFonts w:eastAsia="Tahoma,Bold" w:cs="Calibri"/>
          <w:sz w:val="24"/>
          <w:szCs w:val="24"/>
        </w:rPr>
      </w:pPr>
      <w:r>
        <w:rPr>
          <w:rFonts w:eastAsia="Tahoma,Bold" w:cs="Calibri"/>
          <w:sz w:val="24"/>
          <w:szCs w:val="24"/>
        </w:rPr>
        <w:t>betonski most na poljskom putu u</w:t>
      </w:r>
      <w:r>
        <w:rPr>
          <w:rFonts w:eastAsia="Tahoma,Bold" w:cs="Calibri"/>
          <w:sz w:val="24"/>
          <w:szCs w:val="24"/>
        </w:rPr>
        <w:t xml:space="preserve"> km 5+900</w:t>
      </w:r>
    </w:p>
    <w:p w:rsidR="008F0D85" w:rsidRDefault="00AE42A1">
      <w:pPr>
        <w:pStyle w:val="Odlomakpopisa"/>
        <w:numPr>
          <w:ilvl w:val="0"/>
          <w:numId w:val="51"/>
        </w:numPr>
        <w:spacing w:after="0"/>
        <w:jc w:val="both"/>
        <w:rPr>
          <w:rFonts w:eastAsia="Tahoma,Bold" w:cs="Calibri"/>
          <w:sz w:val="24"/>
          <w:szCs w:val="24"/>
        </w:rPr>
      </w:pPr>
      <w:r>
        <w:rPr>
          <w:rFonts w:eastAsia="Tahoma,Bold" w:cs="Calibri"/>
          <w:sz w:val="24"/>
          <w:szCs w:val="24"/>
        </w:rPr>
        <w:t>cestovni most u Kozarevcu 9+100</w:t>
      </w:r>
    </w:p>
    <w:p w:rsidR="008F0D85" w:rsidRDefault="00AE42A1">
      <w:pPr>
        <w:pStyle w:val="Odlomakpopisa"/>
        <w:numPr>
          <w:ilvl w:val="0"/>
          <w:numId w:val="51"/>
        </w:numPr>
        <w:spacing w:after="0"/>
        <w:jc w:val="both"/>
        <w:rPr>
          <w:rFonts w:eastAsia="Tahoma,Bold" w:cs="Calibri"/>
          <w:sz w:val="24"/>
          <w:szCs w:val="24"/>
        </w:rPr>
      </w:pPr>
      <w:r>
        <w:rPr>
          <w:rFonts w:eastAsia="Tahoma,Bold" w:cs="Calibri"/>
          <w:sz w:val="24"/>
          <w:szCs w:val="24"/>
        </w:rPr>
        <w:t>cestovni most u Kozarevcu 10+880</w:t>
      </w:r>
    </w:p>
    <w:p w:rsidR="008F0D85" w:rsidRDefault="00AE42A1">
      <w:pPr>
        <w:spacing w:after="0"/>
        <w:rPr>
          <w:rFonts w:eastAsia="Tahoma,Bold" w:cs="Calibri"/>
          <w:szCs w:val="24"/>
        </w:rPr>
      </w:pPr>
      <w:r>
        <w:rPr>
          <w:rFonts w:eastAsia="Tahoma,Bold" w:cs="Calibri"/>
          <w:szCs w:val="24"/>
        </w:rPr>
        <w:t>Druga crta obrane: ne postoji i nije potrebna.</w:t>
      </w:r>
    </w:p>
    <w:p w:rsidR="008F0D85" w:rsidRDefault="00AE42A1">
      <w:pPr>
        <w:rPr>
          <w:rFonts w:eastAsia="Tahoma,Bold" w:cs="Calibri"/>
          <w:szCs w:val="24"/>
        </w:rPr>
      </w:pPr>
      <w:r>
        <w:rPr>
          <w:rFonts w:eastAsia="Tahoma,Bold" w:cs="Calibri"/>
          <w:szCs w:val="24"/>
        </w:rPr>
        <w:t>Evakuacija stanovništva: ako bude nužna, izvesti na povišene dijelove naselja.</w:t>
      </w:r>
    </w:p>
    <w:p w:rsidR="008F0D85" w:rsidRDefault="008F0D85">
      <w:pPr>
        <w:rPr>
          <w:szCs w:val="24"/>
        </w:rPr>
      </w:pPr>
    </w:p>
    <w:p w:rsidR="008F0D85" w:rsidRDefault="00AE42A1">
      <w:pPr>
        <w:pStyle w:val="Naslov5"/>
      </w:pPr>
      <w:bookmarkStart w:id="762" w:name="_Toc514142859"/>
      <w:bookmarkStart w:id="763" w:name="_Toc516128329"/>
      <w:bookmarkStart w:id="764" w:name="_Toc527969424"/>
      <w:bookmarkEnd w:id="762"/>
      <w:bookmarkEnd w:id="763"/>
      <w:bookmarkEnd w:id="764"/>
      <w:r>
        <w:t>6.4.2.1.1. Posljedice – Poplava</w:t>
      </w:r>
    </w:p>
    <w:p w:rsidR="008F0D85" w:rsidRDefault="00AE42A1">
      <w:pPr>
        <w:pStyle w:val="Naslov6"/>
      </w:pPr>
      <w:r>
        <w:t>6.4.2.1.1.1. Procjena posljedica poplave na život i zdravlje ljudi</w:t>
      </w:r>
    </w:p>
    <w:p w:rsidR="008F0D85" w:rsidRDefault="008F0D85">
      <w:pPr>
        <w:rPr>
          <w:lang w:eastAsia="hr-HR"/>
        </w:rPr>
      </w:pPr>
    </w:p>
    <w:p w:rsidR="008F0D85" w:rsidRDefault="00AE42A1">
      <w:pPr>
        <w:rPr>
          <w:lang w:eastAsia="hr-HR"/>
        </w:rPr>
      </w:pPr>
      <w:r>
        <w:rPr>
          <w:lang w:eastAsia="hr-HR"/>
        </w:rPr>
        <w:t>S obzirom na to da se posljedice na život i zdravlje ljudi prikazuju ukupnim brojem ljudi za koje se procjenjuje kako mogu biti u sastavu od nekog od procesa nastalih kao posljedica događa</w:t>
      </w:r>
      <w:r>
        <w:rPr>
          <w:lang w:eastAsia="hr-HR"/>
        </w:rPr>
        <w:t>ja opisanih scenarijem – poginuli, ozlijeđeni, oboljeli, evakuirani i sklonjeni, procijenjeno je da pojava poplave imati katastrofalne posljedice na život i zdravlje ljudi, odnosno događajem bit će obuhvaćeno više od 0,01% stanovnika Općine, točnije više o</w:t>
      </w:r>
      <w:r>
        <w:rPr>
          <w:lang w:eastAsia="hr-HR"/>
        </w:rPr>
        <w:t>d 0,331 stanovnika.</w:t>
      </w:r>
    </w:p>
    <w:p w:rsidR="008F0D85" w:rsidRDefault="00AE42A1">
      <w:pPr>
        <w:spacing w:after="0" w:line="360" w:lineRule="auto"/>
        <w:jc w:val="center"/>
        <w:rPr>
          <w:rFonts w:cs="Arial"/>
          <w:b/>
          <w:bCs/>
          <w:sz w:val="20"/>
          <w:szCs w:val="20"/>
          <w:lang w:eastAsia="hr-HR"/>
        </w:rPr>
      </w:pPr>
      <w:bookmarkStart w:id="765" w:name="_Toc514142945"/>
      <w:bookmarkStart w:id="766" w:name="_Toc516128429"/>
      <w:bookmarkStart w:id="767" w:name="_Toc527969526"/>
      <w:r>
        <w:rPr>
          <w:rFonts w:cs="Arial"/>
          <w:b/>
          <w:bCs/>
          <w:sz w:val="20"/>
          <w:szCs w:val="20"/>
        </w:rPr>
        <w:t xml:space="preserve">Tablica </w:t>
      </w:r>
      <w:r>
        <w:rPr>
          <w:rFonts w:cs="Arial"/>
          <w:b/>
          <w:bCs/>
          <w:sz w:val="20"/>
          <w:szCs w:val="20"/>
        </w:rPr>
        <w:fldChar w:fldCharType="begin"/>
      </w:r>
      <w:r>
        <w:instrText>SEQ Tablica \* ARABIC</w:instrText>
      </w:r>
      <w:r>
        <w:fldChar w:fldCharType="separate"/>
      </w:r>
      <w:r>
        <w:t>44</w:t>
      </w:r>
      <w:r>
        <w:fldChar w:fldCharType="end"/>
      </w:r>
      <w:bookmarkEnd w:id="765"/>
      <w:bookmarkEnd w:id="766"/>
      <w:bookmarkEnd w:id="767"/>
      <w:r>
        <w:rPr>
          <w:rFonts w:cs="Arial"/>
          <w:b/>
          <w:bCs/>
          <w:sz w:val="20"/>
          <w:szCs w:val="20"/>
        </w:rPr>
        <w:t>: Prikaz prijetnjom nastalih posljedica na život i zdravlje ljudi - Poplava</w:t>
      </w:r>
    </w:p>
    <w:tbl>
      <w:tblPr>
        <w:tblW w:w="7471"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752"/>
        <w:gridCol w:w="2153"/>
        <w:gridCol w:w="2021"/>
        <w:gridCol w:w="1545"/>
      </w:tblGrid>
      <w:tr w:rsidR="008F0D85">
        <w:trPr>
          <w:trHeight w:val="173"/>
          <w:jc w:val="center"/>
        </w:trPr>
        <w:tc>
          <w:tcPr>
            <w:tcW w:w="7470"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Život i zdravlje ljudi</w:t>
            </w: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215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Posljedice</w:t>
            </w:r>
          </w:p>
        </w:tc>
        <w:tc>
          <w:tcPr>
            <w:tcW w:w="202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Broj stanovnika</w:t>
            </w:r>
          </w:p>
        </w:tc>
        <w:tc>
          <w:tcPr>
            <w:tcW w:w="154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Odabrano</w:t>
            </w: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Neznatne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&lt; 0,033</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b/>
                <w:sz w:val="20"/>
                <w:szCs w:val="20"/>
              </w:rPr>
            </w:pP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Malene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0,033 – 0,152</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0,155 – 0,364</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181"/>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Značajne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0,397 – 1,157</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4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Katastrofalne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1,19</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b/>
                <w:sz w:val="20"/>
                <w:szCs w:val="20"/>
              </w:rPr>
            </w:pPr>
            <w:r>
              <w:rPr>
                <w:b/>
                <w:sz w:val="20"/>
                <w:szCs w:val="20"/>
              </w:rPr>
              <w:t>X</w:t>
            </w:r>
          </w:p>
        </w:tc>
      </w:tr>
    </w:tbl>
    <w:p w:rsidR="008F0D85" w:rsidRDefault="008F0D85">
      <w:pPr>
        <w:rPr>
          <w:rFonts w:cs="Calibri"/>
          <w:szCs w:val="24"/>
        </w:rPr>
      </w:pPr>
    </w:p>
    <w:p w:rsidR="008F0D85" w:rsidRDefault="00AE42A1">
      <w:pPr>
        <w:pStyle w:val="Naslov6"/>
      </w:pPr>
      <w:r>
        <w:t>6.4.2.1.1.2. Procjena posljedica poplave na gospodarstvo</w:t>
      </w:r>
    </w:p>
    <w:p w:rsidR="008F0D85" w:rsidRDefault="008F0D85">
      <w:pPr>
        <w:rPr>
          <w:lang w:eastAsia="hr-HR"/>
        </w:rPr>
      </w:pPr>
    </w:p>
    <w:p w:rsidR="008F0D85" w:rsidRDefault="00AE42A1">
      <w:r>
        <w:t xml:space="preserve">Posljedice na gospodarstvo odnose se na ukupnu materijalnu i financijsku štetu u gospodarstvu nastalu </w:t>
      </w:r>
      <w:r>
        <w:t>utjecajem prijetnje. Posljedice na gospodarstvo očituju se u vidu štete na pokretnoj i nepokretnoj imovini, gubitak repromaterijala, propadanje poljoprivrednog uroda, troškova sanacije, troškova izostanka radnika s posla i sl. Materijalna šteta s posljedic</w:t>
      </w:r>
      <w:r>
        <w:t>ama po gospodarstvo prikazuje se u odnosu na proračun Općine. S obzirom na štete koje su vjerojatne na području Općine uslijed izlijevanja kopnenih vodenih tijela, posljedice su procijenjene značajnima, odnosno šteta će biti veća od 20% proračuna Općine, o</w:t>
      </w:r>
      <w:r>
        <w:t>dnosno veća od 4.161.200,00 kuna.</w:t>
      </w:r>
    </w:p>
    <w:p w:rsidR="008F0D85" w:rsidRDefault="00AE42A1">
      <w:pPr>
        <w:spacing w:after="0" w:line="360" w:lineRule="auto"/>
        <w:jc w:val="center"/>
        <w:rPr>
          <w:rFonts w:cs="Arial"/>
          <w:b/>
          <w:bCs/>
          <w:sz w:val="20"/>
          <w:szCs w:val="20"/>
        </w:rPr>
      </w:pPr>
      <w:bookmarkStart w:id="768" w:name="_Toc514142946"/>
      <w:bookmarkStart w:id="769" w:name="_Toc516128430"/>
      <w:bookmarkStart w:id="770" w:name="_Toc527969527"/>
      <w:r>
        <w:rPr>
          <w:rFonts w:cs="Arial"/>
          <w:b/>
          <w:bCs/>
          <w:sz w:val="20"/>
          <w:szCs w:val="20"/>
        </w:rPr>
        <w:t xml:space="preserve">Tablica </w:t>
      </w:r>
      <w:r>
        <w:rPr>
          <w:rFonts w:cs="Arial"/>
          <w:b/>
          <w:bCs/>
          <w:sz w:val="20"/>
          <w:szCs w:val="20"/>
        </w:rPr>
        <w:fldChar w:fldCharType="begin"/>
      </w:r>
      <w:r>
        <w:instrText>SEQ Tablica \* ARABIC</w:instrText>
      </w:r>
      <w:r>
        <w:fldChar w:fldCharType="separate"/>
      </w:r>
      <w:r>
        <w:t>45</w:t>
      </w:r>
      <w:r>
        <w:fldChar w:fldCharType="end"/>
      </w:r>
      <w:bookmarkEnd w:id="768"/>
      <w:bookmarkEnd w:id="769"/>
      <w:bookmarkEnd w:id="770"/>
      <w:r>
        <w:rPr>
          <w:rFonts w:cs="Arial"/>
          <w:b/>
          <w:bCs/>
          <w:sz w:val="20"/>
          <w:szCs w:val="20"/>
        </w:rPr>
        <w:t>: Prikaz prijetnjom nastalih posljedica na gospodarstvo - Poplava</w:t>
      </w:r>
    </w:p>
    <w:tbl>
      <w:tblPr>
        <w:tblW w:w="7100"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477"/>
        <w:gridCol w:w="1781"/>
        <w:gridCol w:w="2693"/>
        <w:gridCol w:w="1149"/>
      </w:tblGrid>
      <w:tr w:rsidR="008F0D85">
        <w:trPr>
          <w:trHeight w:val="302"/>
          <w:jc w:val="center"/>
        </w:trPr>
        <w:tc>
          <w:tcPr>
            <w:tcW w:w="7099"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Gospodarstvo</w:t>
            </w: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Kategorija</w:t>
            </w:r>
          </w:p>
        </w:tc>
        <w:tc>
          <w:tcPr>
            <w:tcW w:w="178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Posljedica</w:t>
            </w:r>
          </w:p>
        </w:tc>
        <w:tc>
          <w:tcPr>
            <w:tcW w:w="269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U kunama (% obzirom na proračun)</w:t>
            </w:r>
          </w:p>
        </w:tc>
        <w:tc>
          <w:tcPr>
            <w:tcW w:w="114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Odabrano</w:t>
            </w: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1</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Neznatne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 xml:space="preserve">104.030,00 – </w:t>
            </w:r>
            <w:r>
              <w:rPr>
                <w:sz w:val="20"/>
                <w:szCs w:val="20"/>
              </w:rPr>
              <w:t>208.060,00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2</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Malene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208.060,00 – 1.040.300,00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3</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Umjerene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1.040.300,00 – 3.120.900,00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19"/>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4</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Značajne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3.120.900,00 – 5.201.500,00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5</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Katastrofalne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5.201.500,00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b/>
                <w:sz w:val="20"/>
                <w:szCs w:val="20"/>
              </w:rPr>
            </w:pPr>
            <w:r>
              <w:rPr>
                <w:b/>
                <w:sz w:val="20"/>
                <w:szCs w:val="20"/>
              </w:rPr>
              <w:t>X</w:t>
            </w:r>
          </w:p>
        </w:tc>
      </w:tr>
    </w:tbl>
    <w:p w:rsidR="008F0D85" w:rsidRDefault="008F0D85">
      <w:pPr>
        <w:rPr>
          <w:sz w:val="20"/>
          <w:szCs w:val="20"/>
        </w:rPr>
      </w:pPr>
    </w:p>
    <w:p w:rsidR="008F0D85" w:rsidRDefault="00AE42A1">
      <w:pPr>
        <w:pStyle w:val="Naslov6"/>
      </w:pPr>
      <w:r>
        <w:t>6.4.2.1.1.3. Procjena posljedica poplave na društvenu stabilnost i politiku</w:t>
      </w:r>
    </w:p>
    <w:p w:rsidR="008F0D85" w:rsidRDefault="008F0D85"/>
    <w:p w:rsidR="008F0D85" w:rsidRDefault="00AE42A1">
      <w:pPr>
        <w:spacing w:after="0"/>
        <w:rPr>
          <w:szCs w:val="24"/>
        </w:rPr>
      </w:pPr>
      <w:bookmarkStart w:id="771" w:name="_Hlk497988461"/>
      <w:bookmarkEnd w:id="771"/>
      <w:r>
        <w:rPr>
          <w:szCs w:val="24"/>
        </w:rPr>
        <w:t xml:space="preserve">Procjena posljedica na društvenu stabilnosti i politiku vezana je na oštećenja zgrada u kojima su smještene ključne institucije i oštećenje kritične infrastrukture. </w:t>
      </w:r>
    </w:p>
    <w:p w:rsidR="008F0D85" w:rsidRDefault="00AE42A1">
      <w:bookmarkStart w:id="772" w:name="_Hlk4979884611"/>
      <w:bookmarkEnd w:id="772"/>
      <w:r>
        <w:t>Posljedice za Društvenu stabilnost i politiku iskazuju se u materijalnoj šteti i to za šte</w:t>
      </w:r>
      <w:r>
        <w:t>tu na kritičnoj infrastrukturi i šteti na građevinama od društvenog značaja. Kategorija Društvene stabilnosti i politike dobiva se srednjom vrijednosti kategorija Kritične infrastrukture (KI) i Ustanova/građevina javnog i društvenog značaja.</w:t>
      </w:r>
    </w:p>
    <w:p w:rsidR="008F0D85" w:rsidRDefault="00AE42A1">
      <w:pPr>
        <w:spacing w:after="0"/>
        <w:jc w:val="center"/>
      </w:pPr>
      <w:r>
        <w:rPr>
          <w:b/>
          <w:sz w:val="22"/>
        </w:rPr>
        <w:lastRenderedPageBreak/>
        <w:t>Društvena stab</w:t>
      </w:r>
      <w:r>
        <w:rPr>
          <w:b/>
          <w:sz w:val="22"/>
        </w:rPr>
        <w:t xml:space="preserve">ilnost = </w:t>
      </w:r>
      <w:r>
        <w:fldChar w:fldCharType="begin"/>
      </w:r>
      <w:r>
        <w:instrText>QUOTE</w:instrText>
      </w:r>
      <w:r>
        <w:fldChar w:fldCharType="end"/>
      </w:r>
      <w:bookmarkStart w:id="773" w:name="__Fieldmark__11002_1406329701"/>
      <w:bookmarkStart w:id="774" w:name="__Fieldmark__12297_1185846484"/>
      <w:bookmarkStart w:id="775" w:name="__Fieldmark__11892_1935607046"/>
      <w:bookmarkStart w:id="776" w:name="__Fieldmark__83136_3653056331"/>
      <w:bookmarkEnd w:id="773"/>
      <w:bookmarkEnd w:id="774"/>
      <w:bookmarkEnd w:id="775"/>
      <w:bookmarkEnd w:id="776"/>
      <w:r>
        <w:rPr>
          <w:b/>
          <w:noProof/>
          <w:sz w:val="22"/>
        </w:rPr>
        <w:drawing>
          <wp:inline distT="0" distB="0" distL="0" distR="0">
            <wp:extent cx="448310" cy="19526885"/>
            <wp:effectExtent l="0" t="0" r="0" b="0"/>
            <wp:docPr id="69" name="Slik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lika12"/>
                    <pic:cNvPicPr>
                      <a:picLocks noChangeAspect="1" noChangeArrowheads="1"/>
                    </pic:cNvPicPr>
                  </pic:nvPicPr>
                  <pic:blipFill>
                    <a:blip r:embed="rId63"/>
                    <a:stretch>
                      <a:fillRect/>
                    </a:stretch>
                  </pic:blipFill>
                  <pic:spPr bwMode="auto">
                    <a:xfrm>
                      <a:off x="0" y="0"/>
                      <a:ext cx="448310" cy="19526885"/>
                    </a:xfrm>
                    <a:prstGeom prst="rect">
                      <a:avLst/>
                    </a:prstGeom>
                  </pic:spPr>
                </pic:pic>
              </a:graphicData>
            </a:graphic>
          </wp:inline>
        </w:drawing>
      </w:r>
      <w:bookmarkStart w:id="777" w:name="_Hlk497988471"/>
      <w:bookmarkEnd w:id="777"/>
      <w:r>
        <w:rPr>
          <w:b/>
          <w:noProof/>
          <w:sz w:val="22"/>
        </w:rPr>
        <w:drawing>
          <wp:inline distT="0" distB="0" distL="0" distR="0">
            <wp:extent cx="448310" cy="19526885"/>
            <wp:effectExtent l="0" t="0" r="0" b="0"/>
            <wp:docPr id="70" name="Slik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13"/>
                    <pic:cNvPicPr>
                      <a:picLocks noChangeAspect="1" noChangeArrowheads="1"/>
                    </pic:cNvPicPr>
                  </pic:nvPicPr>
                  <pic:blipFill>
                    <a:blip r:embed="rId63"/>
                    <a:stretch>
                      <a:fillRect/>
                    </a:stretch>
                  </pic:blipFill>
                  <pic:spPr bwMode="auto">
                    <a:xfrm>
                      <a:off x="0" y="0"/>
                      <a:ext cx="448310" cy="19526885"/>
                    </a:xfrm>
                    <a:prstGeom prst="rect">
                      <a:avLst/>
                    </a:prstGeom>
                  </pic:spPr>
                </pic:pic>
              </a:graphicData>
            </a:graphic>
          </wp:inline>
        </w:drawing>
      </w:r>
    </w:p>
    <w:p w:rsidR="008F0D85" w:rsidRDefault="00AE42A1">
      <w:r>
        <w:lastRenderedPageBreak/>
        <w:t>Ukupna materijalna šteta prikazana je u odnosu na proračun Općine ako je ukupna šteta na kritičnoj infrastrukturi od značaja za funkcioniranje društva, točnije lokalne samouprave u cjelini.</w:t>
      </w:r>
    </w:p>
    <w:p w:rsidR="008F0D85" w:rsidRDefault="00AE42A1">
      <w:r>
        <w:t>Za očekivati je izrazito oštećenje prometne i k</w:t>
      </w:r>
      <w:r>
        <w:t>omunalne infrastrukture.</w:t>
      </w:r>
    </w:p>
    <w:p w:rsidR="008F0D85" w:rsidRDefault="008F0D85"/>
    <w:p w:rsidR="008F0D85" w:rsidRDefault="008F0D85"/>
    <w:p w:rsidR="008F0D85" w:rsidRDefault="008F0D85">
      <w:pPr>
        <w:spacing w:after="0" w:line="360" w:lineRule="auto"/>
        <w:jc w:val="center"/>
        <w:rPr>
          <w:rFonts w:cs="Arial"/>
          <w:b/>
          <w:bCs/>
          <w:sz w:val="20"/>
          <w:szCs w:val="20"/>
        </w:rPr>
      </w:pPr>
      <w:bookmarkStart w:id="778" w:name="_Toc514142947"/>
      <w:bookmarkStart w:id="779" w:name="_Toc516128431"/>
    </w:p>
    <w:p w:rsidR="008F0D85" w:rsidRDefault="00AE42A1">
      <w:pPr>
        <w:spacing w:after="0" w:line="360" w:lineRule="auto"/>
        <w:jc w:val="center"/>
        <w:rPr>
          <w:rFonts w:cs="Arial"/>
          <w:b/>
          <w:bCs/>
          <w:sz w:val="20"/>
          <w:szCs w:val="20"/>
        </w:rPr>
      </w:pPr>
      <w:bookmarkStart w:id="780" w:name="_Toc527969528"/>
      <w:r>
        <w:rPr>
          <w:rFonts w:cs="Arial"/>
          <w:b/>
          <w:bCs/>
          <w:sz w:val="20"/>
          <w:szCs w:val="20"/>
        </w:rPr>
        <w:t xml:space="preserve">Tablica </w:t>
      </w:r>
      <w:r>
        <w:rPr>
          <w:rFonts w:cs="Arial"/>
          <w:b/>
          <w:bCs/>
          <w:sz w:val="20"/>
          <w:szCs w:val="20"/>
        </w:rPr>
        <w:fldChar w:fldCharType="begin"/>
      </w:r>
      <w:r>
        <w:instrText>SEQ Tablica \* ARABIC</w:instrText>
      </w:r>
      <w:r>
        <w:fldChar w:fldCharType="separate"/>
      </w:r>
      <w:r>
        <w:t>46</w:t>
      </w:r>
      <w:r>
        <w:fldChar w:fldCharType="end"/>
      </w:r>
      <w:bookmarkEnd w:id="778"/>
      <w:bookmarkEnd w:id="779"/>
      <w:bookmarkEnd w:id="780"/>
      <w:r>
        <w:rPr>
          <w:rFonts w:cs="Arial"/>
          <w:b/>
          <w:bCs/>
          <w:sz w:val="20"/>
          <w:szCs w:val="20"/>
        </w:rPr>
        <w:t>: Prikaz prijetnjom nastalih posljedica na kritičnu infrastrukturu (KI) - Poplava</w:t>
      </w:r>
    </w:p>
    <w:tbl>
      <w:tblPr>
        <w:tblW w:w="7182"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1588"/>
        <w:gridCol w:w="1542"/>
        <w:gridCol w:w="2641"/>
        <w:gridCol w:w="1411"/>
      </w:tblGrid>
      <w:tr w:rsidR="008F0D85">
        <w:trPr>
          <w:trHeight w:val="298"/>
          <w:jc w:val="center"/>
        </w:trPr>
        <w:tc>
          <w:tcPr>
            <w:tcW w:w="7181"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Društvena stabilnost i politika</w:t>
            </w:r>
          </w:p>
        </w:tc>
      </w:tr>
      <w:tr w:rsidR="008F0D85">
        <w:trPr>
          <w:trHeight w:val="298"/>
          <w:jc w:val="center"/>
        </w:trPr>
        <w:tc>
          <w:tcPr>
            <w:tcW w:w="7181"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Štete/gubici na kritičnoj infrastrukturi</w:t>
            </w:r>
          </w:p>
        </w:tc>
      </w:tr>
      <w:tr w:rsidR="008F0D85">
        <w:trPr>
          <w:trHeight w:val="298"/>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154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Posljedice</w:t>
            </w:r>
          </w:p>
        </w:tc>
        <w:tc>
          <w:tcPr>
            <w:tcW w:w="264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 xml:space="preserve">U kn </w:t>
            </w:r>
          </w:p>
        </w:tc>
        <w:tc>
          <w:tcPr>
            <w:tcW w:w="141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Odabrano</w:t>
            </w:r>
          </w:p>
        </w:tc>
      </w:tr>
      <w:tr w:rsidR="008F0D85">
        <w:trPr>
          <w:trHeight w:val="298"/>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 xml:space="preserve">Neznatne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 – 208.060,00</w:t>
            </w:r>
          </w:p>
        </w:tc>
        <w:tc>
          <w:tcPr>
            <w:tcW w:w="14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b/>
                <w:sz w:val="20"/>
                <w:szCs w:val="20"/>
              </w:rPr>
            </w:pPr>
          </w:p>
        </w:tc>
      </w:tr>
      <w:tr w:rsidR="008F0D85">
        <w:trPr>
          <w:trHeight w:val="298"/>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Malene</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208.060,00 – 1.040.300,00</w:t>
            </w:r>
          </w:p>
        </w:tc>
        <w:tc>
          <w:tcPr>
            <w:tcW w:w="14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b/>
                <w:sz w:val="20"/>
                <w:szCs w:val="20"/>
              </w:rPr>
            </w:pPr>
          </w:p>
        </w:tc>
      </w:tr>
      <w:tr w:rsidR="008F0D85">
        <w:trPr>
          <w:trHeight w:val="298"/>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Umjerene</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1.040.300,00 – 3.120.900,00</w:t>
            </w:r>
          </w:p>
        </w:tc>
        <w:tc>
          <w:tcPr>
            <w:tcW w:w="14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left"/>
              <w:rPr>
                <w:sz w:val="20"/>
                <w:szCs w:val="20"/>
              </w:rPr>
            </w:pPr>
          </w:p>
        </w:tc>
      </w:tr>
      <w:tr w:rsidR="008F0D85">
        <w:trPr>
          <w:trHeight w:val="315"/>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Značajne</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3.120.900,00 – 5.201.500,00</w:t>
            </w:r>
          </w:p>
        </w:tc>
        <w:tc>
          <w:tcPr>
            <w:tcW w:w="14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b/>
                <w:sz w:val="20"/>
                <w:szCs w:val="20"/>
              </w:rPr>
            </w:pPr>
          </w:p>
        </w:tc>
      </w:tr>
      <w:tr w:rsidR="008F0D85">
        <w:trPr>
          <w:trHeight w:val="298"/>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Katastrofalne</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5.201.500,00</w:t>
            </w:r>
          </w:p>
        </w:tc>
        <w:tc>
          <w:tcPr>
            <w:tcW w:w="14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b/>
                <w:sz w:val="20"/>
                <w:szCs w:val="20"/>
              </w:rPr>
            </w:pPr>
            <w:r>
              <w:rPr>
                <w:b/>
                <w:sz w:val="20"/>
                <w:szCs w:val="20"/>
              </w:rPr>
              <w:t>X</w:t>
            </w:r>
          </w:p>
        </w:tc>
      </w:tr>
    </w:tbl>
    <w:p w:rsidR="008F0D85" w:rsidRDefault="008F0D85">
      <w:pPr>
        <w:jc w:val="center"/>
      </w:pPr>
    </w:p>
    <w:p w:rsidR="008F0D85" w:rsidRDefault="00AE42A1">
      <w:pPr>
        <w:spacing w:after="0" w:line="360" w:lineRule="auto"/>
        <w:rPr>
          <w:rFonts w:cs="Arial"/>
          <w:b/>
          <w:bCs/>
          <w:sz w:val="20"/>
          <w:szCs w:val="20"/>
        </w:rPr>
      </w:pPr>
      <w:bookmarkStart w:id="781" w:name="_Toc514142948"/>
      <w:bookmarkStart w:id="782" w:name="_Toc516128432"/>
      <w:bookmarkStart w:id="783" w:name="_Toc527969529"/>
      <w:r>
        <w:rPr>
          <w:rFonts w:cs="Arial"/>
          <w:b/>
          <w:bCs/>
          <w:sz w:val="20"/>
          <w:szCs w:val="20"/>
        </w:rPr>
        <w:t xml:space="preserve">Tablica </w:t>
      </w:r>
      <w:r>
        <w:rPr>
          <w:rFonts w:cs="Arial"/>
          <w:b/>
          <w:bCs/>
          <w:sz w:val="20"/>
          <w:szCs w:val="20"/>
        </w:rPr>
        <w:fldChar w:fldCharType="begin"/>
      </w:r>
      <w:r>
        <w:instrText>SEQ Tablica \* ARABIC</w:instrText>
      </w:r>
      <w:r>
        <w:fldChar w:fldCharType="separate"/>
      </w:r>
      <w:r>
        <w:t>47</w:t>
      </w:r>
      <w:r>
        <w:fldChar w:fldCharType="end"/>
      </w:r>
      <w:bookmarkEnd w:id="781"/>
      <w:bookmarkEnd w:id="782"/>
      <w:bookmarkEnd w:id="783"/>
      <w:r>
        <w:rPr>
          <w:rFonts w:cs="Arial"/>
          <w:b/>
          <w:bCs/>
          <w:sz w:val="20"/>
          <w:szCs w:val="20"/>
        </w:rPr>
        <w:t xml:space="preserve">: Prikaz </w:t>
      </w:r>
      <w:r>
        <w:rPr>
          <w:rFonts w:cs="Arial"/>
          <w:b/>
          <w:bCs/>
          <w:sz w:val="20"/>
          <w:szCs w:val="20"/>
        </w:rPr>
        <w:t>prijetnjom nastalih posljedica na ustanovama i građevinama od javnog i društvenog značaja</w:t>
      </w:r>
    </w:p>
    <w:tbl>
      <w:tblPr>
        <w:tblW w:w="7374"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2003"/>
        <w:gridCol w:w="1477"/>
        <w:gridCol w:w="2534"/>
        <w:gridCol w:w="1360"/>
      </w:tblGrid>
      <w:tr w:rsidR="008F0D85">
        <w:trPr>
          <w:trHeight w:val="310"/>
          <w:jc w:val="center"/>
        </w:trPr>
        <w:tc>
          <w:tcPr>
            <w:tcW w:w="7373"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Društvena stabilnost i politika</w:t>
            </w:r>
          </w:p>
        </w:tc>
      </w:tr>
      <w:tr w:rsidR="008F0D85">
        <w:trPr>
          <w:trHeight w:val="310"/>
          <w:jc w:val="center"/>
        </w:trPr>
        <w:tc>
          <w:tcPr>
            <w:tcW w:w="7373"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Štete/gubici na ustanovama/građevinama javnog društvenog značaja</w:t>
            </w:r>
          </w:p>
        </w:tc>
      </w:tr>
      <w:tr w:rsidR="008F0D85">
        <w:trPr>
          <w:trHeight w:val="310"/>
          <w:jc w:val="center"/>
        </w:trPr>
        <w:tc>
          <w:tcPr>
            <w:tcW w:w="200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147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Posljedice</w:t>
            </w:r>
          </w:p>
        </w:tc>
        <w:tc>
          <w:tcPr>
            <w:tcW w:w="253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U kn</w:t>
            </w:r>
          </w:p>
        </w:tc>
        <w:tc>
          <w:tcPr>
            <w:tcW w:w="136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Odabrano</w:t>
            </w:r>
          </w:p>
        </w:tc>
      </w:tr>
      <w:tr w:rsidR="008F0D85">
        <w:trPr>
          <w:trHeight w:val="310"/>
          <w:jc w:val="center"/>
        </w:trPr>
        <w:tc>
          <w:tcPr>
            <w:tcW w:w="200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147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Neznatne</w:t>
            </w:r>
          </w:p>
        </w:tc>
        <w:tc>
          <w:tcPr>
            <w:tcW w:w="253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 – 208.060,00</w:t>
            </w:r>
          </w:p>
        </w:tc>
        <w:tc>
          <w:tcPr>
            <w:tcW w:w="13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sz w:val="20"/>
                <w:szCs w:val="20"/>
              </w:rPr>
            </w:pPr>
          </w:p>
        </w:tc>
      </w:tr>
      <w:tr w:rsidR="008F0D85">
        <w:trPr>
          <w:trHeight w:val="310"/>
          <w:jc w:val="center"/>
        </w:trPr>
        <w:tc>
          <w:tcPr>
            <w:tcW w:w="200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147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Malene</w:t>
            </w:r>
          </w:p>
        </w:tc>
        <w:tc>
          <w:tcPr>
            <w:tcW w:w="253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208.060,00 – 1.040.300,00</w:t>
            </w:r>
          </w:p>
        </w:tc>
        <w:tc>
          <w:tcPr>
            <w:tcW w:w="13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10"/>
          <w:jc w:val="center"/>
        </w:trPr>
        <w:tc>
          <w:tcPr>
            <w:tcW w:w="200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147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Umjerene</w:t>
            </w:r>
          </w:p>
        </w:tc>
        <w:tc>
          <w:tcPr>
            <w:tcW w:w="253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1.040.300,00 – 3.120.900,00</w:t>
            </w:r>
          </w:p>
        </w:tc>
        <w:tc>
          <w:tcPr>
            <w:tcW w:w="13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b/>
                <w:sz w:val="20"/>
                <w:szCs w:val="20"/>
              </w:rPr>
            </w:pPr>
            <w:r>
              <w:rPr>
                <w:b/>
                <w:sz w:val="20"/>
                <w:szCs w:val="20"/>
              </w:rPr>
              <w:t>X</w:t>
            </w:r>
          </w:p>
        </w:tc>
      </w:tr>
      <w:tr w:rsidR="008F0D85">
        <w:trPr>
          <w:trHeight w:val="325"/>
          <w:jc w:val="center"/>
        </w:trPr>
        <w:tc>
          <w:tcPr>
            <w:tcW w:w="200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147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Značajne</w:t>
            </w:r>
          </w:p>
        </w:tc>
        <w:tc>
          <w:tcPr>
            <w:tcW w:w="253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3.120.900,00 – 5.201.500,00</w:t>
            </w:r>
          </w:p>
        </w:tc>
        <w:tc>
          <w:tcPr>
            <w:tcW w:w="13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10"/>
          <w:jc w:val="center"/>
        </w:trPr>
        <w:tc>
          <w:tcPr>
            <w:tcW w:w="200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147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Katastrofalne</w:t>
            </w:r>
          </w:p>
        </w:tc>
        <w:tc>
          <w:tcPr>
            <w:tcW w:w="253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5.201.500,00</w:t>
            </w:r>
          </w:p>
        </w:tc>
        <w:tc>
          <w:tcPr>
            <w:tcW w:w="13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bl>
    <w:p w:rsidR="008F0D85" w:rsidRDefault="008F0D85"/>
    <w:p w:rsidR="008F0D85" w:rsidRDefault="00AE42A1">
      <w:pPr>
        <w:spacing w:after="0" w:line="360" w:lineRule="auto"/>
        <w:jc w:val="center"/>
        <w:rPr>
          <w:rFonts w:cs="Arial"/>
          <w:b/>
          <w:bCs/>
          <w:sz w:val="20"/>
          <w:szCs w:val="20"/>
        </w:rPr>
      </w:pPr>
      <w:bookmarkStart w:id="784" w:name="_Toc514142949"/>
      <w:bookmarkStart w:id="785" w:name="_Toc516128433"/>
      <w:bookmarkStart w:id="786" w:name="_Toc527969530"/>
      <w:r>
        <w:rPr>
          <w:rFonts w:cs="Arial"/>
          <w:b/>
          <w:bCs/>
          <w:sz w:val="20"/>
          <w:szCs w:val="20"/>
        </w:rPr>
        <w:t xml:space="preserve">Tablica </w:t>
      </w:r>
      <w:r>
        <w:rPr>
          <w:rFonts w:cs="Arial"/>
          <w:b/>
          <w:bCs/>
          <w:sz w:val="20"/>
          <w:szCs w:val="20"/>
        </w:rPr>
        <w:fldChar w:fldCharType="begin"/>
      </w:r>
      <w:r>
        <w:instrText>SEQ Tablica \* ARABIC</w:instrText>
      </w:r>
      <w:r>
        <w:fldChar w:fldCharType="separate"/>
      </w:r>
      <w:r>
        <w:t>48</w:t>
      </w:r>
      <w:r>
        <w:fldChar w:fldCharType="end"/>
      </w:r>
      <w:bookmarkEnd w:id="784"/>
      <w:bookmarkEnd w:id="785"/>
      <w:bookmarkEnd w:id="786"/>
      <w:r>
        <w:rPr>
          <w:rFonts w:cs="Arial"/>
          <w:b/>
          <w:bCs/>
          <w:sz w:val="20"/>
          <w:szCs w:val="20"/>
        </w:rPr>
        <w:t xml:space="preserve">: Prikaz prijetnjom nastalih </w:t>
      </w:r>
      <w:r>
        <w:rPr>
          <w:rFonts w:cs="Arial"/>
          <w:b/>
          <w:bCs/>
          <w:sz w:val="20"/>
          <w:szCs w:val="20"/>
        </w:rPr>
        <w:t>posljedica na društvenu stabilnost i politiku - Poplava</w:t>
      </w:r>
    </w:p>
    <w:tbl>
      <w:tblPr>
        <w:tblW w:w="906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1697"/>
        <w:gridCol w:w="1700"/>
        <w:gridCol w:w="2410"/>
        <w:gridCol w:w="3253"/>
      </w:tblGrid>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Kategorija</w:t>
            </w:r>
          </w:p>
        </w:tc>
        <w:tc>
          <w:tcPr>
            <w:tcW w:w="1700"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Ukupno</w:t>
            </w:r>
          </w:p>
        </w:tc>
        <w:tc>
          <w:tcPr>
            <w:tcW w:w="2410"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Kritična infrastruktura</w:t>
            </w:r>
          </w:p>
        </w:tc>
        <w:tc>
          <w:tcPr>
            <w:tcW w:w="3253"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Ustanove/građevine javnog, društvenog interesa</w:t>
            </w:r>
          </w:p>
        </w:tc>
      </w:tr>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1</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sz w:val="20"/>
                <w:szCs w:val="20"/>
              </w:rPr>
            </w:pP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sz w:val="20"/>
                <w:szCs w:val="20"/>
              </w:rPr>
            </w:pPr>
          </w:p>
        </w:tc>
        <w:tc>
          <w:tcPr>
            <w:tcW w:w="32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sz w:val="20"/>
                <w:szCs w:val="20"/>
              </w:rPr>
            </w:pPr>
          </w:p>
        </w:tc>
      </w:tr>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2</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32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sz w:val="20"/>
                <w:szCs w:val="20"/>
              </w:rPr>
            </w:pPr>
          </w:p>
        </w:tc>
      </w:tr>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3</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32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X</w:t>
            </w:r>
          </w:p>
        </w:tc>
      </w:tr>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4</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X</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sz w:val="20"/>
                <w:szCs w:val="20"/>
              </w:rPr>
            </w:pPr>
          </w:p>
        </w:tc>
        <w:tc>
          <w:tcPr>
            <w:tcW w:w="32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sz w:val="20"/>
                <w:szCs w:val="20"/>
              </w:rPr>
            </w:pPr>
          </w:p>
        </w:tc>
      </w:tr>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5</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X</w:t>
            </w:r>
          </w:p>
        </w:tc>
        <w:tc>
          <w:tcPr>
            <w:tcW w:w="32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bookmarkStart w:id="787" w:name="_Hlk512265523"/>
            <w:bookmarkEnd w:id="787"/>
          </w:p>
        </w:tc>
      </w:tr>
    </w:tbl>
    <w:p w:rsidR="008F0D85" w:rsidRDefault="008F0D85">
      <w:pPr>
        <w:rPr>
          <w:sz w:val="20"/>
          <w:szCs w:val="20"/>
        </w:rPr>
      </w:pPr>
    </w:p>
    <w:p w:rsidR="008F0D85" w:rsidRDefault="00AE42A1">
      <w:pPr>
        <w:pStyle w:val="Naslov5"/>
      </w:pPr>
      <w:bookmarkStart w:id="788" w:name="_Toc514142860"/>
      <w:bookmarkStart w:id="789" w:name="_Toc516128330"/>
      <w:bookmarkStart w:id="790" w:name="_Toc527969425"/>
      <w:bookmarkEnd w:id="788"/>
      <w:bookmarkEnd w:id="789"/>
      <w:bookmarkEnd w:id="790"/>
      <w:r>
        <w:lastRenderedPageBreak/>
        <w:t xml:space="preserve">6.4.2.1.2. Vjerojatnost nastanka događaja s najgorim mogućim </w:t>
      </w:r>
      <w:r>
        <w:t>posljedicama uslijed poplave</w:t>
      </w:r>
    </w:p>
    <w:p w:rsidR="008F0D85" w:rsidRDefault="008F0D85">
      <w:pPr>
        <w:jc w:val="center"/>
      </w:pPr>
    </w:p>
    <w:p w:rsidR="008F0D85" w:rsidRDefault="00AE42A1">
      <w:pPr>
        <w:spacing w:after="0" w:line="360" w:lineRule="auto"/>
        <w:jc w:val="center"/>
        <w:rPr>
          <w:rFonts w:cs="Arial"/>
          <w:b/>
          <w:bCs/>
          <w:sz w:val="20"/>
          <w:szCs w:val="20"/>
        </w:rPr>
      </w:pPr>
      <w:bookmarkStart w:id="791" w:name="_Toc516128434"/>
      <w:bookmarkStart w:id="792" w:name="_Toc527969531"/>
      <w:r>
        <w:rPr>
          <w:rFonts w:cs="Arial"/>
          <w:b/>
          <w:bCs/>
          <w:sz w:val="20"/>
          <w:szCs w:val="20"/>
        </w:rPr>
        <w:t xml:space="preserve">Tablica </w:t>
      </w:r>
      <w:r>
        <w:rPr>
          <w:rFonts w:cs="Arial"/>
          <w:b/>
          <w:bCs/>
          <w:sz w:val="20"/>
          <w:szCs w:val="20"/>
        </w:rPr>
        <w:fldChar w:fldCharType="begin"/>
      </w:r>
      <w:r>
        <w:instrText>SEQ Tablica \* ARABIC</w:instrText>
      </w:r>
      <w:r>
        <w:fldChar w:fldCharType="separate"/>
      </w:r>
      <w:r>
        <w:t>49</w:t>
      </w:r>
      <w:r>
        <w:fldChar w:fldCharType="end"/>
      </w:r>
      <w:bookmarkEnd w:id="791"/>
      <w:bookmarkEnd w:id="792"/>
      <w:r>
        <w:rPr>
          <w:rFonts w:cs="Arial"/>
          <w:b/>
          <w:bCs/>
          <w:sz w:val="20"/>
          <w:szCs w:val="20"/>
        </w:rPr>
        <w:t>: Prikaz vjerojatnosti nastanka događaja s najgorim mogućim posljedicama uslijed poplave</w:t>
      </w:r>
    </w:p>
    <w:tbl>
      <w:tblPr>
        <w:tblW w:w="9214" w:type="dxa"/>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277"/>
        <w:gridCol w:w="1418"/>
        <w:gridCol w:w="1417"/>
        <w:gridCol w:w="1559"/>
        <w:gridCol w:w="2835"/>
        <w:gridCol w:w="708"/>
      </w:tblGrid>
      <w:tr w:rsidR="008F0D85">
        <w:trPr>
          <w:trHeight w:val="257"/>
        </w:trPr>
        <w:tc>
          <w:tcPr>
            <w:tcW w:w="1276"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1418"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Posljedice</w:t>
            </w:r>
          </w:p>
        </w:tc>
        <w:tc>
          <w:tcPr>
            <w:tcW w:w="6519"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Vjerojatnost/frekvencija</w:t>
            </w:r>
          </w:p>
        </w:tc>
      </w:tr>
      <w:tr w:rsidR="008F0D85">
        <w:trPr>
          <w:trHeight w:val="154"/>
        </w:trPr>
        <w:tc>
          <w:tcPr>
            <w:tcW w:w="1276"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rPr>
                <w:b/>
                <w:sz w:val="20"/>
                <w:szCs w:val="20"/>
              </w:rPr>
            </w:pPr>
          </w:p>
        </w:tc>
        <w:tc>
          <w:tcPr>
            <w:tcW w:w="1418"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rPr>
                <w:b/>
                <w:sz w:val="20"/>
                <w:szCs w:val="20"/>
              </w:rPr>
            </w:pPr>
          </w:p>
        </w:tc>
        <w:tc>
          <w:tcPr>
            <w:tcW w:w="141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Kvalitativno</w:t>
            </w:r>
          </w:p>
        </w:tc>
        <w:tc>
          <w:tcPr>
            <w:tcW w:w="155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Vjerojatnost</w:t>
            </w:r>
          </w:p>
        </w:tc>
        <w:tc>
          <w:tcPr>
            <w:tcW w:w="283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Frekvencija</w:t>
            </w:r>
          </w:p>
        </w:tc>
        <w:tc>
          <w:tcPr>
            <w:tcW w:w="70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spacing w:after="0" w:line="240" w:lineRule="auto"/>
              <w:jc w:val="center"/>
              <w:rPr>
                <w:b/>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Neznatne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Iznimno mala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&lt;1 %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u 100 godina i rjeđe</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Malene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 5 %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u 20 do 100 godina</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 – 50 %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u 2 do 20 godina</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b/>
                <w:sz w:val="20"/>
                <w:szCs w:val="20"/>
              </w:rPr>
            </w:pPr>
            <w:r>
              <w:rPr>
                <w:b/>
                <w:sz w:val="20"/>
                <w:szCs w:val="20"/>
              </w:rPr>
              <w:t>X</w:t>
            </w: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Značajne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Velika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51 – 98 %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1 do 2 godine</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273"/>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Katastrofalne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 xml:space="preserve">Iznimno </w:t>
            </w:r>
            <w:r>
              <w:rPr>
                <w:sz w:val="20"/>
                <w:szCs w:val="20"/>
              </w:rPr>
              <w:t>velika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&gt; 98 %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godišnje ili češće</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sz w:val="20"/>
                <w:szCs w:val="20"/>
              </w:rPr>
            </w:pPr>
          </w:p>
        </w:tc>
      </w:tr>
    </w:tbl>
    <w:p w:rsidR="008F0D85" w:rsidRDefault="008F0D85">
      <w:pPr>
        <w:rPr>
          <w:sz w:val="20"/>
          <w:szCs w:val="20"/>
        </w:rPr>
      </w:pPr>
    </w:p>
    <w:p w:rsidR="008F0D85" w:rsidRDefault="008F0D85">
      <w:pPr>
        <w:rPr>
          <w:rFonts w:cs="Calibri"/>
          <w:szCs w:val="24"/>
        </w:rPr>
      </w:pPr>
    </w:p>
    <w:p w:rsidR="008F0D85" w:rsidRDefault="00AE42A1">
      <w:pPr>
        <w:pStyle w:val="Naslov3"/>
      </w:pPr>
      <w:bookmarkStart w:id="793" w:name="_Toc516128331"/>
      <w:bookmarkStart w:id="794" w:name="_Toc527969426"/>
      <w:bookmarkEnd w:id="793"/>
      <w:bookmarkEnd w:id="794"/>
      <w:r>
        <w:t>6.4.3. Matrice rizika – Poplava</w:t>
      </w:r>
    </w:p>
    <w:p w:rsidR="008F0D85" w:rsidRDefault="00AE42A1">
      <w:pPr>
        <w:spacing w:after="0"/>
        <w:rPr>
          <w:b/>
        </w:rPr>
      </w:pPr>
      <w:r>
        <w:rPr>
          <w:b/>
        </w:rPr>
        <w:t>RIZIK – Poplave izazvane izlijevanjem kopnenih vodenih tijela</w:t>
      </w:r>
    </w:p>
    <w:p w:rsidR="008F0D85" w:rsidRDefault="00AE42A1">
      <w:pPr>
        <w:spacing w:after="0"/>
        <w:rPr>
          <w:b/>
        </w:rPr>
      </w:pPr>
      <w:r>
        <w:rPr>
          <w:b/>
        </w:rPr>
        <w:t>NAZIV SCENARIJA – Izlijevanje kopnenih vodenih tijela na području Općine</w:t>
      </w:r>
    </w:p>
    <w:p w:rsidR="008F0D85" w:rsidRDefault="008F0D85">
      <w:pPr>
        <w:spacing w:after="0"/>
        <w:rPr>
          <w:b/>
        </w:rPr>
      </w:pPr>
    </w:p>
    <w:p w:rsidR="008F0D85" w:rsidRDefault="00AE42A1">
      <w:pPr>
        <w:spacing w:after="0"/>
        <w:rPr>
          <w:u w:val="single"/>
        </w:rPr>
      </w:pPr>
      <w:r>
        <w:rPr>
          <w:u w:val="single"/>
        </w:rPr>
        <w:t xml:space="preserve">DOGAĐAJ S NAJGORIM MOGUĆIM </w:t>
      </w:r>
      <w:r>
        <w:rPr>
          <w:u w:val="single"/>
        </w:rPr>
        <w:t>POSLJEDICAMA – Izlijevanje kopnenih vodenih tijela na području Općine</w:t>
      </w:r>
    </w:p>
    <w:p w:rsidR="008F0D85" w:rsidRDefault="008F0D85"/>
    <w:p w:rsidR="008F0D85" w:rsidRDefault="008F0D85">
      <w:pPr>
        <w:rPr>
          <w:u w:val="single"/>
        </w:rPr>
      </w:pPr>
    </w:p>
    <w:p w:rsidR="008F0D85" w:rsidRDefault="00AE42A1">
      <w:pPr>
        <w:rPr>
          <w:sz w:val="18"/>
          <w:szCs w:val="18"/>
          <w:lang w:eastAsia="hr-HR"/>
        </w:rPr>
      </w:pPr>
      <w:r>
        <w:rPr>
          <w:sz w:val="18"/>
          <w:szCs w:val="18"/>
          <w:lang w:eastAsia="hr-HR"/>
        </w:rPr>
        <w:t xml:space="preserve">                  Život i zdravlje ljudi                                                Gospodarstvo                                   Društvena stabilnost i politika </w:t>
      </w:r>
    </w:p>
    <w:p w:rsidR="008F0D85" w:rsidRDefault="00AE42A1">
      <w:pPr>
        <w:rPr>
          <w:lang w:eastAsia="hr-HR"/>
        </w:rPr>
      </w:pPr>
      <w:r>
        <w:rPr>
          <w:noProof/>
        </w:rPr>
        <mc:AlternateContent>
          <mc:Choice Requires="wps">
            <w:drawing>
              <wp:anchor distT="0" distB="0" distL="114300" distR="114300" simplePos="0" relativeHeight="231" behindDoc="0" locked="0" layoutInCell="1" allowOverlap="1">
                <wp:simplePos x="0" y="0"/>
                <wp:positionH relativeFrom="column">
                  <wp:posOffset>823595</wp:posOffset>
                </wp:positionH>
                <wp:positionV relativeFrom="paragraph">
                  <wp:posOffset>219075</wp:posOffset>
                </wp:positionV>
                <wp:extent cx="2540" cy="2540"/>
                <wp:effectExtent l="0" t="0" r="0" b="0"/>
                <wp:wrapNone/>
                <wp:docPr id="71" name="Slika10"/>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634FBC7E" id="Slika10" o:spid="_x0000_s1026" style="position:absolute;margin-left:64.85pt;margin-top:17.25pt;width:.2pt;height:.2pt;z-index:2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" fillcolor="#4472c4" strokecolor="#2f528f" strokeweight=".35mm"/>
            </w:pict>
          </mc:Fallback>
        </mc:AlternateContent>
      </w:r>
      <w:r>
        <w:rPr>
          <w:noProof/>
        </w:rPr>
        <mc:AlternateContent>
          <mc:Choice Requires="wps">
            <w:drawing>
              <wp:anchor distT="0" distB="0" distL="114300" distR="114300" simplePos="0" relativeHeight="232" behindDoc="0" locked="0" layoutInCell="1" allowOverlap="1">
                <wp:simplePos x="0" y="0"/>
                <wp:positionH relativeFrom="column">
                  <wp:align>center</wp:align>
                </wp:positionH>
                <wp:positionV relativeFrom="paragraph">
                  <wp:posOffset>219075</wp:posOffset>
                </wp:positionV>
                <wp:extent cx="2540" cy="2540"/>
                <wp:effectExtent l="0" t="0" r="0" b="0"/>
                <wp:wrapNone/>
                <wp:docPr id="72" name="Slika11"/>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62D3B8F4" id="Slika11" o:spid="_x0000_s1026" style="position:absolute;margin-left:0;margin-top:17.25pt;width:.2pt;height:.2pt;z-index:23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" fillcolor="#4472c4" strokecolor="#2f528f" strokeweight=".35mm"/>
            </w:pict>
          </mc:Fallback>
        </mc:AlternateContent>
      </w:r>
      <w:r>
        <w:rPr>
          <w:noProof/>
        </w:rPr>
        <mc:AlternateContent>
          <mc:Choice Requires="wps">
            <w:drawing>
              <wp:anchor distT="0" distB="0" distL="114300" distR="114300" simplePos="0" relativeHeight="233" behindDoc="0" locked="0" layoutInCell="1" allowOverlap="1">
                <wp:simplePos x="0" y="0"/>
                <wp:positionH relativeFrom="column">
                  <wp:posOffset>4776470</wp:posOffset>
                </wp:positionH>
                <wp:positionV relativeFrom="paragraph">
                  <wp:posOffset>438150</wp:posOffset>
                </wp:positionV>
                <wp:extent cx="2540" cy="2540"/>
                <wp:effectExtent l="0" t="0" r="0" b="0"/>
                <wp:wrapNone/>
                <wp:docPr id="73" name="Slika12"/>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49D4FF47" id="Slika12" o:spid="_x0000_s1026" style="position:absolute;margin-left:376.1pt;margin-top:34.5pt;width:.2pt;height:.2pt;z-index:2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" fillcolor="#4472c4" strokecolor="#2f528f" strokeweight=".35mm"/>
            </w:pict>
          </mc:Fallback>
        </mc:AlternateContent>
      </w:r>
      <w:r>
        <w:rPr>
          <w:noProof/>
        </w:rPr>
        <w:drawing>
          <wp:inline distT="0" distB="0" distL="0" distR="0">
            <wp:extent cx="1762760" cy="1629410"/>
            <wp:effectExtent l="0" t="0" r="0" b="0"/>
            <wp:docPr id="74" name="Slik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ika14"/>
                    <pic:cNvPicPr>
                      <a:picLocks noChangeAspect="1" noChangeArrowheads="1"/>
                    </pic:cNvPicPr>
                  </pic:nvPicPr>
                  <pic:blipFill>
                    <a:blip r:embed="rId37"/>
                    <a:stretch>
                      <a:fillRect/>
                    </a:stretch>
                  </pic:blipFill>
                  <pic:spPr bwMode="auto">
                    <a:xfrm>
                      <a:off x="0" y="0"/>
                      <a:ext cx="1762760" cy="1629410"/>
                    </a:xfrm>
                    <a:prstGeom prst="rect">
                      <a:avLst/>
                    </a:prstGeom>
                  </pic:spPr>
                </pic:pic>
              </a:graphicData>
            </a:graphic>
          </wp:inline>
        </w:drawing>
      </w:r>
      <w:r>
        <w:rPr>
          <w:lang w:eastAsia="hr-HR"/>
        </w:rPr>
        <w:t xml:space="preserve">       </w:t>
      </w:r>
      <w:r>
        <w:rPr>
          <w:noProof/>
          <w:lang w:eastAsia="hr-HR"/>
        </w:rPr>
        <w:drawing>
          <wp:inline distT="0" distB="0" distL="0" distR="0">
            <wp:extent cx="1762760" cy="1629410"/>
            <wp:effectExtent l="0" t="0" r="0" b="0"/>
            <wp:docPr id="75" name="Slik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lika15"/>
                    <pic:cNvPicPr>
                      <a:picLocks noChangeAspect="1" noChangeArrowheads="1"/>
                    </pic:cNvPicPr>
                  </pic:nvPicPr>
                  <pic:blipFill>
                    <a:blip r:embed="rId37"/>
                    <a:stretch>
                      <a:fillRect/>
                    </a:stretch>
                  </pic:blipFill>
                  <pic:spPr bwMode="auto">
                    <a:xfrm>
                      <a:off x="0" y="0"/>
                      <a:ext cx="1762760" cy="1629410"/>
                    </a:xfrm>
                    <a:prstGeom prst="rect">
                      <a:avLst/>
                    </a:prstGeom>
                  </pic:spPr>
                </pic:pic>
              </a:graphicData>
            </a:graphic>
          </wp:inline>
        </w:drawing>
      </w:r>
      <w:r>
        <w:rPr>
          <w:lang w:eastAsia="hr-HR"/>
        </w:rPr>
        <w:t xml:space="preserve">      </w:t>
      </w:r>
      <w:r>
        <w:rPr>
          <w:noProof/>
          <w:lang w:eastAsia="hr-HR"/>
        </w:rPr>
        <w:drawing>
          <wp:inline distT="0" distB="0" distL="0" distR="0">
            <wp:extent cx="1762760" cy="1629410"/>
            <wp:effectExtent l="0" t="0" r="0" b="0"/>
            <wp:docPr id="76" name="Slika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lika16"/>
                    <pic:cNvPicPr>
                      <a:picLocks noChangeAspect="1" noChangeArrowheads="1"/>
                    </pic:cNvPicPr>
                  </pic:nvPicPr>
                  <pic:blipFill>
                    <a:blip r:embed="rId37"/>
                    <a:stretch>
                      <a:fillRect/>
                    </a:stretch>
                  </pic:blipFill>
                  <pic:spPr bwMode="auto">
                    <a:xfrm>
                      <a:off x="0" y="0"/>
                      <a:ext cx="1762760" cy="1629410"/>
                    </a:xfrm>
                    <a:prstGeom prst="rect">
                      <a:avLst/>
                    </a:prstGeom>
                  </pic:spPr>
                </pic:pic>
              </a:graphicData>
            </a:graphic>
          </wp:inline>
        </w:drawing>
      </w:r>
    </w:p>
    <w:p w:rsidR="008F0D85" w:rsidRDefault="008F0D85">
      <w:pPr>
        <w:rPr>
          <w:lang w:eastAsia="hr-HR"/>
        </w:rPr>
      </w:pPr>
    </w:p>
    <w:p w:rsidR="008F0D85" w:rsidRDefault="00AE42A1">
      <w:pPr>
        <w:jc w:val="center"/>
        <w:rPr>
          <w:lang w:eastAsia="hr-HR"/>
        </w:rPr>
      </w:pPr>
      <w:r>
        <w:rPr>
          <w:lang w:eastAsia="hr-HR"/>
        </w:rPr>
        <w:t xml:space="preserve">                                                                 Matrica ukupnog rizika</w:t>
      </w:r>
    </w:p>
    <w:p w:rsidR="008F0D85" w:rsidRDefault="00AE42A1">
      <w:pPr>
        <w:rPr>
          <w:rFonts w:cs="Calibri"/>
          <w:szCs w:val="24"/>
        </w:rPr>
      </w:pPr>
      <w:r>
        <w:rPr>
          <w:noProof/>
        </w:rPr>
        <w:lastRenderedPageBreak/>
        <mc:AlternateContent>
          <mc:Choice Requires="wps">
            <w:drawing>
              <wp:anchor distT="0" distB="0" distL="114300" distR="114300" simplePos="0" relativeHeight="234" behindDoc="0" locked="0" layoutInCell="1" allowOverlap="1">
                <wp:simplePos x="0" y="0"/>
                <wp:positionH relativeFrom="column">
                  <wp:posOffset>3852545</wp:posOffset>
                </wp:positionH>
                <wp:positionV relativeFrom="paragraph">
                  <wp:posOffset>365760</wp:posOffset>
                </wp:positionV>
                <wp:extent cx="2540" cy="2540"/>
                <wp:effectExtent l="0" t="0" r="0" b="0"/>
                <wp:wrapNone/>
                <wp:docPr id="77" name="Slika13"/>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50D2592B" id="Slika13" o:spid="_x0000_s1026" style="position:absolute;margin-left:303.35pt;margin-top:28.8pt;width:.2pt;height:.2pt;z-index:23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" fillcolor="#4472c4" strokecolor="#2f528f" strokeweight=".35mm"/>
            </w:pict>
          </mc:Fallback>
        </mc:AlternateContent>
      </w:r>
      <w:r>
        <w:rPr>
          <w:noProof/>
        </w:rPr>
        <w:drawing>
          <wp:inline distT="0" distB="0" distL="0" distR="0">
            <wp:extent cx="2324735" cy="924560"/>
            <wp:effectExtent l="0" t="0" r="0" b="0"/>
            <wp:docPr id="78" name="Slik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lika17"/>
                    <pic:cNvPicPr>
                      <a:picLocks noChangeAspect="1" noChangeArrowheads="1"/>
                    </pic:cNvPicPr>
                  </pic:nvPicPr>
                  <pic:blipFill>
                    <a:blip r:embed="rId38"/>
                    <a:stretch>
                      <a:fillRect/>
                    </a:stretch>
                  </pic:blipFill>
                  <pic:spPr bwMode="auto">
                    <a:xfrm>
                      <a:off x="0" y="0"/>
                      <a:ext cx="2324735" cy="924560"/>
                    </a:xfrm>
                    <a:prstGeom prst="rect">
                      <a:avLst/>
                    </a:prstGeom>
                  </pic:spPr>
                </pic:pic>
              </a:graphicData>
            </a:graphic>
          </wp:inline>
        </w:drawing>
      </w:r>
      <w:r>
        <w:rPr>
          <w:noProof/>
        </w:rPr>
        <w:drawing>
          <wp:inline distT="0" distB="0" distL="0" distR="0">
            <wp:extent cx="3229610" cy="2762885"/>
            <wp:effectExtent l="0" t="0" r="0" b="0"/>
            <wp:docPr id="79" name="Slik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lika18"/>
                    <pic:cNvPicPr>
                      <a:picLocks noChangeAspect="1" noChangeArrowheads="1"/>
                    </pic:cNvPicPr>
                  </pic:nvPicPr>
                  <pic:blipFill>
                    <a:blip r:embed="rId37"/>
                    <a:stretch>
                      <a:fillRect/>
                    </a:stretch>
                  </pic:blipFill>
                  <pic:spPr bwMode="auto">
                    <a:xfrm>
                      <a:off x="0" y="0"/>
                      <a:ext cx="3229610" cy="2762885"/>
                    </a:xfrm>
                    <a:prstGeom prst="rect">
                      <a:avLst/>
                    </a:prstGeom>
                  </pic:spPr>
                </pic:pic>
              </a:graphicData>
            </a:graphic>
          </wp:inline>
        </w:drawing>
      </w: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AE42A1">
      <w:pPr>
        <w:pStyle w:val="Naslov3"/>
      </w:pPr>
      <w:bookmarkStart w:id="795" w:name="_Toc514142862"/>
      <w:bookmarkStart w:id="796" w:name="_Toc516128332"/>
      <w:bookmarkStart w:id="797" w:name="_Toc527969427"/>
      <w:bookmarkEnd w:id="795"/>
      <w:bookmarkEnd w:id="796"/>
      <w:bookmarkEnd w:id="797"/>
      <w:r>
        <w:t>6.4.4. Izvor podataka</w:t>
      </w:r>
    </w:p>
    <w:p w:rsidR="008F0D85" w:rsidRDefault="008F0D85"/>
    <w:p w:rsidR="008F0D85" w:rsidRDefault="00AE42A1">
      <w:pPr>
        <w:numPr>
          <w:ilvl w:val="0"/>
          <w:numId w:val="54"/>
        </w:numPr>
        <w:spacing w:after="47" w:line="240" w:lineRule="auto"/>
        <w:contextualSpacing/>
        <w:jc w:val="left"/>
        <w:rPr>
          <w:rFonts w:cs="Calibri"/>
          <w:color w:val="000000"/>
          <w:sz w:val="20"/>
          <w:szCs w:val="20"/>
          <w:lang w:val="en-US"/>
        </w:rPr>
      </w:pPr>
      <w:r>
        <w:rPr>
          <w:rFonts w:cs="Calibri"/>
          <w:color w:val="000000"/>
          <w:sz w:val="20"/>
          <w:szCs w:val="20"/>
          <w:lang w:val="en-US"/>
        </w:rPr>
        <w:t xml:space="preserve">Državni hidrometeorološki zavod (DHMZ, 2016., 2017.god.) </w:t>
      </w:r>
    </w:p>
    <w:p w:rsidR="008F0D85" w:rsidRDefault="00AE42A1">
      <w:pPr>
        <w:numPr>
          <w:ilvl w:val="0"/>
          <w:numId w:val="54"/>
        </w:numPr>
        <w:spacing w:after="47" w:line="240" w:lineRule="auto"/>
        <w:contextualSpacing/>
        <w:jc w:val="left"/>
        <w:rPr>
          <w:rFonts w:cs="Calibri"/>
          <w:color w:val="000000"/>
          <w:sz w:val="20"/>
          <w:szCs w:val="20"/>
          <w:lang w:val="en-US"/>
        </w:rPr>
      </w:pPr>
      <w:r>
        <w:rPr>
          <w:rFonts w:cs="Calibri"/>
          <w:color w:val="000000"/>
          <w:sz w:val="20"/>
          <w:szCs w:val="20"/>
          <w:lang w:val="en-US"/>
        </w:rPr>
        <w:t xml:space="preserve">Državni zavod za statistiku, Popis stanovništva 2011.god. </w:t>
      </w:r>
    </w:p>
    <w:p w:rsidR="008F0D85" w:rsidRDefault="00AE42A1">
      <w:pPr>
        <w:numPr>
          <w:ilvl w:val="0"/>
          <w:numId w:val="54"/>
        </w:numPr>
        <w:spacing w:after="47" w:line="240" w:lineRule="auto"/>
        <w:contextualSpacing/>
        <w:jc w:val="left"/>
        <w:rPr>
          <w:rFonts w:cs="Calibri"/>
          <w:color w:val="000000"/>
          <w:sz w:val="20"/>
          <w:szCs w:val="20"/>
          <w:lang w:val="en-US"/>
        </w:rPr>
      </w:pPr>
      <w:r>
        <w:rPr>
          <w:rFonts w:cs="Calibri"/>
          <w:color w:val="000000"/>
          <w:sz w:val="20"/>
          <w:szCs w:val="20"/>
          <w:lang w:val="en-US"/>
        </w:rPr>
        <w:t>Hrvatske vode, 2018.</w:t>
      </w:r>
    </w:p>
    <w:p w:rsidR="008F0D85" w:rsidRDefault="00AE42A1">
      <w:pPr>
        <w:numPr>
          <w:ilvl w:val="0"/>
          <w:numId w:val="54"/>
        </w:numPr>
        <w:spacing w:after="47" w:line="240" w:lineRule="auto"/>
        <w:contextualSpacing/>
        <w:jc w:val="left"/>
        <w:rPr>
          <w:rFonts w:cs="Calibri"/>
          <w:color w:val="000000"/>
          <w:sz w:val="20"/>
          <w:szCs w:val="20"/>
          <w:lang w:val="en-US"/>
        </w:rPr>
      </w:pPr>
      <w:r>
        <w:rPr>
          <w:rFonts w:cs="Calibri"/>
          <w:color w:val="000000"/>
          <w:sz w:val="20"/>
          <w:szCs w:val="20"/>
          <w:lang w:val="en-US"/>
        </w:rPr>
        <w:t xml:space="preserve">Karte opasnosti od poplava i karte rizika od poplava 2014.god. </w:t>
      </w:r>
    </w:p>
    <w:p w:rsidR="008F0D85" w:rsidRDefault="00AE42A1">
      <w:pPr>
        <w:numPr>
          <w:ilvl w:val="0"/>
          <w:numId w:val="54"/>
        </w:numPr>
        <w:spacing w:after="47" w:line="240" w:lineRule="auto"/>
        <w:contextualSpacing/>
        <w:jc w:val="left"/>
        <w:rPr>
          <w:rFonts w:cs="Calibri"/>
          <w:color w:val="000000"/>
          <w:sz w:val="20"/>
          <w:szCs w:val="20"/>
          <w:lang w:val="en-US"/>
        </w:rPr>
      </w:pPr>
      <w:r>
        <w:rPr>
          <w:rFonts w:cs="Calibri"/>
          <w:color w:val="000000"/>
          <w:sz w:val="20"/>
          <w:szCs w:val="20"/>
          <w:lang w:val="en-US"/>
        </w:rPr>
        <w:t xml:space="preserve">Plan upravljanja vodnim područjima za razdoblje 2016. – 2021., 2016.god. </w:t>
      </w:r>
    </w:p>
    <w:p w:rsidR="008F0D85" w:rsidRDefault="00AE42A1">
      <w:pPr>
        <w:numPr>
          <w:ilvl w:val="0"/>
          <w:numId w:val="54"/>
        </w:numPr>
        <w:spacing w:after="47" w:line="240" w:lineRule="auto"/>
        <w:contextualSpacing/>
        <w:jc w:val="left"/>
        <w:rPr>
          <w:rFonts w:cs="Calibri"/>
          <w:color w:val="000000"/>
          <w:sz w:val="20"/>
          <w:szCs w:val="20"/>
          <w:lang w:val="en-US"/>
        </w:rPr>
      </w:pPr>
      <w:r>
        <w:rPr>
          <w:rFonts w:cs="Calibri"/>
          <w:color w:val="000000"/>
          <w:sz w:val="20"/>
          <w:szCs w:val="20"/>
          <w:lang w:val="en-US"/>
        </w:rPr>
        <w:t>Procjena rizika od katastrofa za Repub</w:t>
      </w:r>
      <w:r>
        <w:rPr>
          <w:rFonts w:cs="Calibri"/>
          <w:color w:val="000000"/>
          <w:sz w:val="20"/>
          <w:szCs w:val="20"/>
          <w:lang w:val="en-US"/>
        </w:rPr>
        <w:t xml:space="preserve">liku Hrvatsku, 2016.god. </w:t>
      </w:r>
    </w:p>
    <w:p w:rsidR="008F0D85" w:rsidRDefault="00AE42A1">
      <w:pPr>
        <w:numPr>
          <w:ilvl w:val="0"/>
          <w:numId w:val="54"/>
        </w:numPr>
        <w:spacing w:after="47" w:line="240" w:lineRule="auto"/>
        <w:contextualSpacing/>
        <w:jc w:val="left"/>
        <w:rPr>
          <w:rFonts w:cs="Calibri"/>
          <w:color w:val="000000"/>
          <w:sz w:val="20"/>
          <w:szCs w:val="20"/>
          <w:lang w:val="en-US"/>
        </w:rPr>
      </w:pPr>
      <w:r>
        <w:rPr>
          <w:rFonts w:cs="Calibri"/>
          <w:color w:val="000000"/>
          <w:sz w:val="20"/>
          <w:szCs w:val="20"/>
          <w:lang w:val="en-US"/>
        </w:rPr>
        <w:t>Procjena ugroženosti stanovništva, materijalnih i kulturnih dobara i okoliša Općine Kloštar Podravski, 2015.god.</w:t>
      </w:r>
    </w:p>
    <w:p w:rsidR="008F0D85" w:rsidRDefault="00AE42A1">
      <w:pPr>
        <w:numPr>
          <w:ilvl w:val="0"/>
          <w:numId w:val="54"/>
        </w:numPr>
        <w:spacing w:after="47" w:line="240" w:lineRule="auto"/>
        <w:contextualSpacing/>
        <w:jc w:val="left"/>
        <w:rPr>
          <w:rFonts w:cs="Calibri"/>
          <w:color w:val="000000"/>
          <w:sz w:val="20"/>
          <w:szCs w:val="20"/>
          <w:lang w:val="en-US"/>
        </w:rPr>
      </w:pPr>
      <w:r>
        <w:rPr>
          <w:rFonts w:cs="Calibri"/>
          <w:color w:val="000000"/>
          <w:sz w:val="20"/>
          <w:szCs w:val="20"/>
          <w:lang w:val="en-US"/>
        </w:rPr>
        <w:t>Procjena ugroženosti stanovništva, materijalnih i kulturnih dobara i okoliša za Koprivničko – križevačku županiju, 20</w:t>
      </w:r>
      <w:r>
        <w:rPr>
          <w:rFonts w:cs="Calibri"/>
          <w:color w:val="000000"/>
          <w:sz w:val="20"/>
          <w:szCs w:val="20"/>
          <w:lang w:val="en-US"/>
        </w:rPr>
        <w:t xml:space="preserve">15.god. </w:t>
      </w:r>
    </w:p>
    <w:p w:rsidR="008F0D85" w:rsidRDefault="00AE42A1">
      <w:pPr>
        <w:numPr>
          <w:ilvl w:val="0"/>
          <w:numId w:val="54"/>
        </w:numPr>
        <w:spacing w:after="47" w:line="240" w:lineRule="auto"/>
        <w:contextualSpacing/>
        <w:jc w:val="left"/>
        <w:rPr>
          <w:rFonts w:cs="Calibri"/>
          <w:color w:val="000000"/>
          <w:sz w:val="20"/>
          <w:szCs w:val="20"/>
          <w:lang w:val="en-US"/>
        </w:rPr>
      </w:pPr>
      <w:r>
        <w:rPr>
          <w:rFonts w:cs="Calibri"/>
          <w:color w:val="000000"/>
          <w:sz w:val="20"/>
          <w:szCs w:val="20"/>
          <w:lang w:val="en-US"/>
        </w:rPr>
        <w:t xml:space="preserve">Provedbeni plan obrane od poplava branjenog područja, sektor A – Mura i gornja Drava, branjeno područje 19: područje maloga sliva Bistra, 2014.god. </w:t>
      </w:r>
    </w:p>
    <w:p w:rsidR="008F0D85" w:rsidRDefault="00AE42A1">
      <w:pPr>
        <w:numPr>
          <w:ilvl w:val="0"/>
          <w:numId w:val="54"/>
        </w:numPr>
        <w:spacing w:after="47" w:line="240" w:lineRule="auto"/>
        <w:contextualSpacing/>
        <w:jc w:val="left"/>
        <w:rPr>
          <w:rFonts w:cs="Calibri"/>
          <w:color w:val="000000"/>
          <w:sz w:val="20"/>
          <w:szCs w:val="20"/>
          <w:lang w:val="en-US"/>
        </w:rPr>
      </w:pPr>
      <w:r>
        <w:rPr>
          <w:rFonts w:cs="Calibri"/>
          <w:color w:val="000000"/>
          <w:sz w:val="20"/>
          <w:szCs w:val="20"/>
          <w:lang w:val="en-US"/>
        </w:rPr>
        <w:t>Smjernice za izradu Procjene rizika od velikih nesreća na području Koprivničko - križevačke župani</w:t>
      </w:r>
      <w:r>
        <w:rPr>
          <w:rFonts w:cs="Calibri"/>
          <w:color w:val="000000"/>
          <w:sz w:val="20"/>
          <w:szCs w:val="20"/>
          <w:lang w:val="en-US"/>
        </w:rPr>
        <w:t xml:space="preserve">je, 2017.god. </w:t>
      </w:r>
    </w:p>
    <w:p w:rsidR="008F0D85" w:rsidRDefault="00AE42A1">
      <w:pPr>
        <w:numPr>
          <w:ilvl w:val="0"/>
          <w:numId w:val="54"/>
        </w:numPr>
        <w:spacing w:after="47" w:line="240" w:lineRule="auto"/>
        <w:contextualSpacing/>
        <w:jc w:val="left"/>
        <w:rPr>
          <w:rFonts w:cs="Calibri"/>
          <w:color w:val="000000"/>
          <w:sz w:val="20"/>
          <w:szCs w:val="20"/>
          <w:lang w:val="en-US"/>
        </w:rPr>
      </w:pPr>
      <w:r>
        <w:rPr>
          <w:rFonts w:cs="Calibri"/>
          <w:color w:val="000000"/>
          <w:sz w:val="20"/>
          <w:szCs w:val="20"/>
          <w:lang w:val="en-US"/>
        </w:rPr>
        <w:t xml:space="preserve">Zakon o kritičnim infrastrukturama (“Narodne Novine” br. 56/13) </w:t>
      </w:r>
    </w:p>
    <w:p w:rsidR="008F0D85" w:rsidRDefault="00AE42A1">
      <w:pPr>
        <w:numPr>
          <w:ilvl w:val="0"/>
          <w:numId w:val="54"/>
        </w:numPr>
        <w:spacing w:after="0" w:line="240" w:lineRule="auto"/>
        <w:contextualSpacing/>
        <w:jc w:val="left"/>
        <w:rPr>
          <w:rFonts w:cs="Calibri"/>
          <w:color w:val="000000"/>
          <w:sz w:val="20"/>
          <w:szCs w:val="20"/>
          <w:lang w:val="en-US"/>
        </w:rPr>
      </w:pPr>
      <w:r>
        <w:rPr>
          <w:rFonts w:cs="Calibri"/>
          <w:color w:val="000000"/>
          <w:sz w:val="20"/>
          <w:szCs w:val="20"/>
          <w:lang w:val="en-US"/>
        </w:rPr>
        <w:t xml:space="preserve">Zakon o sustavu civilne zaštite („Narodne Novine“ br. 82/15) </w:t>
      </w: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8F0D85">
      <w:pPr>
        <w:spacing w:after="0" w:line="240" w:lineRule="auto"/>
        <w:rPr>
          <w:rFonts w:cs="Calibri"/>
          <w:color w:val="000000"/>
          <w:sz w:val="20"/>
          <w:szCs w:val="20"/>
        </w:rPr>
      </w:pPr>
    </w:p>
    <w:p w:rsidR="008F0D85" w:rsidRDefault="00AE42A1">
      <w:pPr>
        <w:pStyle w:val="Naslov2"/>
      </w:pPr>
      <w:bookmarkStart w:id="798" w:name="_Toc512434660"/>
      <w:bookmarkStart w:id="799" w:name="_Toc514240230"/>
      <w:bookmarkStart w:id="800" w:name="_Toc516128333"/>
      <w:bookmarkStart w:id="801" w:name="_Toc527969428"/>
      <w:bookmarkEnd w:id="798"/>
      <w:bookmarkEnd w:id="799"/>
      <w:bookmarkEnd w:id="800"/>
      <w:bookmarkEnd w:id="801"/>
      <w:r>
        <w:t>6.5. Potres</w:t>
      </w:r>
    </w:p>
    <w:p w:rsidR="008F0D85" w:rsidRDefault="00AE42A1">
      <w:pPr>
        <w:pStyle w:val="Naslov3"/>
      </w:pPr>
      <w:bookmarkStart w:id="802" w:name="_Toc512434661"/>
      <w:bookmarkStart w:id="803" w:name="_Toc514240231"/>
      <w:bookmarkStart w:id="804" w:name="_Toc516128334"/>
      <w:bookmarkStart w:id="805" w:name="_Toc527969429"/>
      <w:bookmarkEnd w:id="802"/>
      <w:bookmarkEnd w:id="803"/>
      <w:bookmarkEnd w:id="804"/>
      <w:bookmarkEnd w:id="805"/>
      <w:r>
        <w:t>6.5.1. RIZIK – Potres</w:t>
      </w:r>
    </w:p>
    <w:p w:rsidR="008F0D85" w:rsidRDefault="00AE42A1">
      <w:pPr>
        <w:pStyle w:val="Naslov4"/>
      </w:pPr>
      <w:bookmarkStart w:id="806" w:name="_Toc512434662"/>
      <w:bookmarkStart w:id="807" w:name="_Toc514240232"/>
      <w:bookmarkStart w:id="808" w:name="_Toc516128335"/>
      <w:bookmarkStart w:id="809" w:name="_Toc527969430"/>
      <w:bookmarkEnd w:id="806"/>
      <w:bookmarkEnd w:id="807"/>
      <w:bookmarkEnd w:id="808"/>
      <w:bookmarkEnd w:id="809"/>
      <w:r>
        <w:t xml:space="preserve">6.5.1.1. – NAZIV SCENARIJA – </w:t>
      </w:r>
      <w:r>
        <w:t>Podrhtavanje tla na području Općine uzrokovano potresom jačine 8° MCS</w:t>
      </w:r>
    </w:p>
    <w:p w:rsidR="008F0D85" w:rsidRDefault="008F0D85"/>
    <w:tbl>
      <w:tblPr>
        <w:tblW w:w="9097"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9097"/>
      </w:tblGrid>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Naziv scenarija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szCs w:val="20"/>
              </w:rPr>
            </w:pPr>
            <w:r>
              <w:rPr>
                <w:i/>
                <w:sz w:val="20"/>
                <w:szCs w:val="20"/>
              </w:rPr>
              <w:t>Podrhtavanje tla na području Općine  uzrokovano potresom jačine 8</w:t>
            </w:r>
            <w:r>
              <w:rPr>
                <w:rFonts w:cs="Calibri"/>
                <w:i/>
                <w:sz w:val="20"/>
                <w:szCs w:val="20"/>
              </w:rPr>
              <w:t>°</w:t>
            </w:r>
            <w:r>
              <w:rPr>
                <w:i/>
                <w:sz w:val="20"/>
                <w:szCs w:val="20"/>
              </w:rPr>
              <w:t xml:space="preserve"> MCS</w:t>
            </w:r>
          </w:p>
        </w:tc>
      </w:tr>
      <w:tr w:rsidR="008F0D85">
        <w:trPr>
          <w:trHeight w:val="248"/>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Grupa rizika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i/>
                <w:sz w:val="20"/>
              </w:rPr>
              <w:t>Potres</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Rizik</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i/>
                <w:sz w:val="20"/>
              </w:rPr>
              <w:t>Potres</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Radna skupina</w:t>
            </w:r>
          </w:p>
        </w:tc>
      </w:tr>
      <w:tr w:rsidR="008F0D85">
        <w:trPr>
          <w:trHeight w:val="251"/>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rPr>
            </w:pPr>
            <w:r>
              <w:rPr>
                <w:b/>
                <w:sz w:val="20"/>
              </w:rPr>
              <w:t xml:space="preserve">Koordinator: </w:t>
            </w:r>
            <w:r>
              <w:rPr>
                <w:i/>
                <w:sz w:val="20"/>
              </w:rPr>
              <w:t xml:space="preserve">Ivan Čupen, načelnik </w:t>
            </w:r>
            <w:r>
              <w:rPr>
                <w:i/>
                <w:sz w:val="20"/>
              </w:rPr>
              <w:t>Stožera civilne zaštite</w:t>
            </w:r>
          </w:p>
        </w:tc>
      </w:tr>
      <w:tr w:rsidR="008F0D85">
        <w:trPr>
          <w:trHeight w:val="255"/>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b/>
                <w:sz w:val="20"/>
              </w:rPr>
              <w:t xml:space="preserve">Nositelj: </w:t>
            </w:r>
            <w:r>
              <w:rPr>
                <w:i/>
                <w:sz w:val="20"/>
              </w:rPr>
              <w:t>Valerija Bartolić, doktorica</w:t>
            </w:r>
          </w:p>
        </w:tc>
      </w:tr>
      <w:tr w:rsidR="008F0D85">
        <w:trPr>
          <w:trHeight w:val="248"/>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b/>
                <w:sz w:val="20"/>
              </w:rPr>
              <w:t xml:space="preserve">Izvršitelj: </w:t>
            </w:r>
            <w:r>
              <w:rPr>
                <w:i/>
                <w:sz w:val="20"/>
              </w:rPr>
              <w:t>Salvatore Dimauro, član DVD-a</w:t>
            </w:r>
          </w:p>
        </w:tc>
      </w:tr>
    </w:tbl>
    <w:p w:rsidR="008F0D85" w:rsidRDefault="008F0D85"/>
    <w:p w:rsidR="008F0D85" w:rsidRDefault="00AE42A1">
      <w:pPr>
        <w:pStyle w:val="Naslov4"/>
      </w:pPr>
      <w:bookmarkStart w:id="810" w:name="_Toc512434663"/>
      <w:bookmarkStart w:id="811" w:name="_Toc514240233"/>
      <w:bookmarkStart w:id="812" w:name="_Toc516128336"/>
      <w:bookmarkStart w:id="813" w:name="_Toc527969431"/>
      <w:bookmarkEnd w:id="810"/>
      <w:bookmarkEnd w:id="811"/>
      <w:bookmarkEnd w:id="812"/>
      <w:bookmarkEnd w:id="813"/>
      <w:r>
        <w:t>6.5.1.2. Uvod - Potres</w:t>
      </w:r>
    </w:p>
    <w:p w:rsidR="008F0D85" w:rsidRDefault="008F0D85"/>
    <w:p w:rsidR="008F0D85" w:rsidRDefault="00AE42A1">
      <w:pPr>
        <w:rPr>
          <w:rFonts w:cs="Arial"/>
          <w:szCs w:val="24"/>
        </w:rPr>
      </w:pPr>
      <w:bookmarkStart w:id="814" w:name="_Hlk503431706"/>
      <w:r>
        <w:rPr>
          <w:rFonts w:cs="Arial"/>
          <w:szCs w:val="24"/>
        </w:rPr>
        <w:t xml:space="preserve">Republika Hrvatska nalazi se na području izražene seizmičke aktivnosti. Prema kvalifikaciji prirodnih katastrofa s </w:t>
      </w:r>
      <w:r>
        <w:rPr>
          <w:rFonts w:cs="Arial"/>
          <w:szCs w:val="24"/>
        </w:rPr>
        <w:t>obzirom na štete po stanovništvu i na materijalnom dobru, potresi se nalaze pri samom vrhu. Seizmiku nekog područja određuju parametri i to:</w:t>
      </w:r>
    </w:p>
    <w:p w:rsidR="008F0D85" w:rsidRDefault="00AE42A1">
      <w:pPr>
        <w:numPr>
          <w:ilvl w:val="0"/>
          <w:numId w:val="55"/>
        </w:numPr>
        <w:jc w:val="left"/>
        <w:rPr>
          <w:rFonts w:cs="Arial"/>
          <w:szCs w:val="24"/>
        </w:rPr>
      </w:pPr>
      <w:r>
        <w:rPr>
          <w:rFonts w:cs="Arial"/>
          <w:szCs w:val="24"/>
        </w:rPr>
        <w:lastRenderedPageBreak/>
        <w:t>hipocentar ili žarište, geometrijska točka, odnosno područje u unutrašnjosti zemlje u kojem dolazi do poremećaja te</w:t>
      </w:r>
      <w:r>
        <w:rPr>
          <w:rFonts w:cs="Arial"/>
          <w:szCs w:val="24"/>
        </w:rPr>
        <w:t xml:space="preserve"> se prostiru valovi potresa, a određuju ga geografske koordinate i podaci o dubini,</w:t>
      </w:r>
    </w:p>
    <w:p w:rsidR="008F0D85" w:rsidRDefault="00AE42A1">
      <w:pPr>
        <w:numPr>
          <w:ilvl w:val="0"/>
          <w:numId w:val="55"/>
        </w:numPr>
        <w:jc w:val="left"/>
        <w:rPr>
          <w:rFonts w:cs="Arial"/>
          <w:szCs w:val="24"/>
        </w:rPr>
      </w:pPr>
      <w:r>
        <w:rPr>
          <w:rFonts w:cs="Arial"/>
          <w:szCs w:val="24"/>
        </w:rPr>
        <w:t>epicentar je projekcija hipocentra na površinu zemlje što se još može objasniti kao točka na površini zemlje koja je najbliža hipocentru,</w:t>
      </w:r>
    </w:p>
    <w:p w:rsidR="008F0D85" w:rsidRDefault="00AE42A1">
      <w:pPr>
        <w:numPr>
          <w:ilvl w:val="0"/>
          <w:numId w:val="55"/>
        </w:numPr>
        <w:jc w:val="left"/>
        <w:rPr>
          <w:rFonts w:cs="Arial"/>
          <w:szCs w:val="24"/>
        </w:rPr>
      </w:pPr>
      <w:r>
        <w:rPr>
          <w:rFonts w:cs="Arial"/>
          <w:szCs w:val="24"/>
        </w:rPr>
        <w:t>intenzitet potresa je učinak potre</w:t>
      </w:r>
      <w:r>
        <w:rPr>
          <w:rFonts w:cs="Arial"/>
          <w:szCs w:val="24"/>
        </w:rPr>
        <w:t>sa na površini zemlje za zahvaćenom i promatranom prostoru,</w:t>
      </w:r>
    </w:p>
    <w:p w:rsidR="008F0D85" w:rsidRDefault="00AE42A1">
      <w:pPr>
        <w:numPr>
          <w:ilvl w:val="0"/>
          <w:numId w:val="55"/>
        </w:numPr>
        <w:jc w:val="left"/>
        <w:rPr>
          <w:rFonts w:cs="Arial"/>
          <w:szCs w:val="24"/>
        </w:rPr>
      </w:pPr>
      <w:r>
        <w:rPr>
          <w:rFonts w:cs="Arial"/>
          <w:szCs w:val="24"/>
        </w:rPr>
        <w:t>magnituda potresa pokazuje kakve je jačine potres u žarištu (hipocentru).</w:t>
      </w:r>
    </w:p>
    <w:p w:rsidR="008F0D85" w:rsidRDefault="00AE42A1">
      <w:pPr>
        <w:rPr>
          <w:rFonts w:cs="Calibri"/>
          <w:szCs w:val="24"/>
        </w:rPr>
      </w:pPr>
      <w:bookmarkStart w:id="815" w:name="_Hlk497999474"/>
      <w:r>
        <w:rPr>
          <w:rFonts w:cs="Arial"/>
          <w:szCs w:val="24"/>
        </w:rPr>
        <w:t>Potres se najčešće očituje kao podrhtavanje tla zbog naglog oslobođenja energije u Zemljinoj kori. Kod procjene rizika u p</w:t>
      </w:r>
      <w:r>
        <w:rPr>
          <w:rFonts w:cs="Arial"/>
          <w:szCs w:val="24"/>
        </w:rPr>
        <w:t>ravilu se razrađuju potresi povezani s teorijom tektonskih ploča i njihovog gibanja s obzirom na važnost utjecaja koji imaju na ljudsku okolinu te graditeljsku baštinu. Potresi pripadaju skupini prirodnih rizika koji se ne mogu predvidjeti, a postoji vjero</w:t>
      </w:r>
      <w:r>
        <w:rPr>
          <w:rFonts w:cs="Arial"/>
          <w:szCs w:val="24"/>
        </w:rPr>
        <w:t>jatnost da se dogode u bilo kojem trenutku. Kako potrese nije moguće spriječiti, od iznimne je važnosti provođenje mjera za ublažavanje posljedica te spremnost i edukacija</w:t>
      </w:r>
      <w:bookmarkEnd w:id="815"/>
      <w:r>
        <w:rPr>
          <w:rFonts w:cs="Arial"/>
          <w:szCs w:val="24"/>
        </w:rPr>
        <w:t xml:space="preserve"> </w:t>
      </w:r>
      <w:bookmarkStart w:id="816" w:name="_Hlk503431716"/>
      <w:bookmarkEnd w:id="814"/>
      <w:r>
        <w:rPr>
          <w:rFonts w:cs="Arial"/>
          <w:szCs w:val="24"/>
        </w:rPr>
        <w:t>društvene zajednice. Prema seizmičkoj karti za područje Koprivničko - križevačke žup</w:t>
      </w:r>
      <w:r>
        <w:rPr>
          <w:rFonts w:cs="Arial"/>
          <w:szCs w:val="24"/>
        </w:rPr>
        <w:t>anije za povratni period od 500 godina, na području Općine  može se očekivati potres jačine 8</w:t>
      </w:r>
      <w:bookmarkEnd w:id="816"/>
      <w:r>
        <w:rPr>
          <w:rFonts w:cs="Calibri"/>
          <w:szCs w:val="24"/>
        </w:rPr>
        <w:t>° prema MCS ljestvici.</w:t>
      </w:r>
    </w:p>
    <w:p w:rsidR="008F0D85" w:rsidRDefault="00AE42A1">
      <w:pPr>
        <w:spacing w:after="0" w:line="360" w:lineRule="auto"/>
        <w:jc w:val="center"/>
        <w:rPr>
          <w:rFonts w:cs="Arial"/>
          <w:b/>
          <w:bCs/>
          <w:sz w:val="20"/>
          <w:szCs w:val="20"/>
        </w:rPr>
      </w:pPr>
      <w:bookmarkStart w:id="817" w:name="_Toc512434747"/>
      <w:bookmarkStart w:id="818" w:name="_Toc514240344"/>
      <w:bookmarkStart w:id="819" w:name="_Toc516128435"/>
      <w:bookmarkStart w:id="820" w:name="_Toc527969532"/>
      <w:r>
        <w:rPr>
          <w:rFonts w:cs="Arial"/>
          <w:b/>
          <w:bCs/>
          <w:sz w:val="20"/>
          <w:szCs w:val="20"/>
        </w:rPr>
        <w:t xml:space="preserve">Tablica </w:t>
      </w:r>
      <w:r>
        <w:rPr>
          <w:rFonts w:cs="Arial"/>
          <w:b/>
          <w:bCs/>
          <w:sz w:val="20"/>
          <w:szCs w:val="20"/>
        </w:rPr>
        <w:fldChar w:fldCharType="begin"/>
      </w:r>
      <w:r>
        <w:instrText>SEQ Tablica \* ARABIC</w:instrText>
      </w:r>
      <w:r>
        <w:fldChar w:fldCharType="separate"/>
      </w:r>
      <w:r>
        <w:t>50</w:t>
      </w:r>
      <w:r>
        <w:fldChar w:fldCharType="end"/>
      </w:r>
      <w:bookmarkEnd w:id="817"/>
      <w:bookmarkEnd w:id="818"/>
      <w:bookmarkEnd w:id="819"/>
      <w:bookmarkEnd w:id="820"/>
      <w:r>
        <w:rPr>
          <w:rFonts w:cs="Arial"/>
          <w:b/>
          <w:bCs/>
          <w:sz w:val="20"/>
          <w:szCs w:val="20"/>
        </w:rPr>
        <w:t>: Prikaz učestalosti potresa na području Grada Koprivnice za povratni period od 100 god.</w:t>
      </w:r>
    </w:p>
    <w:tbl>
      <w:tblPr>
        <w:tblW w:w="6467"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93" w:type="dxa"/>
        </w:tblCellMar>
        <w:tblLook w:val="0000" w:firstRow="0" w:lastRow="0" w:firstColumn="0" w:lastColumn="0" w:noHBand="0" w:noVBand="0"/>
      </w:tblPr>
      <w:tblGrid>
        <w:gridCol w:w="1985"/>
        <w:gridCol w:w="850"/>
        <w:gridCol w:w="851"/>
        <w:gridCol w:w="655"/>
        <w:gridCol w:w="710"/>
        <w:gridCol w:w="710"/>
        <w:gridCol w:w="706"/>
      </w:tblGrid>
      <w:tr w:rsidR="008F0D85">
        <w:trPr>
          <w:jc w:val="center"/>
        </w:trPr>
        <w:tc>
          <w:tcPr>
            <w:tcW w:w="1984" w:type="dxa"/>
            <w:vMerge w:val="restart"/>
            <w:tcBorders>
              <w:top w:val="single" w:sz="4" w:space="0" w:color="000001"/>
              <w:left w:val="single" w:sz="4" w:space="0" w:color="000001"/>
              <w:bottom w:val="single" w:sz="4" w:space="0" w:color="000001"/>
              <w:right w:val="single" w:sz="4" w:space="0" w:color="000001"/>
            </w:tcBorders>
            <w:shd w:val="clear" w:color="auto" w:fill="F2F2F2"/>
            <w:tcMar>
              <w:left w:w="93" w:type="dxa"/>
            </w:tcMar>
          </w:tcPr>
          <w:p w:rsidR="008F0D85" w:rsidRDefault="00AE42A1">
            <w:pPr>
              <w:jc w:val="center"/>
              <w:rPr>
                <w:b/>
                <w:sz w:val="20"/>
                <w:szCs w:val="20"/>
              </w:rPr>
            </w:pPr>
            <w:r>
              <w:rPr>
                <w:b/>
                <w:sz w:val="20"/>
                <w:szCs w:val="20"/>
              </w:rPr>
              <w:t>Grad / mjesto</w:t>
            </w:r>
          </w:p>
        </w:tc>
        <w:tc>
          <w:tcPr>
            <w:tcW w:w="850" w:type="dxa"/>
            <w:vMerge w:val="restart"/>
            <w:tcBorders>
              <w:top w:val="single" w:sz="4" w:space="0" w:color="000001"/>
              <w:left w:val="single" w:sz="4" w:space="0" w:color="000001"/>
              <w:bottom w:val="single" w:sz="4" w:space="0" w:color="000001"/>
              <w:right w:val="single" w:sz="4" w:space="0" w:color="000001"/>
            </w:tcBorders>
            <w:shd w:val="clear" w:color="auto" w:fill="F2F2F2"/>
            <w:tcMar>
              <w:left w:w="93" w:type="dxa"/>
            </w:tcMar>
          </w:tcPr>
          <w:p w:rsidR="008F0D85" w:rsidRDefault="00AE42A1">
            <w:pPr>
              <w:jc w:val="center"/>
              <w:rPr>
                <w:b/>
                <w:sz w:val="20"/>
                <w:szCs w:val="20"/>
                <w:lang w:val="en-US"/>
              </w:rPr>
            </w:pPr>
            <w:r>
              <w:rPr>
                <w:b/>
                <w:sz w:val="20"/>
                <w:szCs w:val="20"/>
                <w:lang w:val="en-US"/>
              </w:rPr>
              <w:t>φ</w:t>
            </w:r>
            <w:r>
              <w:rPr>
                <w:b/>
                <w:sz w:val="20"/>
                <w:szCs w:val="20"/>
                <w:vertAlign w:val="superscript"/>
                <w:lang w:val="en-US"/>
              </w:rPr>
              <w:t xml:space="preserve"> </w:t>
            </w:r>
            <w:r>
              <w:rPr>
                <w:b/>
                <w:sz w:val="20"/>
                <w:szCs w:val="20"/>
                <w:lang w:val="en-US"/>
              </w:rPr>
              <w:t>(</w:t>
            </w:r>
            <w:r>
              <w:rPr>
                <w:b/>
                <w:sz w:val="20"/>
                <w:szCs w:val="20"/>
                <w:vertAlign w:val="superscript"/>
                <w:lang w:val="en-US"/>
              </w:rPr>
              <w:t>O</w:t>
            </w:r>
            <w:r>
              <w:rPr>
                <w:b/>
                <w:sz w:val="20"/>
                <w:szCs w:val="20"/>
                <w:lang w:val="en-US"/>
              </w:rPr>
              <w:t xml:space="preserve"> N)</w:t>
            </w:r>
          </w:p>
        </w:tc>
        <w:tc>
          <w:tcPr>
            <w:tcW w:w="851" w:type="dxa"/>
            <w:vMerge w:val="restart"/>
            <w:tcBorders>
              <w:top w:val="single" w:sz="4" w:space="0" w:color="000001"/>
              <w:left w:val="single" w:sz="4" w:space="0" w:color="000001"/>
              <w:bottom w:val="single" w:sz="4" w:space="0" w:color="000001"/>
              <w:right w:val="single" w:sz="4" w:space="0" w:color="000001"/>
            </w:tcBorders>
            <w:shd w:val="clear" w:color="auto" w:fill="F2F2F2"/>
            <w:tcMar>
              <w:left w:w="93" w:type="dxa"/>
            </w:tcMar>
          </w:tcPr>
          <w:p w:rsidR="008F0D85" w:rsidRDefault="00AE42A1">
            <w:pPr>
              <w:jc w:val="center"/>
              <w:rPr>
                <w:b/>
                <w:sz w:val="20"/>
                <w:szCs w:val="20"/>
                <w:lang w:val="de-DE"/>
              </w:rPr>
            </w:pPr>
            <w:r>
              <w:rPr>
                <w:b/>
                <w:sz w:val="20"/>
                <w:szCs w:val="20"/>
                <w:lang w:val="en-US"/>
              </w:rPr>
              <w:t>λ</w:t>
            </w:r>
            <w:r>
              <w:rPr>
                <w:b/>
                <w:sz w:val="20"/>
                <w:szCs w:val="20"/>
                <w:lang w:val="de-DE"/>
              </w:rPr>
              <w:t xml:space="preserve"> (</w:t>
            </w:r>
            <w:r>
              <w:rPr>
                <w:b/>
                <w:sz w:val="20"/>
                <w:szCs w:val="20"/>
                <w:vertAlign w:val="superscript"/>
                <w:lang w:val="de-DE"/>
              </w:rPr>
              <w:t>O</w:t>
            </w:r>
            <w:r>
              <w:rPr>
                <w:b/>
                <w:sz w:val="20"/>
                <w:szCs w:val="20"/>
                <w:lang w:val="de-DE"/>
              </w:rPr>
              <w:t xml:space="preserve"> E)</w:t>
            </w:r>
          </w:p>
        </w:tc>
        <w:tc>
          <w:tcPr>
            <w:tcW w:w="2781" w:type="dxa"/>
            <w:gridSpan w:val="4"/>
            <w:tcBorders>
              <w:top w:val="single" w:sz="4" w:space="0" w:color="000001"/>
              <w:left w:val="single" w:sz="4" w:space="0" w:color="000001"/>
              <w:bottom w:val="single" w:sz="4" w:space="0" w:color="000001"/>
              <w:right w:val="single" w:sz="4" w:space="0" w:color="000001"/>
            </w:tcBorders>
            <w:shd w:val="clear" w:color="auto" w:fill="F2F2F2"/>
            <w:tcMar>
              <w:left w:w="93" w:type="dxa"/>
            </w:tcMar>
          </w:tcPr>
          <w:p w:rsidR="008F0D85" w:rsidRDefault="00AE42A1">
            <w:pPr>
              <w:jc w:val="center"/>
              <w:rPr>
                <w:b/>
                <w:sz w:val="20"/>
                <w:szCs w:val="20"/>
                <w:lang w:val="de-DE"/>
              </w:rPr>
            </w:pPr>
            <w:r>
              <w:rPr>
                <w:b/>
                <w:sz w:val="20"/>
                <w:szCs w:val="20"/>
                <w:lang w:val="de-DE"/>
              </w:rPr>
              <w:t>Čestine intenziteta (</w:t>
            </w:r>
            <w:r>
              <w:rPr>
                <w:b/>
                <w:sz w:val="20"/>
                <w:szCs w:val="20"/>
                <w:vertAlign w:val="superscript"/>
                <w:lang w:val="de-DE"/>
              </w:rPr>
              <w:t>o</w:t>
            </w:r>
            <w:r>
              <w:rPr>
                <w:b/>
                <w:sz w:val="20"/>
                <w:szCs w:val="20"/>
                <w:lang w:val="de-DE"/>
              </w:rPr>
              <w:t xml:space="preserve"> MSK)</w:t>
            </w:r>
            <w:r>
              <w:rPr>
                <w:rStyle w:val="Sidrofusnote"/>
                <w:b/>
                <w:sz w:val="20"/>
                <w:szCs w:val="20"/>
                <w:lang w:val="de-DE"/>
              </w:rPr>
              <w:footnoteReference w:id="4"/>
            </w:r>
          </w:p>
        </w:tc>
      </w:tr>
      <w:tr w:rsidR="008F0D85">
        <w:trPr>
          <w:jc w:val="center"/>
        </w:trPr>
        <w:tc>
          <w:tcPr>
            <w:tcW w:w="1984" w:type="dxa"/>
            <w:vMerge/>
            <w:tcBorders>
              <w:top w:val="single" w:sz="4" w:space="0" w:color="000001"/>
              <w:left w:val="single" w:sz="4" w:space="0" w:color="000001"/>
              <w:bottom w:val="single" w:sz="4" w:space="0" w:color="000001"/>
              <w:right w:val="single" w:sz="4" w:space="0" w:color="000001"/>
            </w:tcBorders>
            <w:shd w:val="clear" w:color="auto" w:fill="F2F2F2"/>
            <w:tcMar>
              <w:left w:w="93" w:type="dxa"/>
            </w:tcMar>
          </w:tcPr>
          <w:p w:rsidR="008F0D85" w:rsidRDefault="008F0D85">
            <w:pPr>
              <w:jc w:val="center"/>
              <w:rPr>
                <w:b/>
                <w:sz w:val="20"/>
                <w:szCs w:val="20"/>
              </w:rPr>
            </w:pPr>
          </w:p>
        </w:tc>
        <w:tc>
          <w:tcPr>
            <w:tcW w:w="850" w:type="dxa"/>
            <w:vMerge/>
            <w:tcBorders>
              <w:top w:val="single" w:sz="4" w:space="0" w:color="000001"/>
              <w:left w:val="single" w:sz="4" w:space="0" w:color="000001"/>
              <w:bottom w:val="single" w:sz="4" w:space="0" w:color="000001"/>
              <w:right w:val="single" w:sz="4" w:space="0" w:color="000001"/>
            </w:tcBorders>
            <w:shd w:val="clear" w:color="auto" w:fill="F2F2F2"/>
            <w:tcMar>
              <w:left w:w="93" w:type="dxa"/>
            </w:tcMar>
          </w:tcPr>
          <w:p w:rsidR="008F0D85" w:rsidRDefault="008F0D85">
            <w:pPr>
              <w:jc w:val="center"/>
              <w:rPr>
                <w:b/>
                <w:sz w:val="20"/>
                <w:szCs w:val="20"/>
                <w:lang w:val="de-DE"/>
              </w:rPr>
            </w:pPr>
          </w:p>
        </w:tc>
        <w:tc>
          <w:tcPr>
            <w:tcW w:w="851" w:type="dxa"/>
            <w:vMerge/>
            <w:tcBorders>
              <w:top w:val="single" w:sz="4" w:space="0" w:color="000001"/>
              <w:left w:val="single" w:sz="4" w:space="0" w:color="000001"/>
              <w:bottom w:val="single" w:sz="4" w:space="0" w:color="000001"/>
              <w:right w:val="single" w:sz="4" w:space="0" w:color="000001"/>
            </w:tcBorders>
            <w:shd w:val="clear" w:color="auto" w:fill="F2F2F2"/>
            <w:tcMar>
              <w:left w:w="93" w:type="dxa"/>
            </w:tcMar>
          </w:tcPr>
          <w:p w:rsidR="008F0D85" w:rsidRDefault="008F0D85">
            <w:pPr>
              <w:jc w:val="center"/>
              <w:rPr>
                <w:b/>
                <w:sz w:val="20"/>
                <w:szCs w:val="20"/>
                <w:lang w:val="de-DE"/>
              </w:rPr>
            </w:pPr>
          </w:p>
        </w:tc>
        <w:tc>
          <w:tcPr>
            <w:tcW w:w="655" w:type="dxa"/>
            <w:tcBorders>
              <w:top w:val="single" w:sz="4" w:space="0" w:color="000001"/>
              <w:left w:val="single" w:sz="4" w:space="0" w:color="000001"/>
              <w:bottom w:val="single" w:sz="4" w:space="0" w:color="000001"/>
              <w:right w:val="single" w:sz="4" w:space="0" w:color="000001"/>
            </w:tcBorders>
            <w:shd w:val="clear" w:color="auto" w:fill="F2F2F2"/>
            <w:tcMar>
              <w:left w:w="93" w:type="dxa"/>
            </w:tcMar>
          </w:tcPr>
          <w:p w:rsidR="008F0D85" w:rsidRDefault="00AE42A1">
            <w:pPr>
              <w:jc w:val="center"/>
              <w:rPr>
                <w:b/>
                <w:sz w:val="20"/>
                <w:szCs w:val="20"/>
                <w:lang w:val="en-US"/>
              </w:rPr>
            </w:pPr>
            <w:r>
              <w:rPr>
                <w:b/>
                <w:sz w:val="20"/>
                <w:szCs w:val="20"/>
                <w:lang w:val="en-US"/>
              </w:rPr>
              <w:t>V</w:t>
            </w:r>
          </w:p>
        </w:tc>
        <w:tc>
          <w:tcPr>
            <w:tcW w:w="710" w:type="dxa"/>
            <w:tcBorders>
              <w:top w:val="single" w:sz="4" w:space="0" w:color="000001"/>
              <w:left w:val="single" w:sz="4" w:space="0" w:color="000001"/>
              <w:bottom w:val="single" w:sz="4" w:space="0" w:color="000001"/>
              <w:right w:val="single" w:sz="4" w:space="0" w:color="000001"/>
            </w:tcBorders>
            <w:shd w:val="clear" w:color="auto" w:fill="F2F2F2"/>
            <w:tcMar>
              <w:left w:w="93" w:type="dxa"/>
            </w:tcMar>
          </w:tcPr>
          <w:p w:rsidR="008F0D85" w:rsidRDefault="00AE42A1">
            <w:pPr>
              <w:jc w:val="center"/>
              <w:rPr>
                <w:b/>
                <w:sz w:val="20"/>
                <w:szCs w:val="20"/>
                <w:lang w:val="en-US"/>
              </w:rPr>
            </w:pPr>
            <w:r>
              <w:rPr>
                <w:b/>
                <w:sz w:val="20"/>
                <w:szCs w:val="20"/>
                <w:lang w:val="en-US"/>
              </w:rPr>
              <w:t>VI</w:t>
            </w:r>
          </w:p>
        </w:tc>
        <w:tc>
          <w:tcPr>
            <w:tcW w:w="710" w:type="dxa"/>
            <w:tcBorders>
              <w:top w:val="single" w:sz="4" w:space="0" w:color="000001"/>
              <w:left w:val="single" w:sz="4" w:space="0" w:color="000001"/>
              <w:bottom w:val="single" w:sz="4" w:space="0" w:color="000001"/>
              <w:right w:val="single" w:sz="4" w:space="0" w:color="000001"/>
            </w:tcBorders>
            <w:shd w:val="clear" w:color="auto" w:fill="F2F2F2"/>
            <w:tcMar>
              <w:left w:w="93" w:type="dxa"/>
            </w:tcMar>
          </w:tcPr>
          <w:p w:rsidR="008F0D85" w:rsidRDefault="00AE42A1">
            <w:pPr>
              <w:jc w:val="center"/>
              <w:rPr>
                <w:b/>
                <w:sz w:val="20"/>
                <w:szCs w:val="20"/>
                <w:lang w:val="en-US"/>
              </w:rPr>
            </w:pPr>
            <w:r>
              <w:rPr>
                <w:b/>
                <w:sz w:val="20"/>
                <w:szCs w:val="20"/>
                <w:lang w:val="en-US"/>
              </w:rPr>
              <w:t>VII</w:t>
            </w:r>
          </w:p>
        </w:tc>
        <w:tc>
          <w:tcPr>
            <w:tcW w:w="706" w:type="dxa"/>
            <w:tcBorders>
              <w:top w:val="single" w:sz="4" w:space="0" w:color="000001"/>
              <w:left w:val="single" w:sz="4" w:space="0" w:color="000001"/>
              <w:bottom w:val="single" w:sz="4" w:space="0" w:color="000001"/>
              <w:right w:val="single" w:sz="4" w:space="0" w:color="000001"/>
            </w:tcBorders>
            <w:shd w:val="clear" w:color="auto" w:fill="F2F2F2"/>
            <w:tcMar>
              <w:left w:w="93" w:type="dxa"/>
            </w:tcMar>
          </w:tcPr>
          <w:p w:rsidR="008F0D85" w:rsidRDefault="00AE42A1">
            <w:pPr>
              <w:jc w:val="center"/>
              <w:rPr>
                <w:b/>
                <w:sz w:val="20"/>
                <w:szCs w:val="20"/>
                <w:lang w:val="en-US"/>
              </w:rPr>
            </w:pPr>
            <w:r>
              <w:rPr>
                <w:b/>
                <w:sz w:val="20"/>
                <w:szCs w:val="20"/>
                <w:lang w:val="en-US"/>
              </w:rPr>
              <w:t>VIII</w:t>
            </w:r>
          </w:p>
        </w:tc>
      </w:tr>
      <w:tr w:rsidR="008F0D85">
        <w:trPr>
          <w:jc w:val="center"/>
        </w:trPr>
        <w:tc>
          <w:tcPr>
            <w:tcW w:w="1984" w:type="dxa"/>
            <w:tcBorders>
              <w:top w:val="single" w:sz="4" w:space="0" w:color="000001"/>
              <w:left w:val="single" w:sz="4" w:space="0" w:color="000001"/>
              <w:bottom w:val="single" w:sz="4" w:space="0" w:color="000001"/>
              <w:right w:val="single" w:sz="4" w:space="0" w:color="000001"/>
            </w:tcBorders>
            <w:shd w:val="clear" w:color="auto" w:fill="F2F2F2"/>
            <w:tcMar>
              <w:left w:w="93" w:type="dxa"/>
            </w:tcMar>
          </w:tcPr>
          <w:p w:rsidR="008F0D85" w:rsidRDefault="00AE42A1">
            <w:pPr>
              <w:jc w:val="center"/>
              <w:rPr>
                <w:b/>
                <w:sz w:val="20"/>
                <w:szCs w:val="20"/>
              </w:rPr>
            </w:pPr>
            <w:r>
              <w:rPr>
                <w:b/>
                <w:sz w:val="20"/>
                <w:szCs w:val="20"/>
              </w:rPr>
              <w:t>Koprivnica</w:t>
            </w:r>
          </w:p>
        </w:tc>
        <w:tc>
          <w:tcPr>
            <w:tcW w:w="850"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jc w:val="center"/>
              <w:rPr>
                <w:sz w:val="20"/>
                <w:szCs w:val="20"/>
                <w:lang w:val="en-US"/>
              </w:rPr>
            </w:pPr>
            <w:r>
              <w:rPr>
                <w:sz w:val="20"/>
                <w:szCs w:val="20"/>
                <w:lang w:val="en-US"/>
              </w:rPr>
              <w:t>46.163</w:t>
            </w:r>
          </w:p>
        </w:tc>
        <w:tc>
          <w:tcPr>
            <w:tcW w:w="851"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jc w:val="center"/>
              <w:rPr>
                <w:sz w:val="20"/>
                <w:szCs w:val="20"/>
                <w:lang w:val="en-US"/>
              </w:rPr>
            </w:pPr>
            <w:r>
              <w:rPr>
                <w:sz w:val="20"/>
                <w:szCs w:val="20"/>
                <w:lang w:val="en-US"/>
              </w:rPr>
              <w:t>16.837</w:t>
            </w:r>
          </w:p>
        </w:tc>
        <w:tc>
          <w:tcPr>
            <w:tcW w:w="655"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jc w:val="center"/>
              <w:rPr>
                <w:sz w:val="20"/>
                <w:szCs w:val="20"/>
                <w:lang w:val="en-US"/>
              </w:rPr>
            </w:pPr>
            <w:r>
              <w:rPr>
                <w:sz w:val="20"/>
                <w:szCs w:val="20"/>
                <w:lang w:val="en-US"/>
              </w:rPr>
              <w:t>13</w:t>
            </w:r>
          </w:p>
        </w:tc>
        <w:tc>
          <w:tcPr>
            <w:tcW w:w="710"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jc w:val="center"/>
              <w:rPr>
                <w:sz w:val="20"/>
                <w:szCs w:val="20"/>
                <w:lang w:val="en-US"/>
              </w:rPr>
            </w:pPr>
            <w:r>
              <w:rPr>
                <w:sz w:val="20"/>
                <w:szCs w:val="20"/>
                <w:lang w:val="en-US"/>
              </w:rPr>
              <w:t>7</w:t>
            </w:r>
          </w:p>
        </w:tc>
        <w:tc>
          <w:tcPr>
            <w:tcW w:w="710"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jc w:val="center"/>
              <w:rPr>
                <w:sz w:val="20"/>
                <w:szCs w:val="20"/>
                <w:lang w:val="en-US"/>
              </w:rPr>
            </w:pPr>
            <w:r>
              <w:rPr>
                <w:sz w:val="20"/>
                <w:szCs w:val="20"/>
                <w:lang w:val="en-US"/>
              </w:rPr>
              <w:t>2</w:t>
            </w:r>
          </w:p>
        </w:tc>
        <w:tc>
          <w:tcPr>
            <w:tcW w:w="706"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jc w:val="center"/>
              <w:rPr>
                <w:sz w:val="20"/>
                <w:szCs w:val="20"/>
                <w:lang w:val="en-US"/>
              </w:rPr>
            </w:pPr>
            <w:r>
              <w:rPr>
                <w:sz w:val="20"/>
                <w:szCs w:val="20"/>
                <w:lang w:val="en-US"/>
              </w:rPr>
              <w:t>0</w:t>
            </w:r>
          </w:p>
        </w:tc>
      </w:tr>
    </w:tbl>
    <w:p w:rsidR="008F0D85" w:rsidRDefault="00AE42A1">
      <w:pPr>
        <w:jc w:val="center"/>
        <w:rPr>
          <w:rFonts w:cs="Arial"/>
          <w:sz w:val="20"/>
          <w:szCs w:val="20"/>
        </w:rPr>
      </w:pPr>
      <w:r>
        <w:rPr>
          <w:rFonts w:cs="Arial"/>
          <w:sz w:val="20"/>
          <w:szCs w:val="20"/>
        </w:rPr>
        <w:t>Izvor: PMF Zagreb – geofizički odsjek, 2009.god.</w:t>
      </w:r>
    </w:p>
    <w:p w:rsidR="008F0D85" w:rsidRDefault="008F0D85">
      <w:pPr>
        <w:jc w:val="center"/>
        <w:rPr>
          <w:rFonts w:cs="Arial"/>
          <w:sz w:val="20"/>
          <w:szCs w:val="20"/>
        </w:rPr>
      </w:pPr>
    </w:p>
    <w:p w:rsidR="008F0D85" w:rsidRDefault="00AE42A1">
      <w:pPr>
        <w:jc w:val="center"/>
      </w:pPr>
      <w:r>
        <w:rPr>
          <w:noProof/>
        </w:rPr>
        <w:lastRenderedPageBreak/>
        <w:drawing>
          <wp:inline distT="0" distB="0" distL="0" distR="0">
            <wp:extent cx="5706110" cy="4401185"/>
            <wp:effectExtent l="0" t="0" r="0" b="0"/>
            <wp:docPr id="80"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lika 49"/>
                    <pic:cNvPicPr>
                      <a:picLocks noChangeAspect="1" noChangeArrowheads="1"/>
                    </pic:cNvPicPr>
                  </pic:nvPicPr>
                  <pic:blipFill>
                    <a:blip r:embed="rId64"/>
                    <a:stretch>
                      <a:fillRect/>
                    </a:stretch>
                  </pic:blipFill>
                  <pic:spPr bwMode="auto">
                    <a:xfrm>
                      <a:off x="0" y="0"/>
                      <a:ext cx="5706110" cy="4401185"/>
                    </a:xfrm>
                    <a:prstGeom prst="rect">
                      <a:avLst/>
                    </a:prstGeom>
                  </pic:spPr>
                </pic:pic>
              </a:graphicData>
            </a:graphic>
          </wp:inline>
        </w:drawing>
      </w:r>
    </w:p>
    <w:p w:rsidR="008F0D85" w:rsidRDefault="00AE42A1">
      <w:pPr>
        <w:spacing w:after="0" w:line="360" w:lineRule="auto"/>
        <w:rPr>
          <w:rFonts w:cs="Arial"/>
          <w:b/>
          <w:bCs/>
          <w:sz w:val="20"/>
          <w:szCs w:val="20"/>
        </w:rPr>
      </w:pPr>
      <w:bookmarkStart w:id="823" w:name="_Toc512434801"/>
      <w:bookmarkStart w:id="824" w:name="_Toc514240410"/>
      <w:bookmarkStart w:id="825" w:name="_Toc516128500"/>
      <w:bookmarkStart w:id="826" w:name="_Toc527969593"/>
      <w:r>
        <w:rPr>
          <w:rFonts w:cs="Arial"/>
          <w:b/>
          <w:bCs/>
          <w:sz w:val="20"/>
          <w:szCs w:val="20"/>
        </w:rPr>
        <w:t xml:space="preserve">Slika </w:t>
      </w:r>
      <w:r>
        <w:rPr>
          <w:rFonts w:cs="Arial"/>
          <w:b/>
          <w:bCs/>
          <w:sz w:val="20"/>
          <w:szCs w:val="20"/>
        </w:rPr>
        <w:fldChar w:fldCharType="begin"/>
      </w:r>
      <w:r>
        <w:instrText>SEQ Slika \* ARABIC</w:instrText>
      </w:r>
      <w:r>
        <w:fldChar w:fldCharType="separate"/>
      </w:r>
      <w:r>
        <w:t>21</w:t>
      </w:r>
      <w:r>
        <w:fldChar w:fldCharType="end"/>
      </w:r>
      <w:bookmarkEnd w:id="823"/>
      <w:bookmarkEnd w:id="824"/>
      <w:bookmarkEnd w:id="825"/>
      <w:bookmarkEnd w:id="826"/>
      <w:r>
        <w:rPr>
          <w:rFonts w:cs="Arial"/>
          <w:b/>
          <w:bCs/>
          <w:sz w:val="20"/>
          <w:szCs w:val="20"/>
        </w:rPr>
        <w:t>: Prikaz epicentara potresa iz Hrvatskog kataloga potresa</w:t>
      </w:r>
    </w:p>
    <w:p w:rsidR="008F0D85" w:rsidRDefault="00AE42A1">
      <w:pPr>
        <w:rPr>
          <w:sz w:val="20"/>
          <w:szCs w:val="20"/>
        </w:rPr>
        <w:sectPr w:rsidR="008F0D85">
          <w:headerReference w:type="default" r:id="rId65"/>
          <w:footerReference w:type="default" r:id="rId66"/>
          <w:pgSz w:w="11906" w:h="16838"/>
          <w:pgMar w:top="1418" w:right="1418" w:bottom="1418" w:left="1418" w:header="709" w:footer="709" w:gutter="0"/>
          <w:cols w:space="720"/>
          <w:formProt w:val="0"/>
          <w:docGrid w:linePitch="360"/>
        </w:sectPr>
      </w:pPr>
      <w:bookmarkStart w:id="847" w:name="_Hlk503431992"/>
      <w:r>
        <w:rPr>
          <w:sz w:val="20"/>
          <w:szCs w:val="20"/>
        </w:rPr>
        <w:t>Izvor: PMF Zagreb – geofizički odsjek, 2011.god</w:t>
      </w:r>
      <w:bookmarkStart w:id="848" w:name="_Hlk512262524"/>
      <w:bookmarkEnd w:id="847"/>
      <w:bookmarkEnd w:id="848"/>
      <w:r>
        <w:rPr>
          <w:sz w:val="20"/>
          <w:szCs w:val="20"/>
        </w:rPr>
        <w:t>.</w:t>
      </w:r>
    </w:p>
    <w:p w:rsidR="008F0D85" w:rsidRDefault="00AE42A1">
      <w:pPr>
        <w:pStyle w:val="Opisslike"/>
        <w:jc w:val="center"/>
      </w:pPr>
      <w:bookmarkStart w:id="849" w:name="_Toc527969533"/>
      <w:r>
        <w:lastRenderedPageBreak/>
        <w:t xml:space="preserve">Tablica </w:t>
      </w:r>
      <w:r>
        <w:fldChar w:fldCharType="begin"/>
      </w:r>
      <w:r>
        <w:instrText>SEQ Tablica \* ARABIC</w:instrText>
      </w:r>
      <w:r>
        <w:fldChar w:fldCharType="separate"/>
      </w:r>
      <w:r>
        <w:t>51</w:t>
      </w:r>
      <w:r>
        <w:fldChar w:fldCharType="end"/>
      </w:r>
      <w:bookmarkEnd w:id="849"/>
      <w:r>
        <w:t xml:space="preserve">: Moguće posljedice potresa jačine 7 i 8 </w:t>
      </w:r>
      <w:r>
        <w:t>stupnjeva MCS ljestvice</w:t>
      </w:r>
    </w:p>
    <w:tbl>
      <w:tblPr>
        <w:tblW w:w="14029"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1116"/>
        <w:gridCol w:w="4407"/>
        <w:gridCol w:w="1842"/>
        <w:gridCol w:w="3260"/>
        <w:gridCol w:w="3404"/>
      </w:tblGrid>
      <w:tr w:rsidR="008F0D85">
        <w:tc>
          <w:tcPr>
            <w:tcW w:w="1116"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rFonts w:cs="Calibri"/>
                <w:b/>
                <w:sz w:val="20"/>
                <w:szCs w:val="20"/>
              </w:rPr>
            </w:pPr>
            <w:r>
              <w:rPr>
                <w:rFonts w:cs="Calibri"/>
                <w:b/>
                <w:sz w:val="20"/>
                <w:szCs w:val="20"/>
              </w:rPr>
              <w:t>Stupanj intenziteta potresa</w:t>
            </w:r>
          </w:p>
        </w:tc>
        <w:tc>
          <w:tcPr>
            <w:tcW w:w="12913"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rFonts w:cs="Calibri"/>
                <w:b/>
                <w:sz w:val="20"/>
                <w:szCs w:val="20"/>
              </w:rPr>
            </w:pPr>
            <w:r>
              <w:rPr>
                <w:rFonts w:cs="Calibri"/>
                <w:b/>
                <w:sz w:val="20"/>
                <w:szCs w:val="20"/>
              </w:rPr>
              <w:t>Učinci i efekti potresa na:</w:t>
            </w:r>
          </w:p>
        </w:tc>
      </w:tr>
      <w:tr w:rsidR="008F0D85">
        <w:tc>
          <w:tcPr>
            <w:tcW w:w="1116"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spacing w:after="0"/>
              <w:rPr>
                <w:rFonts w:cs="Calibri"/>
                <w:b/>
                <w:sz w:val="20"/>
                <w:szCs w:val="20"/>
              </w:rPr>
            </w:pPr>
          </w:p>
        </w:tc>
        <w:tc>
          <w:tcPr>
            <w:tcW w:w="440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rFonts w:cs="Calibri"/>
                <w:b/>
                <w:sz w:val="20"/>
                <w:szCs w:val="20"/>
              </w:rPr>
            </w:pPr>
            <w:r>
              <w:rPr>
                <w:rFonts w:cs="Calibri"/>
                <w:b/>
                <w:sz w:val="20"/>
                <w:szCs w:val="20"/>
              </w:rPr>
              <w:t>Građevine</w:t>
            </w:r>
          </w:p>
        </w:tc>
        <w:tc>
          <w:tcPr>
            <w:tcW w:w="184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rFonts w:cs="Calibri"/>
                <w:b/>
                <w:sz w:val="20"/>
                <w:szCs w:val="20"/>
              </w:rPr>
            </w:pPr>
            <w:r>
              <w:rPr>
                <w:rFonts w:cs="Calibri"/>
                <w:b/>
                <w:sz w:val="20"/>
                <w:szCs w:val="20"/>
              </w:rPr>
              <w:t>Materijalna dobra</w:t>
            </w:r>
          </w:p>
        </w:tc>
        <w:tc>
          <w:tcPr>
            <w:tcW w:w="326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rFonts w:cs="Calibri"/>
                <w:b/>
                <w:sz w:val="20"/>
                <w:szCs w:val="20"/>
              </w:rPr>
            </w:pPr>
            <w:r>
              <w:rPr>
                <w:rFonts w:cs="Calibri"/>
                <w:b/>
                <w:sz w:val="20"/>
                <w:szCs w:val="20"/>
              </w:rPr>
              <w:t>Okoliš</w:t>
            </w:r>
          </w:p>
        </w:tc>
        <w:tc>
          <w:tcPr>
            <w:tcW w:w="340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rFonts w:cs="Calibri"/>
                <w:b/>
                <w:sz w:val="20"/>
                <w:szCs w:val="20"/>
              </w:rPr>
            </w:pPr>
            <w:r>
              <w:rPr>
                <w:rFonts w:cs="Calibri"/>
                <w:b/>
                <w:sz w:val="20"/>
                <w:szCs w:val="20"/>
              </w:rPr>
              <w:t>Ljude</w:t>
            </w:r>
          </w:p>
        </w:tc>
      </w:tr>
      <w:tr w:rsidR="008F0D85">
        <w:tc>
          <w:tcPr>
            <w:tcW w:w="111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spacing w:after="0"/>
              <w:jc w:val="center"/>
              <w:rPr>
                <w:rFonts w:cs="Calibri"/>
                <w:color w:val="0F243E"/>
                <w:sz w:val="20"/>
                <w:szCs w:val="20"/>
              </w:rPr>
            </w:pPr>
          </w:p>
          <w:p w:rsidR="008F0D85" w:rsidRDefault="008F0D85">
            <w:pPr>
              <w:shd w:val="clear" w:color="auto" w:fill="F2F2F2"/>
              <w:spacing w:after="0"/>
              <w:rPr>
                <w:rFonts w:cs="Calibri"/>
                <w:color w:val="0F243E"/>
                <w:sz w:val="20"/>
                <w:szCs w:val="20"/>
              </w:rPr>
            </w:pPr>
          </w:p>
          <w:p w:rsidR="008F0D85" w:rsidRDefault="00AE42A1">
            <w:pPr>
              <w:shd w:val="clear" w:color="auto" w:fill="F2F2F2"/>
              <w:spacing w:after="0"/>
              <w:jc w:val="center"/>
            </w:pPr>
            <w:r>
              <w:rPr>
                <w:rFonts w:cs="Calibri"/>
                <w:sz w:val="20"/>
                <w:szCs w:val="20"/>
              </w:rPr>
              <w:t>7°</w:t>
            </w:r>
            <w:r>
              <w:rPr>
                <w:rFonts w:cs="Calibri"/>
                <w:color w:val="0F243E"/>
                <w:sz w:val="20"/>
                <w:szCs w:val="20"/>
              </w:rPr>
              <w:t xml:space="preserve"> </w:t>
            </w:r>
          </w:p>
          <w:p w:rsidR="008F0D85" w:rsidRDefault="008F0D85">
            <w:pPr>
              <w:shd w:val="clear" w:color="auto" w:fill="F2F2F2"/>
              <w:spacing w:after="0"/>
              <w:jc w:val="center"/>
              <w:rPr>
                <w:rFonts w:cs="Calibri"/>
                <w:sz w:val="20"/>
                <w:szCs w:val="20"/>
              </w:rPr>
            </w:pPr>
          </w:p>
          <w:p w:rsidR="008F0D85" w:rsidRDefault="00AE42A1">
            <w:pPr>
              <w:shd w:val="clear" w:color="auto" w:fill="F2F2F2"/>
              <w:spacing w:after="0"/>
              <w:jc w:val="center"/>
              <w:rPr>
                <w:rFonts w:cs="Calibri"/>
                <w:sz w:val="20"/>
                <w:szCs w:val="20"/>
              </w:rPr>
            </w:pPr>
            <w:r>
              <w:rPr>
                <w:rFonts w:cs="Calibri"/>
                <w:sz w:val="20"/>
                <w:szCs w:val="20"/>
              </w:rPr>
              <w:t>Oštećenja</w:t>
            </w:r>
          </w:p>
          <w:p w:rsidR="008F0D85" w:rsidRDefault="00AE42A1">
            <w:pPr>
              <w:shd w:val="clear" w:color="auto" w:fill="F2F2F2"/>
              <w:spacing w:after="0"/>
              <w:jc w:val="center"/>
            </w:pPr>
            <w:r>
              <w:rPr>
                <w:rFonts w:cs="Calibri"/>
                <w:sz w:val="20"/>
                <w:szCs w:val="20"/>
              </w:rPr>
              <w:t>građevina</w:t>
            </w:r>
          </w:p>
        </w:tc>
        <w:tc>
          <w:tcPr>
            <w:tcW w:w="440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rPr>
                <w:rFonts w:cs="Calibri"/>
                <w:sz w:val="18"/>
                <w:szCs w:val="18"/>
              </w:rPr>
            </w:pPr>
            <w:r>
              <w:rPr>
                <w:rFonts w:cs="Calibri"/>
                <w:sz w:val="18"/>
                <w:szCs w:val="18"/>
              </w:rPr>
              <w:t xml:space="preserve">A./ Na mnogim građevinama (20-50%) od neobrađenog kamena, seoskim građevinama, i građevinama od </w:t>
            </w:r>
            <w:r>
              <w:rPr>
                <w:rFonts w:cs="Calibri"/>
                <w:sz w:val="18"/>
                <w:szCs w:val="18"/>
              </w:rPr>
              <w:t xml:space="preserve">nepečene opeke i nabijene gline, oštećenja 3. stupnja (teška oštećenja) široke i duboke pukotine u zidovima, rušenje dimnjaka. Na pojedinim građevinama (10%), oštećenja 4. stupnja (razorna oštećenja) – otvori u zidovima, rušenje dijelova zgrade, razaranje </w:t>
            </w:r>
            <w:r>
              <w:rPr>
                <w:rFonts w:cs="Calibri"/>
                <w:sz w:val="18"/>
                <w:szCs w:val="18"/>
              </w:rPr>
              <w:t>veza među pojedinim dijelovima građevine, rušenje unutrašnjih zidova i zidova ispune.</w:t>
            </w:r>
          </w:p>
          <w:p w:rsidR="008F0D85" w:rsidRDefault="00AE42A1">
            <w:pPr>
              <w:rPr>
                <w:rFonts w:cs="Calibri"/>
                <w:sz w:val="18"/>
                <w:szCs w:val="18"/>
              </w:rPr>
            </w:pPr>
            <w:r>
              <w:rPr>
                <w:rFonts w:cs="Calibri"/>
                <w:sz w:val="18"/>
                <w:szCs w:val="18"/>
              </w:rPr>
              <w:t>B./ Na mnogim građevinama (20- 50%) od pečene opeke, građevinama od krupnih blokova i montažnim građevinama te one izgrađene od prirodnog tesanog kamena i one s drvenom k</w:t>
            </w:r>
            <w:r>
              <w:rPr>
                <w:rFonts w:cs="Calibri"/>
                <w:sz w:val="18"/>
                <w:szCs w:val="18"/>
              </w:rPr>
              <w:t>onstrukcijom, oštećenja 2.stupnja (umjerena oštećenja) -manje pukotine u zidovima, otpadanje većih komada žbuke, klizanje krovnog crijepa, pukotine u dimnjacima i otpadanje dijelova dimnjaka.</w:t>
            </w:r>
          </w:p>
          <w:p w:rsidR="008F0D85" w:rsidRDefault="00AE42A1">
            <w:pPr>
              <w:rPr>
                <w:rFonts w:cs="Calibri"/>
                <w:sz w:val="18"/>
                <w:szCs w:val="18"/>
              </w:rPr>
            </w:pPr>
            <w:r>
              <w:rPr>
                <w:rFonts w:cs="Calibri"/>
                <w:sz w:val="18"/>
                <w:szCs w:val="18"/>
              </w:rPr>
              <w:t>C./ Na mnogim građevinama (20- 50%) s armiranobetonskim i čeličn</w:t>
            </w:r>
            <w:r>
              <w:rPr>
                <w:rFonts w:cs="Calibri"/>
                <w:sz w:val="18"/>
                <w:szCs w:val="18"/>
              </w:rPr>
              <w:t>im skeletom, krupnopanelnim građevinama i dobro građenim drvenim građevinama, oštećenja 1. stupnja (lagana oštećenja) - sitne pukotine u žbuci i otpadanje manjih komada žbuke.</w:t>
            </w:r>
          </w:p>
        </w:tc>
        <w:tc>
          <w:tcPr>
            <w:tcW w:w="18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pPr>
            <w:r>
              <w:rPr>
                <w:rFonts w:cs="Calibri"/>
                <w:sz w:val="18"/>
                <w:szCs w:val="18"/>
              </w:rPr>
              <w:t>Moguće je pomicanje teškog namještaja</w:t>
            </w:r>
          </w:p>
        </w:tc>
        <w:tc>
          <w:tcPr>
            <w:tcW w:w="32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rPr>
                <w:rFonts w:cs="Calibri"/>
                <w:sz w:val="18"/>
                <w:szCs w:val="18"/>
              </w:rPr>
            </w:pPr>
            <w:r>
              <w:rPr>
                <w:rFonts w:cs="Calibri"/>
                <w:sz w:val="18"/>
                <w:szCs w:val="18"/>
              </w:rPr>
              <w:t>Zvone velika zvona. Na površini vode stvar</w:t>
            </w:r>
            <w:r>
              <w:rPr>
                <w:rFonts w:cs="Calibri"/>
                <w:sz w:val="18"/>
                <w:szCs w:val="18"/>
              </w:rPr>
              <w:t>aju se valovi, voda se zamuti od izdizanja mulja. Razina vode u zdencima se mijenja, kao i izdašnost izvora. U pojedinim slučajevima stvaraju se novi, ili nestaju postojeći izvori vode. Pojedini slučajevi klizišta na pješčanim ili šljunčanim obalama rijeka</w:t>
            </w:r>
            <w:r>
              <w:rPr>
                <w:rFonts w:cs="Calibri"/>
                <w:sz w:val="18"/>
                <w:szCs w:val="18"/>
              </w:rPr>
              <w:t>. U pojedinim slučajevima odroni na cestama na strmim kosinama. Mjestimično pukotine u cestama i kamenim zidovima.</w:t>
            </w:r>
          </w:p>
        </w:tc>
        <w:tc>
          <w:tcPr>
            <w:tcW w:w="340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rPr>
                <w:rFonts w:cs="Calibri"/>
                <w:sz w:val="18"/>
                <w:szCs w:val="18"/>
              </w:rPr>
            </w:pPr>
            <w:r>
              <w:rPr>
                <w:rFonts w:cs="Calibri"/>
                <w:sz w:val="18"/>
                <w:szCs w:val="18"/>
              </w:rPr>
              <w:t>Ljudi se prestraše i bježe u panici na otvoreno. Mnogi se teško održavaju na nogama. Trešnju osjete osobe koje se voze u automobilu.</w:t>
            </w:r>
          </w:p>
        </w:tc>
      </w:tr>
      <w:tr w:rsidR="008F0D85">
        <w:tc>
          <w:tcPr>
            <w:tcW w:w="111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spacing w:after="0"/>
              <w:jc w:val="center"/>
              <w:rPr>
                <w:rFonts w:cs="Calibri"/>
                <w:sz w:val="20"/>
                <w:szCs w:val="20"/>
              </w:rPr>
            </w:pPr>
          </w:p>
          <w:p w:rsidR="008F0D85" w:rsidRDefault="008F0D85">
            <w:pPr>
              <w:spacing w:after="0"/>
              <w:jc w:val="center"/>
              <w:rPr>
                <w:rFonts w:cs="Calibri"/>
                <w:sz w:val="20"/>
                <w:szCs w:val="20"/>
              </w:rPr>
            </w:pPr>
          </w:p>
          <w:p w:rsidR="008F0D85" w:rsidRDefault="00AE42A1">
            <w:pPr>
              <w:spacing w:after="0"/>
              <w:jc w:val="center"/>
              <w:rPr>
                <w:rFonts w:cs="Calibri"/>
                <w:sz w:val="20"/>
                <w:szCs w:val="20"/>
              </w:rPr>
            </w:pPr>
            <w:r>
              <w:rPr>
                <w:rFonts w:cs="Calibri"/>
                <w:sz w:val="20"/>
                <w:szCs w:val="20"/>
              </w:rPr>
              <w:t>8°</w:t>
            </w:r>
          </w:p>
          <w:p w:rsidR="008F0D85" w:rsidRDefault="008F0D85">
            <w:pPr>
              <w:spacing w:after="0"/>
              <w:jc w:val="center"/>
              <w:rPr>
                <w:rFonts w:cs="Calibri"/>
                <w:sz w:val="20"/>
                <w:szCs w:val="20"/>
              </w:rPr>
            </w:pPr>
          </w:p>
          <w:p w:rsidR="008F0D85" w:rsidRDefault="00AE42A1">
            <w:pPr>
              <w:spacing w:after="0"/>
              <w:jc w:val="center"/>
              <w:rPr>
                <w:rFonts w:cs="Calibri"/>
                <w:color w:val="0F243E"/>
                <w:sz w:val="20"/>
                <w:szCs w:val="20"/>
              </w:rPr>
            </w:pPr>
            <w:r>
              <w:rPr>
                <w:rFonts w:cs="Calibri"/>
                <w:sz w:val="20"/>
                <w:szCs w:val="20"/>
              </w:rPr>
              <w:t xml:space="preserve">Razorna </w:t>
            </w:r>
            <w:r>
              <w:rPr>
                <w:rFonts w:cs="Calibri"/>
                <w:sz w:val="20"/>
                <w:szCs w:val="20"/>
              </w:rPr>
              <w:lastRenderedPageBreak/>
              <w:t>oštećenja građevina</w:t>
            </w:r>
          </w:p>
        </w:tc>
        <w:tc>
          <w:tcPr>
            <w:tcW w:w="440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rPr>
                <w:rFonts w:cs="Calibri"/>
                <w:sz w:val="18"/>
                <w:szCs w:val="18"/>
              </w:rPr>
            </w:pPr>
            <w:r>
              <w:rPr>
                <w:rFonts w:cs="Calibri"/>
                <w:sz w:val="18"/>
                <w:szCs w:val="18"/>
              </w:rPr>
              <w:lastRenderedPageBreak/>
              <w:t>A./ Na mnogim građevinama (20 – 50%) od neobrađenog kamena, seoskim građevinama i građevinama od nepečene opeke i nabijene gline, oštećenja 4. stupnja (razorna oštećenja) – otvori u zidovima, rušenje dijelova građevine, razaranj</w:t>
            </w:r>
            <w:r>
              <w:rPr>
                <w:rFonts w:cs="Calibri"/>
                <w:sz w:val="18"/>
                <w:szCs w:val="18"/>
              </w:rPr>
              <w:t xml:space="preserve">e veza među pojedinim dijelovima građevine, rušenje unutrašnjih zidova i zidova ispune. Na </w:t>
            </w:r>
            <w:r>
              <w:rPr>
                <w:rFonts w:cs="Calibri"/>
                <w:sz w:val="18"/>
                <w:szCs w:val="18"/>
              </w:rPr>
              <w:lastRenderedPageBreak/>
              <w:t>pojedinim građevinama (10%), oštećenja 5. stupnja (potpuno rušenje) – potpuno rušenje građevina.</w:t>
            </w:r>
          </w:p>
          <w:p w:rsidR="008F0D85" w:rsidRDefault="00AE42A1">
            <w:pPr>
              <w:rPr>
                <w:rFonts w:cs="Calibri"/>
                <w:sz w:val="18"/>
                <w:szCs w:val="18"/>
              </w:rPr>
            </w:pPr>
            <w:r>
              <w:rPr>
                <w:rFonts w:cs="Calibri"/>
                <w:sz w:val="18"/>
                <w:szCs w:val="18"/>
              </w:rPr>
              <w:t xml:space="preserve">B./ Na mnogim građevinama (20 – 50%), od pečene opeke, građevina od </w:t>
            </w:r>
            <w:r>
              <w:rPr>
                <w:rFonts w:cs="Calibri"/>
                <w:sz w:val="18"/>
                <w:szCs w:val="18"/>
              </w:rPr>
              <w:t>krupnih blokova te one izgrađene od prirodnog tesanog kamena i one s drvenom konstrukcijom, oštećenja 2. stupnja (teška oštećenja) – široke i duboke pukotine u  pojedinim građevinama (10%), oštećenja 4. stupnja (razorna oštećenja) – otvori u zidovima, ruše</w:t>
            </w:r>
            <w:r>
              <w:rPr>
                <w:rFonts w:cs="Calibri"/>
                <w:sz w:val="18"/>
                <w:szCs w:val="18"/>
              </w:rPr>
              <w:t>nje dijelova građevine, razaranje veza među pojedinim dijelovima građevine, rušenje unutrašnjih zidova i zidova ispune.</w:t>
            </w:r>
          </w:p>
          <w:p w:rsidR="008F0D85" w:rsidRDefault="00AE42A1">
            <w:pPr>
              <w:rPr>
                <w:rFonts w:cs="Calibri"/>
                <w:sz w:val="18"/>
                <w:szCs w:val="18"/>
              </w:rPr>
            </w:pPr>
            <w:r>
              <w:rPr>
                <w:rFonts w:cs="Calibri"/>
                <w:sz w:val="18"/>
                <w:szCs w:val="18"/>
              </w:rPr>
              <w:t>C./ Na mnogim građevinama (20 – 50%) s armiranobetonskim i čeličnim skeletom, krupnopanelnim građevinama i dobro građenim drvenim građev</w:t>
            </w:r>
            <w:r>
              <w:rPr>
                <w:rFonts w:cs="Calibri"/>
                <w:sz w:val="18"/>
                <w:szCs w:val="18"/>
              </w:rPr>
              <w:t>inama, oštećenja 1. stupnja (umjerena oštećenja) – manje pukotine u zidovima, otpadanje većih komada žbuke, klizanje krovnog crijepa, pukotine u dimnjacima i otpadanje dijelova dimnjaka. Na pojedinim građevinama (10%), oštećenja 3. stupnja (teška oštećenja</w:t>
            </w:r>
            <w:r>
              <w:rPr>
                <w:rFonts w:cs="Calibri"/>
                <w:sz w:val="18"/>
                <w:szCs w:val="18"/>
              </w:rPr>
              <w:t xml:space="preserve">) – široke i duboke pukotine u zidovima, rušenje dimnjaka. </w:t>
            </w:r>
          </w:p>
        </w:tc>
        <w:tc>
          <w:tcPr>
            <w:tcW w:w="18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rFonts w:cs="Calibri"/>
                <w:sz w:val="18"/>
                <w:szCs w:val="18"/>
              </w:rPr>
            </w:pPr>
            <w:r>
              <w:rPr>
                <w:rFonts w:cs="Calibri"/>
                <w:sz w:val="18"/>
                <w:szCs w:val="18"/>
              </w:rPr>
              <w:lastRenderedPageBreak/>
              <w:t xml:space="preserve">Teži namještaj ponekad se pomiče. Neke viseće svjetiljke su oštećene. Kipovi i spomenici se pomiču. Nadgrobni kameni se </w:t>
            </w:r>
            <w:r>
              <w:rPr>
                <w:rFonts w:cs="Calibri"/>
                <w:sz w:val="18"/>
                <w:szCs w:val="18"/>
              </w:rPr>
              <w:lastRenderedPageBreak/>
              <w:t>prevrću. Ruše se kamene ograde i zidovi.</w:t>
            </w:r>
          </w:p>
        </w:tc>
        <w:tc>
          <w:tcPr>
            <w:tcW w:w="32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rPr>
                <w:rFonts w:cs="Calibri"/>
                <w:sz w:val="18"/>
                <w:szCs w:val="18"/>
              </w:rPr>
            </w:pPr>
            <w:r>
              <w:rPr>
                <w:rFonts w:cs="Calibri"/>
                <w:sz w:val="18"/>
                <w:szCs w:val="18"/>
              </w:rPr>
              <w:lastRenderedPageBreak/>
              <w:t>Ponegdje se lome grane stabala. Dol</w:t>
            </w:r>
            <w:r>
              <w:rPr>
                <w:rFonts w:cs="Calibri"/>
                <w:sz w:val="18"/>
                <w:szCs w:val="18"/>
              </w:rPr>
              <w:t xml:space="preserve">azi do odrona u udubljenima i na nasipima cesta sa strmim nagibom. Pukotine u tlu dosežu i nekoliko centimetara. Voda u jezerima se muti. Stvaraju se novi bazeni vode. Ponekad se presušeni zdenci pune </w:t>
            </w:r>
            <w:r>
              <w:rPr>
                <w:rFonts w:cs="Calibri"/>
                <w:sz w:val="18"/>
                <w:szCs w:val="18"/>
              </w:rPr>
              <w:lastRenderedPageBreak/>
              <w:t>vodom ili postojeći presušuju. U mnogim slučajevima mij</w:t>
            </w:r>
            <w:r>
              <w:rPr>
                <w:rFonts w:cs="Calibri"/>
                <w:sz w:val="18"/>
                <w:szCs w:val="18"/>
              </w:rPr>
              <w:t>enja se izdašnost izvora i razina vode u zdencima.</w:t>
            </w:r>
          </w:p>
        </w:tc>
        <w:tc>
          <w:tcPr>
            <w:tcW w:w="340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rPr>
                <w:rFonts w:cs="Calibri"/>
                <w:sz w:val="18"/>
                <w:szCs w:val="18"/>
              </w:rPr>
            </w:pPr>
            <w:r>
              <w:rPr>
                <w:rFonts w:cs="Calibri"/>
                <w:sz w:val="18"/>
                <w:szCs w:val="18"/>
              </w:rPr>
              <w:lastRenderedPageBreak/>
              <w:t xml:space="preserve">Opći strah i panika. Trešnja se osjeća jako i u automobilima koji su u pokretu. </w:t>
            </w:r>
          </w:p>
        </w:tc>
      </w:tr>
    </w:tbl>
    <w:p w:rsidR="008F0D85" w:rsidRDefault="008F0D85"/>
    <w:p w:rsidR="008F0D85" w:rsidRDefault="008F0D85">
      <w:pPr>
        <w:sectPr w:rsidR="008F0D85">
          <w:headerReference w:type="default" r:id="rId67"/>
          <w:footerReference w:type="default" r:id="rId68"/>
          <w:pgSz w:w="16838" w:h="11906" w:orient="landscape"/>
          <w:pgMar w:top="1418" w:right="1418" w:bottom="1418" w:left="1418" w:header="709" w:footer="709" w:gutter="0"/>
          <w:cols w:space="720"/>
          <w:formProt w:val="0"/>
          <w:docGrid w:linePitch="360"/>
        </w:sectPr>
      </w:pPr>
    </w:p>
    <w:p w:rsidR="008F0D85" w:rsidRDefault="00AE42A1">
      <w:pPr>
        <w:rPr>
          <w:rFonts w:cs="Arial"/>
          <w:szCs w:val="24"/>
          <w:u w:val="single"/>
        </w:rPr>
      </w:pPr>
      <w:r>
        <w:rPr>
          <w:rFonts w:cs="Arial"/>
          <w:szCs w:val="24"/>
          <w:u w:val="single"/>
        </w:rPr>
        <w:lastRenderedPageBreak/>
        <w:t>PRIKAZ VJEROJATNOSTI POTRESA</w:t>
      </w:r>
    </w:p>
    <w:p w:rsidR="008F0D85" w:rsidRDefault="00AE42A1">
      <w:pPr>
        <w:jc w:val="center"/>
      </w:pPr>
      <w:r>
        <w:rPr>
          <w:noProof/>
        </w:rPr>
        <w:drawing>
          <wp:inline distT="0" distB="0" distL="0" distR="0">
            <wp:extent cx="4763135" cy="4553585"/>
            <wp:effectExtent l="0" t="0" r="0" b="0"/>
            <wp:docPr id="85"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lika 31"/>
                    <pic:cNvPicPr>
                      <a:picLocks noChangeAspect="1" noChangeArrowheads="1"/>
                    </pic:cNvPicPr>
                  </pic:nvPicPr>
                  <pic:blipFill>
                    <a:blip r:embed="rId69"/>
                    <a:stretch>
                      <a:fillRect/>
                    </a:stretch>
                  </pic:blipFill>
                  <pic:spPr bwMode="auto">
                    <a:xfrm>
                      <a:off x="0" y="0"/>
                      <a:ext cx="4763135" cy="4553585"/>
                    </a:xfrm>
                    <a:prstGeom prst="rect">
                      <a:avLst/>
                    </a:prstGeom>
                  </pic:spPr>
                </pic:pic>
              </a:graphicData>
            </a:graphic>
          </wp:inline>
        </w:drawing>
      </w:r>
    </w:p>
    <w:p w:rsidR="008F0D85" w:rsidRDefault="00AE42A1">
      <w:pPr>
        <w:spacing w:after="0" w:line="360" w:lineRule="auto"/>
        <w:rPr>
          <w:rFonts w:cs="Arial"/>
          <w:b/>
          <w:bCs/>
          <w:sz w:val="20"/>
          <w:szCs w:val="20"/>
        </w:rPr>
      </w:pPr>
      <w:bookmarkStart w:id="870" w:name="_Toc514240411"/>
      <w:bookmarkStart w:id="871" w:name="_Toc516128501"/>
      <w:bookmarkStart w:id="872" w:name="_Toc527969594"/>
      <w:r>
        <w:rPr>
          <w:rFonts w:cs="Arial"/>
          <w:b/>
          <w:bCs/>
          <w:sz w:val="20"/>
          <w:szCs w:val="20"/>
        </w:rPr>
        <w:t xml:space="preserve">Slika </w:t>
      </w:r>
      <w:r>
        <w:rPr>
          <w:rFonts w:cs="Arial"/>
          <w:b/>
          <w:bCs/>
          <w:sz w:val="20"/>
          <w:szCs w:val="20"/>
        </w:rPr>
        <w:fldChar w:fldCharType="begin"/>
      </w:r>
      <w:r>
        <w:instrText>SEQ Slika \* ARABIC</w:instrText>
      </w:r>
      <w:r>
        <w:fldChar w:fldCharType="separate"/>
      </w:r>
      <w:r>
        <w:t>22</w:t>
      </w:r>
      <w:r>
        <w:fldChar w:fldCharType="end"/>
      </w:r>
      <w:bookmarkEnd w:id="870"/>
      <w:bookmarkEnd w:id="871"/>
      <w:bookmarkEnd w:id="872"/>
      <w:r>
        <w:rPr>
          <w:rFonts w:cs="Arial"/>
          <w:b/>
          <w:bCs/>
          <w:sz w:val="20"/>
          <w:szCs w:val="20"/>
        </w:rPr>
        <w:t>: Karta potresnog područja RH s povratnim razdobljem od 95 godina</w:t>
      </w:r>
    </w:p>
    <w:p w:rsidR="008F0D85" w:rsidRDefault="00AE42A1">
      <w:pPr>
        <w:rPr>
          <w:sz w:val="20"/>
          <w:szCs w:val="20"/>
        </w:rPr>
      </w:pPr>
      <w:r>
        <w:rPr>
          <w:sz w:val="20"/>
          <w:szCs w:val="20"/>
        </w:rPr>
        <w:t>Izvor: PMF Zagreb – geofizički odsjek, 2012.god.</w:t>
      </w:r>
    </w:p>
    <w:p w:rsidR="008F0D85" w:rsidRDefault="008F0D85">
      <w:pPr>
        <w:rPr>
          <w:sz w:val="20"/>
          <w:szCs w:val="20"/>
        </w:rPr>
      </w:pPr>
    </w:p>
    <w:p w:rsidR="008F0D85" w:rsidRDefault="00AE42A1">
      <w:pPr>
        <w:rPr>
          <w:rFonts w:cs="Calibri"/>
          <w:szCs w:val="24"/>
        </w:rPr>
      </w:pPr>
      <w:bookmarkStart w:id="873" w:name="_Hlk498000578"/>
      <w:bookmarkEnd w:id="873"/>
      <w:r>
        <w:rPr>
          <w:rFonts w:cs="Calibri"/>
          <w:szCs w:val="24"/>
        </w:rPr>
        <w:t xml:space="preserve">Kartom su </w:t>
      </w:r>
      <w:r>
        <w:rPr>
          <w:rFonts w:cs="Calibri"/>
          <w:szCs w:val="24"/>
        </w:rPr>
        <w:t>prikazana potresom prouzročena horizontalna poredbena vršna ubrzanja (a</w:t>
      </w:r>
      <w:r>
        <w:rPr>
          <w:rFonts w:cs="Calibri"/>
          <w:szCs w:val="24"/>
          <w:vertAlign w:val="subscript"/>
        </w:rPr>
        <w:t>gR</w:t>
      </w:r>
      <w:r>
        <w:rPr>
          <w:rFonts w:cs="Calibri"/>
          <w:szCs w:val="24"/>
        </w:rPr>
        <w:t xml:space="preserve">) površine temeljnog tla tipa A čiji se promašaj tijekom bilo kojih 10 godina očekuje s vjerojatnošću od 10% promašaja. </w:t>
      </w: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AE42A1">
      <w:pPr>
        <w:jc w:val="center"/>
      </w:pPr>
      <w:r>
        <w:rPr>
          <w:noProof/>
        </w:rPr>
        <w:lastRenderedPageBreak/>
        <w:drawing>
          <wp:inline distT="0" distB="0" distL="0" distR="0">
            <wp:extent cx="4763135" cy="4544060"/>
            <wp:effectExtent l="0" t="0" r="0" b="0"/>
            <wp:docPr id="86"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lika 32"/>
                    <pic:cNvPicPr>
                      <a:picLocks noChangeAspect="1" noChangeArrowheads="1"/>
                    </pic:cNvPicPr>
                  </pic:nvPicPr>
                  <pic:blipFill>
                    <a:blip r:embed="rId70"/>
                    <a:stretch>
                      <a:fillRect/>
                    </a:stretch>
                  </pic:blipFill>
                  <pic:spPr bwMode="auto">
                    <a:xfrm>
                      <a:off x="0" y="0"/>
                      <a:ext cx="4763135" cy="4544060"/>
                    </a:xfrm>
                    <a:prstGeom prst="rect">
                      <a:avLst/>
                    </a:prstGeom>
                  </pic:spPr>
                </pic:pic>
              </a:graphicData>
            </a:graphic>
          </wp:inline>
        </w:drawing>
      </w:r>
    </w:p>
    <w:p w:rsidR="008F0D85" w:rsidRDefault="00AE42A1">
      <w:pPr>
        <w:spacing w:after="0" w:line="360" w:lineRule="auto"/>
        <w:rPr>
          <w:rFonts w:cs="Arial"/>
          <w:b/>
          <w:bCs/>
          <w:sz w:val="20"/>
          <w:szCs w:val="20"/>
        </w:rPr>
      </w:pPr>
      <w:bookmarkStart w:id="874" w:name="_Toc512434803"/>
      <w:bookmarkStart w:id="875" w:name="_Toc514240412"/>
      <w:bookmarkStart w:id="876" w:name="_Toc516128502"/>
      <w:bookmarkStart w:id="877" w:name="_Toc527969595"/>
      <w:r>
        <w:rPr>
          <w:rFonts w:cs="Arial"/>
          <w:b/>
          <w:bCs/>
          <w:sz w:val="20"/>
          <w:szCs w:val="20"/>
        </w:rPr>
        <w:t xml:space="preserve">Slika </w:t>
      </w:r>
      <w:r>
        <w:rPr>
          <w:rFonts w:cs="Arial"/>
          <w:b/>
          <w:bCs/>
          <w:sz w:val="20"/>
          <w:szCs w:val="20"/>
        </w:rPr>
        <w:fldChar w:fldCharType="begin"/>
      </w:r>
      <w:r>
        <w:instrText>SEQ Slika \* ARABIC</w:instrText>
      </w:r>
      <w:r>
        <w:fldChar w:fldCharType="separate"/>
      </w:r>
      <w:r>
        <w:t>23</w:t>
      </w:r>
      <w:r>
        <w:fldChar w:fldCharType="end"/>
      </w:r>
      <w:bookmarkEnd w:id="874"/>
      <w:bookmarkEnd w:id="875"/>
      <w:bookmarkEnd w:id="876"/>
      <w:bookmarkEnd w:id="877"/>
      <w:r>
        <w:rPr>
          <w:rFonts w:cs="Arial"/>
          <w:b/>
          <w:bCs/>
          <w:sz w:val="20"/>
          <w:szCs w:val="20"/>
        </w:rPr>
        <w:t xml:space="preserve">: Karta </w:t>
      </w:r>
      <w:r>
        <w:rPr>
          <w:rFonts w:cs="Arial"/>
          <w:b/>
          <w:bCs/>
          <w:sz w:val="20"/>
          <w:szCs w:val="20"/>
        </w:rPr>
        <w:t>potresnog područja RH s povratnim razdobljem od 475 godina</w:t>
      </w:r>
    </w:p>
    <w:p w:rsidR="008F0D85" w:rsidRDefault="00AE42A1">
      <w:pPr>
        <w:rPr>
          <w:sz w:val="20"/>
          <w:szCs w:val="20"/>
        </w:rPr>
      </w:pPr>
      <w:r>
        <w:rPr>
          <w:sz w:val="20"/>
          <w:szCs w:val="20"/>
        </w:rPr>
        <w:t>Izvor: PMF Zagreb – geofizički odsjek, 2012.god.</w:t>
      </w:r>
    </w:p>
    <w:p w:rsidR="008F0D85" w:rsidRDefault="008F0D85"/>
    <w:p w:rsidR="008F0D85" w:rsidRDefault="00AE42A1">
      <w:pPr>
        <w:spacing w:after="0"/>
      </w:pPr>
      <w:r>
        <w:rPr>
          <w:rFonts w:cs="Arial"/>
          <w:szCs w:val="24"/>
        </w:rPr>
        <w:t>Kartom su prikazana potresom prouzročena horizontalna poredbena vršna ubrzanja (a</w:t>
      </w:r>
      <w:r>
        <w:rPr>
          <w:rFonts w:cs="Arial"/>
          <w:szCs w:val="24"/>
          <w:vertAlign w:val="subscript"/>
        </w:rPr>
        <w:t>gR</w:t>
      </w:r>
      <w:bookmarkStart w:id="878" w:name="_Hlk498000579"/>
      <w:bookmarkEnd w:id="878"/>
      <w:r>
        <w:rPr>
          <w:rFonts w:cs="Arial"/>
          <w:szCs w:val="24"/>
        </w:rPr>
        <w:t>) površine temeljnog tla tipa A čiji se promašaj tijekom bilo ko</w:t>
      </w:r>
      <w:r>
        <w:rPr>
          <w:rFonts w:cs="Arial"/>
          <w:szCs w:val="24"/>
        </w:rPr>
        <w:t>jih 50 godina očekuje s vjerojatnošću od 10% promašaja.</w:t>
      </w:r>
    </w:p>
    <w:p w:rsidR="008F0D85" w:rsidRDefault="008F0D85">
      <w:pPr>
        <w:spacing w:after="0"/>
      </w:pPr>
    </w:p>
    <w:p w:rsidR="008F0D85" w:rsidRDefault="00AE42A1">
      <w:pPr>
        <w:spacing w:after="120"/>
      </w:pPr>
      <w:r>
        <w:rPr>
          <w:rFonts w:cs="Arial"/>
          <w:szCs w:val="24"/>
        </w:rPr>
        <w:t>Svakom događaju može se pridružiti propisana karta potresnih područja koja pokazuje potresom prouzročena horizontalna poredbena vršna ubrzanja (a</w:t>
      </w:r>
      <w:r>
        <w:rPr>
          <w:rFonts w:cs="Arial"/>
          <w:szCs w:val="24"/>
          <w:vertAlign w:val="subscript"/>
        </w:rPr>
        <w:t>gR</w:t>
      </w:r>
      <w:r>
        <w:rPr>
          <w:rFonts w:cs="Arial"/>
          <w:szCs w:val="24"/>
        </w:rPr>
        <w:t xml:space="preserve">), površine temeljnog tla, tipa A (čvrsta stijena). </w:t>
      </w:r>
      <w:r>
        <w:rPr>
          <w:rFonts w:cs="Arial"/>
          <w:szCs w:val="24"/>
        </w:rPr>
        <w:t>Povratna razdoblja koriste se za procjenu ukupnog broja potresa koji se mogu očekivati u nekom dužem vremenskom periodu, ali ne može se procijeniti vrijeme u kojem će se dogoditi. Potresi su razdijeljeni po Poissonovoj razdiobi te njihovo događanje na odre</w:t>
      </w:r>
      <w:r>
        <w:rPr>
          <w:rFonts w:cs="Arial"/>
          <w:szCs w:val="24"/>
        </w:rPr>
        <w:t xml:space="preserve">đenom mjestu nema pravilnosti te potresi nisu međusobno zavisni po vremenu nastanka. </w:t>
      </w:r>
    </w:p>
    <w:p w:rsidR="008F0D85" w:rsidRDefault="00AE42A1">
      <w:pPr>
        <w:spacing w:after="120"/>
        <w:rPr>
          <w:rFonts w:cs="Arial"/>
          <w:szCs w:val="24"/>
        </w:rPr>
      </w:pPr>
      <w:r>
        <w:rPr>
          <w:rFonts w:cs="Arial"/>
          <w:szCs w:val="24"/>
        </w:rPr>
        <w:t>Međuovisnost brzine kretanja vršnog ubrzanja tla i stupnja potresa prema MCS ljestvici prikazana je u tablici numeričkih vrijednosti.</w:t>
      </w:r>
    </w:p>
    <w:p w:rsidR="008F0D85" w:rsidRDefault="008F0D85">
      <w:pPr>
        <w:rPr>
          <w:rFonts w:cs="Calibri"/>
          <w:szCs w:val="24"/>
        </w:rPr>
      </w:pPr>
    </w:p>
    <w:p w:rsidR="008F0D85" w:rsidRDefault="00AE42A1">
      <w:pPr>
        <w:spacing w:after="0" w:line="360" w:lineRule="auto"/>
        <w:jc w:val="center"/>
        <w:rPr>
          <w:rFonts w:cs="Arial"/>
          <w:b/>
          <w:bCs/>
          <w:sz w:val="20"/>
          <w:szCs w:val="20"/>
        </w:rPr>
      </w:pPr>
      <w:bookmarkStart w:id="879" w:name="_Hlk4980005781"/>
      <w:bookmarkStart w:id="880" w:name="_Toc512434749"/>
      <w:bookmarkStart w:id="881" w:name="_Toc514240346"/>
      <w:bookmarkStart w:id="882" w:name="_Toc516128437"/>
      <w:bookmarkStart w:id="883" w:name="_Toc527969534"/>
      <w:bookmarkEnd w:id="879"/>
      <w:r>
        <w:rPr>
          <w:rFonts w:cs="Arial"/>
          <w:b/>
          <w:bCs/>
          <w:sz w:val="20"/>
          <w:szCs w:val="20"/>
        </w:rPr>
        <w:lastRenderedPageBreak/>
        <w:t xml:space="preserve">Tablica </w:t>
      </w:r>
      <w:r>
        <w:rPr>
          <w:rFonts w:cs="Arial"/>
          <w:b/>
          <w:bCs/>
          <w:sz w:val="20"/>
          <w:szCs w:val="20"/>
        </w:rPr>
        <w:fldChar w:fldCharType="begin"/>
      </w:r>
      <w:r>
        <w:instrText>SEQ Tablica \* ARABIC</w:instrText>
      </w:r>
      <w:r>
        <w:fldChar w:fldCharType="separate"/>
      </w:r>
      <w:r>
        <w:t>52</w:t>
      </w:r>
      <w:r>
        <w:fldChar w:fldCharType="end"/>
      </w:r>
      <w:bookmarkEnd w:id="880"/>
      <w:bookmarkEnd w:id="881"/>
      <w:bookmarkEnd w:id="882"/>
      <w:bookmarkEnd w:id="883"/>
      <w:r>
        <w:rPr>
          <w:rFonts w:cs="Arial"/>
          <w:b/>
          <w:bCs/>
          <w:sz w:val="20"/>
          <w:szCs w:val="20"/>
        </w:rPr>
        <w:t>:</w:t>
      </w:r>
      <w:r>
        <w:rPr>
          <w:rFonts w:cs="Arial"/>
          <w:b/>
          <w:bCs/>
          <w:sz w:val="20"/>
          <w:szCs w:val="20"/>
        </w:rPr>
        <w:t xml:space="preserve"> Prikaz veze opisanog MCS stupnja te pripadajuće numeričke vrijednosti vršnog ubrzanja</w:t>
      </w:r>
    </w:p>
    <w:tbl>
      <w:tblPr>
        <w:tblW w:w="9226" w:type="dxa"/>
        <w:tblInd w:w="96"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left w:w="68" w:type="dxa"/>
        </w:tblCellMar>
        <w:tblLook w:val="0000" w:firstRow="0" w:lastRow="0" w:firstColumn="0" w:lastColumn="0" w:noHBand="0" w:noVBand="0"/>
      </w:tblPr>
      <w:tblGrid>
        <w:gridCol w:w="1142"/>
        <w:gridCol w:w="1273"/>
        <w:gridCol w:w="1555"/>
        <w:gridCol w:w="1132"/>
        <w:gridCol w:w="4124"/>
      </w:tblGrid>
      <w:tr w:rsidR="008F0D85">
        <w:trPr>
          <w:cantSplit/>
          <w:trHeight w:val="290"/>
        </w:trPr>
        <w:tc>
          <w:tcPr>
            <w:tcW w:w="1143" w:type="dxa"/>
            <w:vMerge w:val="restart"/>
            <w:tcBorders>
              <w:top w:val="single" w:sz="8" w:space="0" w:color="000001"/>
              <w:left w:val="single" w:sz="8" w:space="0" w:color="000001"/>
              <w:bottom w:val="single" w:sz="8" w:space="0" w:color="000001"/>
              <w:right w:val="single" w:sz="8" w:space="0" w:color="000001"/>
            </w:tcBorders>
            <w:shd w:val="clear" w:color="auto" w:fill="F2F2F2"/>
            <w:tcMar>
              <w:left w:w="68" w:type="dxa"/>
            </w:tcMar>
            <w:vAlign w:val="center"/>
          </w:tcPr>
          <w:p w:rsidR="008F0D85" w:rsidRDefault="00AE42A1">
            <w:pPr>
              <w:spacing w:after="0" w:line="240" w:lineRule="auto"/>
              <w:jc w:val="center"/>
              <w:rPr>
                <w:b/>
                <w:bCs/>
                <w:color w:val="000000"/>
                <w:sz w:val="19"/>
                <w:szCs w:val="19"/>
              </w:rPr>
            </w:pPr>
            <w:r>
              <w:rPr>
                <w:b/>
                <w:bCs/>
                <w:color w:val="000000"/>
                <w:sz w:val="19"/>
                <w:szCs w:val="19"/>
              </w:rPr>
              <w:t>MCS stupanj potresa</w:t>
            </w:r>
          </w:p>
        </w:tc>
        <w:tc>
          <w:tcPr>
            <w:tcW w:w="2826" w:type="dxa"/>
            <w:gridSpan w:val="2"/>
            <w:tcBorders>
              <w:top w:val="single" w:sz="8" w:space="0" w:color="000001"/>
              <w:left w:val="single" w:sz="8" w:space="0" w:color="000001"/>
              <w:bottom w:val="single" w:sz="8" w:space="0" w:color="000001"/>
              <w:right w:val="single" w:sz="8" w:space="0" w:color="000001"/>
            </w:tcBorders>
            <w:shd w:val="clear" w:color="auto" w:fill="F2F2F2"/>
            <w:vAlign w:val="center"/>
          </w:tcPr>
          <w:p w:rsidR="008F0D85" w:rsidRDefault="00AE42A1">
            <w:pPr>
              <w:spacing w:after="0" w:line="240" w:lineRule="auto"/>
              <w:jc w:val="center"/>
              <w:rPr>
                <w:b/>
                <w:bCs/>
                <w:color w:val="000000"/>
                <w:sz w:val="19"/>
                <w:szCs w:val="19"/>
              </w:rPr>
            </w:pPr>
            <w:r>
              <w:rPr>
                <w:b/>
                <w:bCs/>
                <w:color w:val="000000"/>
                <w:sz w:val="19"/>
                <w:szCs w:val="19"/>
              </w:rPr>
              <w:t>Vršno ubrzanje tla</w:t>
            </w:r>
          </w:p>
        </w:tc>
        <w:tc>
          <w:tcPr>
            <w:tcW w:w="1132" w:type="dxa"/>
            <w:tcBorders>
              <w:top w:val="single" w:sz="8" w:space="0" w:color="000001"/>
              <w:left w:val="single" w:sz="8" w:space="0" w:color="000001"/>
              <w:bottom w:val="single" w:sz="8" w:space="0" w:color="000001"/>
              <w:right w:val="single" w:sz="8" w:space="0" w:color="000001"/>
            </w:tcBorders>
            <w:shd w:val="clear" w:color="auto" w:fill="F2F2F2"/>
            <w:tcMar>
              <w:left w:w="68" w:type="dxa"/>
            </w:tcMar>
            <w:vAlign w:val="center"/>
          </w:tcPr>
          <w:p w:rsidR="008F0D85" w:rsidRDefault="00AE42A1">
            <w:pPr>
              <w:spacing w:after="0" w:line="240" w:lineRule="auto"/>
              <w:jc w:val="center"/>
              <w:rPr>
                <w:b/>
                <w:bCs/>
                <w:color w:val="000000"/>
                <w:sz w:val="19"/>
                <w:szCs w:val="19"/>
              </w:rPr>
            </w:pPr>
            <w:r>
              <w:rPr>
                <w:b/>
                <w:bCs/>
                <w:color w:val="000000"/>
                <w:sz w:val="19"/>
                <w:szCs w:val="19"/>
              </w:rPr>
              <w:t>Naziv potresa</w:t>
            </w:r>
          </w:p>
        </w:tc>
        <w:tc>
          <w:tcPr>
            <w:tcW w:w="4125" w:type="dxa"/>
            <w:tcBorders>
              <w:top w:val="single" w:sz="8" w:space="0" w:color="000001"/>
              <w:left w:val="single" w:sz="8" w:space="0" w:color="000001"/>
              <w:bottom w:val="single" w:sz="8" w:space="0" w:color="000001"/>
              <w:right w:val="single" w:sz="8" w:space="0" w:color="000001"/>
            </w:tcBorders>
            <w:shd w:val="clear" w:color="auto" w:fill="F2F2F2"/>
            <w:tcMar>
              <w:left w:w="68" w:type="dxa"/>
            </w:tcMar>
            <w:vAlign w:val="center"/>
          </w:tcPr>
          <w:p w:rsidR="008F0D85" w:rsidRDefault="00AE42A1">
            <w:pPr>
              <w:spacing w:after="0" w:line="240" w:lineRule="auto"/>
              <w:jc w:val="center"/>
              <w:rPr>
                <w:b/>
                <w:bCs/>
                <w:color w:val="000000"/>
                <w:sz w:val="19"/>
                <w:szCs w:val="19"/>
              </w:rPr>
            </w:pPr>
            <w:r>
              <w:rPr>
                <w:b/>
                <w:bCs/>
                <w:color w:val="000000"/>
                <w:sz w:val="19"/>
                <w:szCs w:val="19"/>
              </w:rPr>
              <w:t>Opis potresa</w:t>
            </w:r>
          </w:p>
        </w:tc>
      </w:tr>
      <w:tr w:rsidR="008F0D85">
        <w:trPr>
          <w:cantSplit/>
          <w:trHeight w:val="588"/>
        </w:trPr>
        <w:tc>
          <w:tcPr>
            <w:tcW w:w="1143" w:type="dxa"/>
            <w:vMerge/>
            <w:tcBorders>
              <w:top w:val="single" w:sz="8" w:space="0" w:color="000001"/>
              <w:left w:val="single" w:sz="8" w:space="0" w:color="000001"/>
              <w:bottom w:val="single" w:sz="8" w:space="0" w:color="000001"/>
              <w:right w:val="single" w:sz="8" w:space="0" w:color="000001"/>
            </w:tcBorders>
            <w:shd w:val="clear" w:color="auto" w:fill="F2F2F2"/>
            <w:tcMar>
              <w:left w:w="68" w:type="dxa"/>
            </w:tcMar>
            <w:vAlign w:val="center"/>
          </w:tcPr>
          <w:p w:rsidR="008F0D85" w:rsidRDefault="008F0D85">
            <w:pPr>
              <w:spacing w:after="0" w:line="240" w:lineRule="auto"/>
              <w:jc w:val="left"/>
              <w:rPr>
                <w:b/>
                <w:bCs/>
                <w:color w:val="000000"/>
                <w:sz w:val="19"/>
                <w:szCs w:val="19"/>
              </w:rPr>
            </w:pPr>
          </w:p>
        </w:tc>
        <w:tc>
          <w:tcPr>
            <w:tcW w:w="1273" w:type="dxa"/>
            <w:tcBorders>
              <w:top w:val="single" w:sz="8" w:space="0" w:color="000001"/>
              <w:left w:val="single" w:sz="8" w:space="0" w:color="000001"/>
              <w:bottom w:val="single" w:sz="8" w:space="0" w:color="000001"/>
              <w:right w:val="single" w:sz="8" w:space="0" w:color="000001"/>
            </w:tcBorders>
            <w:shd w:val="clear" w:color="auto" w:fill="F2F2F2"/>
            <w:vAlign w:val="center"/>
          </w:tcPr>
          <w:p w:rsidR="008F0D85" w:rsidRDefault="00AE42A1">
            <w:pPr>
              <w:spacing w:after="0" w:line="240" w:lineRule="auto"/>
              <w:jc w:val="center"/>
            </w:pPr>
            <w:r>
              <w:rPr>
                <w:b/>
                <w:bCs/>
                <w:color w:val="000000"/>
                <w:sz w:val="19"/>
                <w:szCs w:val="19"/>
              </w:rPr>
              <w:t>(m/s</w:t>
            </w:r>
            <w:r>
              <w:rPr>
                <w:b/>
                <w:bCs/>
                <w:color w:val="000000"/>
                <w:sz w:val="19"/>
                <w:szCs w:val="19"/>
                <w:vertAlign w:val="superscript"/>
              </w:rPr>
              <w:t>2</w:t>
            </w:r>
            <w:r>
              <w:rPr>
                <w:b/>
                <w:bCs/>
                <w:color w:val="000000"/>
                <w:sz w:val="19"/>
                <w:szCs w:val="19"/>
              </w:rPr>
              <w:t>)</w:t>
            </w:r>
          </w:p>
        </w:tc>
        <w:tc>
          <w:tcPr>
            <w:tcW w:w="1555" w:type="dxa"/>
            <w:tcBorders>
              <w:top w:val="single" w:sz="8" w:space="0" w:color="000001"/>
              <w:left w:val="single" w:sz="8" w:space="0" w:color="000001"/>
              <w:bottom w:val="single" w:sz="8" w:space="0" w:color="000001"/>
              <w:right w:val="single" w:sz="8" w:space="0" w:color="000001"/>
            </w:tcBorders>
            <w:shd w:val="clear" w:color="auto" w:fill="F2F2F2"/>
            <w:vAlign w:val="center"/>
          </w:tcPr>
          <w:p w:rsidR="008F0D85" w:rsidRDefault="00AE42A1">
            <w:pPr>
              <w:spacing w:after="0" w:line="240" w:lineRule="auto"/>
              <w:jc w:val="center"/>
              <w:rPr>
                <w:b/>
                <w:bCs/>
                <w:color w:val="000000"/>
                <w:sz w:val="19"/>
                <w:szCs w:val="19"/>
              </w:rPr>
            </w:pPr>
            <w:r>
              <w:rPr>
                <w:b/>
                <w:bCs/>
                <w:color w:val="000000"/>
                <w:sz w:val="19"/>
                <w:szCs w:val="19"/>
              </w:rPr>
              <w:t>(jedinica gravitacijskog ubrzanja, g)</w:t>
            </w:r>
          </w:p>
        </w:tc>
        <w:tc>
          <w:tcPr>
            <w:tcW w:w="1131" w:type="dxa"/>
            <w:tcBorders>
              <w:top w:val="single" w:sz="8" w:space="0" w:color="000001"/>
              <w:left w:val="single" w:sz="8" w:space="0" w:color="000001"/>
              <w:bottom w:val="single" w:sz="8" w:space="0" w:color="000001"/>
              <w:right w:val="single" w:sz="8" w:space="0" w:color="000001"/>
            </w:tcBorders>
            <w:shd w:val="clear" w:color="auto" w:fill="F7CAAC"/>
            <w:tcMar>
              <w:left w:w="68" w:type="dxa"/>
            </w:tcMar>
            <w:vAlign w:val="center"/>
          </w:tcPr>
          <w:p w:rsidR="008F0D85" w:rsidRDefault="008F0D85">
            <w:pPr>
              <w:spacing w:after="0" w:line="240" w:lineRule="auto"/>
              <w:jc w:val="left"/>
              <w:rPr>
                <w:b/>
                <w:bCs/>
                <w:color w:val="000000"/>
                <w:sz w:val="19"/>
                <w:szCs w:val="19"/>
              </w:rPr>
            </w:pPr>
          </w:p>
        </w:tc>
        <w:tc>
          <w:tcPr>
            <w:tcW w:w="4124" w:type="dxa"/>
            <w:tcBorders>
              <w:top w:val="single" w:sz="8" w:space="0" w:color="000001"/>
              <w:left w:val="single" w:sz="8" w:space="0" w:color="000001"/>
              <w:bottom w:val="single" w:sz="8" w:space="0" w:color="000001"/>
              <w:right w:val="single" w:sz="8" w:space="0" w:color="000001"/>
            </w:tcBorders>
            <w:shd w:val="clear" w:color="auto" w:fill="F7CAAC"/>
            <w:tcMar>
              <w:left w:w="68" w:type="dxa"/>
            </w:tcMar>
            <w:vAlign w:val="center"/>
          </w:tcPr>
          <w:p w:rsidR="008F0D85" w:rsidRDefault="008F0D85">
            <w:pPr>
              <w:spacing w:after="0" w:line="240" w:lineRule="auto"/>
              <w:jc w:val="left"/>
              <w:rPr>
                <w:b/>
                <w:bCs/>
                <w:color w:val="000000"/>
                <w:sz w:val="19"/>
                <w:szCs w:val="19"/>
              </w:rPr>
            </w:pPr>
          </w:p>
        </w:tc>
      </w:tr>
      <w:tr w:rsidR="008F0D85">
        <w:trPr>
          <w:trHeight w:val="588"/>
        </w:trPr>
        <w:tc>
          <w:tcPr>
            <w:tcW w:w="1143" w:type="dxa"/>
            <w:tcBorders>
              <w:top w:val="single" w:sz="8" w:space="0" w:color="000001"/>
              <w:left w:val="single" w:sz="8" w:space="0" w:color="000001"/>
              <w:bottom w:val="single" w:sz="8" w:space="0" w:color="000001"/>
              <w:right w:val="single" w:sz="8" w:space="0" w:color="000001"/>
            </w:tcBorders>
            <w:shd w:val="clear" w:color="auto" w:fill="F2F2F2"/>
            <w:tcMar>
              <w:left w:w="68" w:type="dxa"/>
            </w:tcMar>
            <w:vAlign w:val="center"/>
          </w:tcPr>
          <w:p w:rsidR="008F0D85" w:rsidRDefault="00AE42A1">
            <w:pPr>
              <w:spacing w:after="0" w:line="240" w:lineRule="auto"/>
              <w:jc w:val="center"/>
              <w:rPr>
                <w:b/>
                <w:bCs/>
                <w:i/>
                <w:iCs/>
                <w:color w:val="000000"/>
                <w:sz w:val="19"/>
                <w:szCs w:val="19"/>
              </w:rPr>
            </w:pPr>
            <w:r>
              <w:rPr>
                <w:b/>
                <w:bCs/>
                <w:i/>
                <w:iCs/>
                <w:color w:val="000000"/>
                <w:sz w:val="19"/>
                <w:szCs w:val="19"/>
              </w:rPr>
              <w:t>VI.</w:t>
            </w:r>
          </w:p>
        </w:tc>
        <w:tc>
          <w:tcPr>
            <w:tcW w:w="1273" w:type="dxa"/>
            <w:tcBorders>
              <w:top w:val="single" w:sz="8" w:space="0" w:color="000001"/>
              <w:left w:val="single" w:sz="8" w:space="0" w:color="000001"/>
              <w:bottom w:val="single" w:sz="8" w:space="0" w:color="000001"/>
              <w:right w:val="single" w:sz="8" w:space="0" w:color="000001"/>
            </w:tcBorders>
            <w:shd w:val="clear" w:color="auto" w:fill="auto"/>
            <w:vAlign w:val="center"/>
          </w:tcPr>
          <w:p w:rsidR="008F0D85" w:rsidRDefault="00AE42A1">
            <w:pPr>
              <w:spacing w:after="0" w:line="240" w:lineRule="auto"/>
              <w:jc w:val="center"/>
              <w:rPr>
                <w:color w:val="000000"/>
                <w:sz w:val="19"/>
                <w:szCs w:val="19"/>
              </w:rPr>
            </w:pPr>
            <w:r>
              <w:rPr>
                <w:color w:val="000000"/>
                <w:sz w:val="19"/>
                <w:szCs w:val="19"/>
              </w:rPr>
              <w:t>0,59-0,69</w:t>
            </w:r>
          </w:p>
        </w:tc>
        <w:tc>
          <w:tcPr>
            <w:tcW w:w="1555" w:type="dxa"/>
            <w:tcBorders>
              <w:top w:val="single" w:sz="8" w:space="0" w:color="000001"/>
              <w:left w:val="single" w:sz="8" w:space="0" w:color="000001"/>
              <w:bottom w:val="single" w:sz="8" w:space="0" w:color="000001"/>
              <w:right w:val="single" w:sz="8" w:space="0" w:color="000001"/>
            </w:tcBorders>
            <w:shd w:val="clear" w:color="auto" w:fill="auto"/>
            <w:vAlign w:val="center"/>
          </w:tcPr>
          <w:p w:rsidR="008F0D85" w:rsidRDefault="00AE42A1">
            <w:pPr>
              <w:spacing w:after="0" w:line="240" w:lineRule="auto"/>
              <w:jc w:val="center"/>
              <w:rPr>
                <w:color w:val="000000"/>
                <w:sz w:val="19"/>
                <w:szCs w:val="19"/>
              </w:rPr>
            </w:pPr>
            <w:r>
              <w:rPr>
                <w:color w:val="000000"/>
                <w:sz w:val="19"/>
                <w:szCs w:val="19"/>
              </w:rPr>
              <w:t>(0,06-0,07)g</w:t>
            </w:r>
          </w:p>
        </w:tc>
        <w:tc>
          <w:tcPr>
            <w:tcW w:w="1131" w:type="dxa"/>
            <w:tcBorders>
              <w:top w:val="single" w:sz="8" w:space="0" w:color="000001"/>
              <w:left w:val="single" w:sz="8" w:space="0" w:color="000001"/>
              <w:bottom w:val="single" w:sz="8" w:space="0" w:color="000001"/>
              <w:right w:val="single" w:sz="8" w:space="0" w:color="000001"/>
            </w:tcBorders>
            <w:shd w:val="clear" w:color="auto" w:fill="auto"/>
            <w:vAlign w:val="center"/>
          </w:tcPr>
          <w:p w:rsidR="008F0D85" w:rsidRDefault="00AE42A1">
            <w:pPr>
              <w:spacing w:after="0" w:line="240" w:lineRule="auto"/>
              <w:jc w:val="center"/>
              <w:rPr>
                <w:color w:val="000000"/>
                <w:sz w:val="19"/>
                <w:szCs w:val="19"/>
              </w:rPr>
            </w:pPr>
            <w:r>
              <w:rPr>
                <w:color w:val="000000"/>
                <w:sz w:val="19"/>
                <w:szCs w:val="19"/>
              </w:rPr>
              <w:t>jak</w:t>
            </w:r>
          </w:p>
        </w:tc>
        <w:tc>
          <w:tcPr>
            <w:tcW w:w="4124" w:type="dxa"/>
            <w:tcBorders>
              <w:top w:val="single" w:sz="8" w:space="0" w:color="000001"/>
              <w:left w:val="single" w:sz="8" w:space="0" w:color="000001"/>
              <w:bottom w:val="single" w:sz="8" w:space="0" w:color="000001"/>
              <w:right w:val="single" w:sz="8" w:space="0" w:color="000001"/>
            </w:tcBorders>
            <w:shd w:val="clear" w:color="auto" w:fill="auto"/>
            <w:vAlign w:val="center"/>
          </w:tcPr>
          <w:p w:rsidR="008F0D85" w:rsidRDefault="00AE42A1">
            <w:pPr>
              <w:spacing w:after="0" w:line="240" w:lineRule="auto"/>
              <w:jc w:val="center"/>
              <w:rPr>
                <w:color w:val="000000"/>
                <w:sz w:val="19"/>
                <w:szCs w:val="19"/>
              </w:rPr>
            </w:pPr>
            <w:r>
              <w:rPr>
                <w:color w:val="000000"/>
                <w:sz w:val="19"/>
                <w:szCs w:val="19"/>
              </w:rPr>
              <w:t xml:space="preserve">Slike padaju sa </w:t>
            </w:r>
            <w:r>
              <w:rPr>
                <w:color w:val="000000"/>
                <w:sz w:val="19"/>
                <w:szCs w:val="19"/>
              </w:rPr>
              <w:t>zida, ormari se prevrću i pomiču. Ljudi bježe na ulicu.</w:t>
            </w:r>
          </w:p>
        </w:tc>
      </w:tr>
      <w:tr w:rsidR="008F0D85">
        <w:trPr>
          <w:trHeight w:val="588"/>
        </w:trPr>
        <w:tc>
          <w:tcPr>
            <w:tcW w:w="1143" w:type="dxa"/>
            <w:tcBorders>
              <w:top w:val="single" w:sz="8" w:space="0" w:color="000001"/>
              <w:left w:val="single" w:sz="8" w:space="0" w:color="000001"/>
              <w:bottom w:val="single" w:sz="8" w:space="0" w:color="000001"/>
              <w:right w:val="single" w:sz="8" w:space="0" w:color="000001"/>
            </w:tcBorders>
            <w:shd w:val="clear" w:color="auto" w:fill="F2F2F2"/>
            <w:tcMar>
              <w:left w:w="68" w:type="dxa"/>
            </w:tcMar>
            <w:vAlign w:val="center"/>
          </w:tcPr>
          <w:p w:rsidR="008F0D85" w:rsidRDefault="00AE42A1">
            <w:pPr>
              <w:spacing w:after="0" w:line="240" w:lineRule="auto"/>
              <w:jc w:val="center"/>
              <w:rPr>
                <w:b/>
                <w:bCs/>
                <w:i/>
                <w:iCs/>
                <w:color w:val="000000"/>
                <w:sz w:val="19"/>
                <w:szCs w:val="19"/>
              </w:rPr>
            </w:pPr>
            <w:r>
              <w:rPr>
                <w:b/>
                <w:bCs/>
                <w:i/>
                <w:iCs/>
                <w:color w:val="000000"/>
                <w:sz w:val="19"/>
                <w:szCs w:val="19"/>
              </w:rPr>
              <w:t>VII.</w:t>
            </w:r>
          </w:p>
        </w:tc>
        <w:tc>
          <w:tcPr>
            <w:tcW w:w="1273" w:type="dxa"/>
            <w:tcBorders>
              <w:top w:val="single" w:sz="8" w:space="0" w:color="000001"/>
              <w:left w:val="single" w:sz="8" w:space="0" w:color="000001"/>
              <w:bottom w:val="single" w:sz="8" w:space="0" w:color="000001"/>
              <w:right w:val="single" w:sz="8" w:space="0" w:color="000001"/>
            </w:tcBorders>
            <w:shd w:val="clear" w:color="auto" w:fill="auto"/>
            <w:vAlign w:val="center"/>
          </w:tcPr>
          <w:p w:rsidR="008F0D85" w:rsidRDefault="00AE42A1">
            <w:pPr>
              <w:spacing w:after="0" w:line="240" w:lineRule="auto"/>
              <w:jc w:val="center"/>
              <w:rPr>
                <w:color w:val="000000"/>
                <w:sz w:val="19"/>
                <w:szCs w:val="19"/>
              </w:rPr>
            </w:pPr>
            <w:r>
              <w:rPr>
                <w:color w:val="000000"/>
                <w:sz w:val="19"/>
                <w:szCs w:val="19"/>
              </w:rPr>
              <w:t>0,98-1,47</w:t>
            </w:r>
          </w:p>
        </w:tc>
        <w:tc>
          <w:tcPr>
            <w:tcW w:w="1555" w:type="dxa"/>
            <w:tcBorders>
              <w:top w:val="single" w:sz="8" w:space="0" w:color="000001"/>
              <w:left w:val="single" w:sz="8" w:space="0" w:color="000001"/>
              <w:bottom w:val="single" w:sz="8" w:space="0" w:color="000001"/>
              <w:right w:val="single" w:sz="8" w:space="0" w:color="000001"/>
            </w:tcBorders>
            <w:shd w:val="clear" w:color="auto" w:fill="auto"/>
            <w:vAlign w:val="center"/>
          </w:tcPr>
          <w:p w:rsidR="008F0D85" w:rsidRDefault="00AE42A1">
            <w:pPr>
              <w:spacing w:after="0" w:line="240" w:lineRule="auto"/>
              <w:jc w:val="center"/>
              <w:rPr>
                <w:color w:val="000000"/>
                <w:sz w:val="19"/>
                <w:szCs w:val="19"/>
              </w:rPr>
            </w:pPr>
            <w:r>
              <w:rPr>
                <w:color w:val="000000"/>
                <w:sz w:val="19"/>
                <w:szCs w:val="19"/>
              </w:rPr>
              <w:t>(0,10-0,15)g</w:t>
            </w:r>
          </w:p>
        </w:tc>
        <w:tc>
          <w:tcPr>
            <w:tcW w:w="1131" w:type="dxa"/>
            <w:tcBorders>
              <w:top w:val="single" w:sz="8" w:space="0" w:color="000001"/>
              <w:left w:val="single" w:sz="8" w:space="0" w:color="000001"/>
              <w:bottom w:val="single" w:sz="8" w:space="0" w:color="000001"/>
              <w:right w:val="single" w:sz="8" w:space="0" w:color="000001"/>
            </w:tcBorders>
            <w:shd w:val="clear" w:color="auto" w:fill="auto"/>
            <w:vAlign w:val="center"/>
          </w:tcPr>
          <w:p w:rsidR="008F0D85" w:rsidRDefault="00AE42A1">
            <w:pPr>
              <w:spacing w:after="0" w:line="240" w:lineRule="auto"/>
              <w:jc w:val="center"/>
              <w:rPr>
                <w:color w:val="000000"/>
                <w:sz w:val="19"/>
                <w:szCs w:val="19"/>
              </w:rPr>
            </w:pPr>
            <w:r>
              <w:rPr>
                <w:color w:val="000000"/>
                <w:sz w:val="19"/>
                <w:szCs w:val="19"/>
              </w:rPr>
              <w:t>vrlo jak</w:t>
            </w:r>
          </w:p>
        </w:tc>
        <w:tc>
          <w:tcPr>
            <w:tcW w:w="4124" w:type="dxa"/>
            <w:tcBorders>
              <w:top w:val="single" w:sz="8" w:space="0" w:color="000001"/>
              <w:left w:val="single" w:sz="8" w:space="0" w:color="000001"/>
              <w:bottom w:val="single" w:sz="8" w:space="0" w:color="000001"/>
              <w:right w:val="single" w:sz="8" w:space="0" w:color="000001"/>
            </w:tcBorders>
            <w:shd w:val="clear" w:color="auto" w:fill="auto"/>
            <w:vAlign w:val="center"/>
          </w:tcPr>
          <w:p w:rsidR="008F0D85" w:rsidRDefault="00AE42A1">
            <w:pPr>
              <w:spacing w:after="0" w:line="240" w:lineRule="auto"/>
              <w:jc w:val="center"/>
              <w:rPr>
                <w:color w:val="000000"/>
                <w:sz w:val="19"/>
                <w:szCs w:val="19"/>
              </w:rPr>
            </w:pPr>
            <w:r>
              <w:rPr>
                <w:color w:val="000000"/>
                <w:sz w:val="19"/>
                <w:szCs w:val="19"/>
              </w:rPr>
              <w:t>Ruše se dimnjaci, crjepovi padaju s krova, kućni zidovi pucaju.</w:t>
            </w:r>
          </w:p>
        </w:tc>
      </w:tr>
      <w:tr w:rsidR="008F0D85">
        <w:trPr>
          <w:trHeight w:val="588"/>
        </w:trPr>
        <w:tc>
          <w:tcPr>
            <w:tcW w:w="1143" w:type="dxa"/>
            <w:tcBorders>
              <w:top w:val="single" w:sz="8" w:space="0" w:color="000001"/>
              <w:left w:val="single" w:sz="8" w:space="0" w:color="000001"/>
              <w:bottom w:val="single" w:sz="8" w:space="0" w:color="000001"/>
              <w:right w:val="single" w:sz="8" w:space="0" w:color="000001"/>
            </w:tcBorders>
            <w:shd w:val="clear" w:color="auto" w:fill="F2F2F2"/>
            <w:tcMar>
              <w:left w:w="68" w:type="dxa"/>
            </w:tcMar>
            <w:vAlign w:val="center"/>
          </w:tcPr>
          <w:p w:rsidR="008F0D85" w:rsidRDefault="00AE42A1">
            <w:pPr>
              <w:spacing w:after="0" w:line="240" w:lineRule="auto"/>
              <w:jc w:val="center"/>
              <w:rPr>
                <w:b/>
                <w:bCs/>
                <w:i/>
                <w:iCs/>
                <w:color w:val="000000"/>
                <w:sz w:val="19"/>
                <w:szCs w:val="19"/>
              </w:rPr>
            </w:pPr>
            <w:r>
              <w:rPr>
                <w:b/>
                <w:bCs/>
                <w:i/>
                <w:iCs/>
                <w:color w:val="000000"/>
                <w:sz w:val="19"/>
                <w:szCs w:val="19"/>
              </w:rPr>
              <w:t>VIII.</w:t>
            </w:r>
          </w:p>
        </w:tc>
        <w:tc>
          <w:tcPr>
            <w:tcW w:w="1273" w:type="dxa"/>
            <w:tcBorders>
              <w:top w:val="single" w:sz="8" w:space="0" w:color="000001"/>
              <w:left w:val="single" w:sz="8" w:space="0" w:color="000001"/>
              <w:bottom w:val="single" w:sz="8" w:space="0" w:color="000001"/>
              <w:right w:val="single" w:sz="8" w:space="0" w:color="000001"/>
            </w:tcBorders>
            <w:shd w:val="clear" w:color="auto" w:fill="auto"/>
            <w:vAlign w:val="center"/>
          </w:tcPr>
          <w:p w:rsidR="008F0D85" w:rsidRDefault="00AE42A1">
            <w:pPr>
              <w:spacing w:after="0" w:line="240" w:lineRule="auto"/>
              <w:jc w:val="center"/>
              <w:rPr>
                <w:color w:val="000000"/>
                <w:sz w:val="19"/>
                <w:szCs w:val="19"/>
              </w:rPr>
            </w:pPr>
            <w:r>
              <w:rPr>
                <w:color w:val="000000"/>
                <w:sz w:val="19"/>
                <w:szCs w:val="19"/>
              </w:rPr>
              <w:t>2,45-2,94</w:t>
            </w:r>
          </w:p>
        </w:tc>
        <w:tc>
          <w:tcPr>
            <w:tcW w:w="1555" w:type="dxa"/>
            <w:tcBorders>
              <w:top w:val="single" w:sz="8" w:space="0" w:color="000001"/>
              <w:left w:val="single" w:sz="8" w:space="0" w:color="000001"/>
              <w:bottom w:val="single" w:sz="8" w:space="0" w:color="000001"/>
              <w:right w:val="single" w:sz="8" w:space="0" w:color="000001"/>
            </w:tcBorders>
            <w:shd w:val="clear" w:color="auto" w:fill="auto"/>
            <w:vAlign w:val="center"/>
          </w:tcPr>
          <w:p w:rsidR="008F0D85" w:rsidRDefault="00AE42A1">
            <w:pPr>
              <w:spacing w:after="0" w:line="240" w:lineRule="auto"/>
              <w:jc w:val="center"/>
              <w:rPr>
                <w:color w:val="000000"/>
                <w:sz w:val="19"/>
                <w:szCs w:val="19"/>
              </w:rPr>
            </w:pPr>
            <w:r>
              <w:rPr>
                <w:color w:val="000000"/>
                <w:sz w:val="19"/>
                <w:szCs w:val="19"/>
              </w:rPr>
              <w:t>(0,25-0,30)g</w:t>
            </w:r>
          </w:p>
        </w:tc>
        <w:tc>
          <w:tcPr>
            <w:tcW w:w="1131" w:type="dxa"/>
            <w:tcBorders>
              <w:top w:val="single" w:sz="8" w:space="0" w:color="000001"/>
              <w:left w:val="single" w:sz="8" w:space="0" w:color="000001"/>
              <w:bottom w:val="single" w:sz="8" w:space="0" w:color="000001"/>
              <w:right w:val="single" w:sz="8" w:space="0" w:color="000001"/>
            </w:tcBorders>
            <w:shd w:val="clear" w:color="auto" w:fill="auto"/>
            <w:vAlign w:val="center"/>
          </w:tcPr>
          <w:p w:rsidR="008F0D85" w:rsidRDefault="00AE42A1">
            <w:pPr>
              <w:spacing w:after="0" w:line="240" w:lineRule="auto"/>
              <w:jc w:val="center"/>
              <w:rPr>
                <w:color w:val="000000"/>
                <w:sz w:val="19"/>
                <w:szCs w:val="19"/>
              </w:rPr>
            </w:pPr>
            <w:r>
              <w:rPr>
                <w:color w:val="000000"/>
                <w:sz w:val="19"/>
                <w:szCs w:val="19"/>
              </w:rPr>
              <w:t>razoran</w:t>
            </w:r>
          </w:p>
        </w:tc>
        <w:tc>
          <w:tcPr>
            <w:tcW w:w="4124" w:type="dxa"/>
            <w:tcBorders>
              <w:top w:val="single" w:sz="8" w:space="0" w:color="000001"/>
              <w:left w:val="single" w:sz="8" w:space="0" w:color="000001"/>
              <w:bottom w:val="single" w:sz="8" w:space="0" w:color="000001"/>
              <w:right w:val="single" w:sz="8" w:space="0" w:color="000001"/>
            </w:tcBorders>
            <w:shd w:val="clear" w:color="auto" w:fill="auto"/>
            <w:vAlign w:val="center"/>
          </w:tcPr>
          <w:p w:rsidR="008F0D85" w:rsidRDefault="00AE42A1">
            <w:pPr>
              <w:spacing w:after="0" w:line="240" w:lineRule="auto"/>
              <w:jc w:val="center"/>
              <w:rPr>
                <w:color w:val="000000"/>
                <w:sz w:val="19"/>
                <w:szCs w:val="19"/>
              </w:rPr>
            </w:pPr>
            <w:r>
              <w:rPr>
                <w:color w:val="000000"/>
                <w:sz w:val="19"/>
                <w:szCs w:val="19"/>
              </w:rPr>
              <w:t xml:space="preserve">Slabije građene kuće se ruše, a jače građene </w:t>
            </w:r>
            <w:r>
              <w:rPr>
                <w:color w:val="000000"/>
                <w:sz w:val="19"/>
                <w:szCs w:val="19"/>
              </w:rPr>
              <w:t>oštećuju. Tlo puca.</w:t>
            </w:r>
          </w:p>
        </w:tc>
      </w:tr>
      <w:tr w:rsidR="008F0D85">
        <w:trPr>
          <w:trHeight w:val="588"/>
        </w:trPr>
        <w:tc>
          <w:tcPr>
            <w:tcW w:w="1143" w:type="dxa"/>
            <w:tcBorders>
              <w:top w:val="single" w:sz="8" w:space="0" w:color="000001"/>
              <w:left w:val="single" w:sz="8" w:space="0" w:color="000001"/>
              <w:bottom w:val="single" w:sz="8" w:space="0" w:color="000001"/>
              <w:right w:val="single" w:sz="8" w:space="0" w:color="000001"/>
            </w:tcBorders>
            <w:shd w:val="clear" w:color="auto" w:fill="F2F2F2"/>
            <w:tcMar>
              <w:left w:w="68" w:type="dxa"/>
            </w:tcMar>
            <w:vAlign w:val="center"/>
          </w:tcPr>
          <w:p w:rsidR="008F0D85" w:rsidRDefault="00AE42A1">
            <w:pPr>
              <w:spacing w:after="0" w:line="240" w:lineRule="auto"/>
              <w:jc w:val="center"/>
              <w:rPr>
                <w:b/>
                <w:bCs/>
                <w:i/>
                <w:iCs/>
                <w:color w:val="000000"/>
                <w:sz w:val="19"/>
                <w:szCs w:val="19"/>
              </w:rPr>
            </w:pPr>
            <w:r>
              <w:rPr>
                <w:b/>
                <w:bCs/>
                <w:i/>
                <w:iCs/>
                <w:color w:val="000000"/>
                <w:sz w:val="19"/>
                <w:szCs w:val="19"/>
              </w:rPr>
              <w:t>IX.</w:t>
            </w:r>
          </w:p>
        </w:tc>
        <w:tc>
          <w:tcPr>
            <w:tcW w:w="1273" w:type="dxa"/>
            <w:tcBorders>
              <w:top w:val="single" w:sz="8" w:space="0" w:color="000001"/>
              <w:left w:val="single" w:sz="8" w:space="0" w:color="000001"/>
              <w:bottom w:val="single" w:sz="8" w:space="0" w:color="000001"/>
              <w:right w:val="single" w:sz="8" w:space="0" w:color="000001"/>
            </w:tcBorders>
            <w:shd w:val="clear" w:color="auto" w:fill="auto"/>
            <w:vAlign w:val="center"/>
          </w:tcPr>
          <w:p w:rsidR="008F0D85" w:rsidRDefault="00AE42A1">
            <w:pPr>
              <w:spacing w:after="0" w:line="240" w:lineRule="auto"/>
              <w:jc w:val="center"/>
              <w:rPr>
                <w:color w:val="000000"/>
                <w:sz w:val="19"/>
                <w:szCs w:val="19"/>
              </w:rPr>
            </w:pPr>
            <w:r>
              <w:rPr>
                <w:color w:val="000000"/>
                <w:sz w:val="19"/>
                <w:szCs w:val="19"/>
              </w:rPr>
              <w:t>4,91-5,40</w:t>
            </w:r>
          </w:p>
        </w:tc>
        <w:tc>
          <w:tcPr>
            <w:tcW w:w="1555" w:type="dxa"/>
            <w:tcBorders>
              <w:top w:val="single" w:sz="8" w:space="0" w:color="000001"/>
              <w:left w:val="single" w:sz="8" w:space="0" w:color="000001"/>
              <w:bottom w:val="single" w:sz="8" w:space="0" w:color="000001"/>
              <w:right w:val="single" w:sz="8" w:space="0" w:color="000001"/>
            </w:tcBorders>
            <w:shd w:val="clear" w:color="auto" w:fill="auto"/>
            <w:vAlign w:val="center"/>
          </w:tcPr>
          <w:p w:rsidR="008F0D85" w:rsidRDefault="00AE42A1">
            <w:pPr>
              <w:spacing w:after="0" w:line="240" w:lineRule="auto"/>
              <w:jc w:val="center"/>
              <w:rPr>
                <w:color w:val="000000"/>
                <w:sz w:val="19"/>
                <w:szCs w:val="19"/>
              </w:rPr>
            </w:pPr>
            <w:r>
              <w:rPr>
                <w:color w:val="000000"/>
                <w:sz w:val="19"/>
                <w:szCs w:val="19"/>
              </w:rPr>
              <w:t>(0,50-0,55)g</w:t>
            </w:r>
          </w:p>
        </w:tc>
        <w:tc>
          <w:tcPr>
            <w:tcW w:w="1131" w:type="dxa"/>
            <w:tcBorders>
              <w:top w:val="single" w:sz="8" w:space="0" w:color="000001"/>
              <w:left w:val="single" w:sz="8" w:space="0" w:color="000001"/>
              <w:bottom w:val="single" w:sz="8" w:space="0" w:color="000001"/>
              <w:right w:val="single" w:sz="8" w:space="0" w:color="000001"/>
            </w:tcBorders>
            <w:shd w:val="clear" w:color="auto" w:fill="auto"/>
            <w:vAlign w:val="center"/>
          </w:tcPr>
          <w:p w:rsidR="008F0D85" w:rsidRDefault="00AE42A1">
            <w:pPr>
              <w:spacing w:after="0" w:line="240" w:lineRule="auto"/>
              <w:jc w:val="center"/>
              <w:rPr>
                <w:color w:val="000000"/>
                <w:sz w:val="19"/>
                <w:szCs w:val="19"/>
              </w:rPr>
            </w:pPr>
            <w:r>
              <w:rPr>
                <w:color w:val="000000"/>
                <w:sz w:val="19"/>
                <w:szCs w:val="19"/>
              </w:rPr>
              <w:t>pustošni</w:t>
            </w:r>
          </w:p>
        </w:tc>
        <w:tc>
          <w:tcPr>
            <w:tcW w:w="4124" w:type="dxa"/>
            <w:tcBorders>
              <w:top w:val="single" w:sz="8" w:space="0" w:color="000001"/>
              <w:left w:val="single" w:sz="8" w:space="0" w:color="000001"/>
              <w:bottom w:val="single" w:sz="8" w:space="0" w:color="000001"/>
              <w:right w:val="single" w:sz="8" w:space="0" w:color="000001"/>
            </w:tcBorders>
            <w:shd w:val="clear" w:color="auto" w:fill="auto"/>
            <w:vAlign w:val="center"/>
          </w:tcPr>
          <w:p w:rsidR="008F0D85" w:rsidRDefault="00AE42A1">
            <w:pPr>
              <w:spacing w:after="0" w:line="240" w:lineRule="auto"/>
              <w:jc w:val="center"/>
              <w:rPr>
                <w:color w:val="000000"/>
                <w:sz w:val="19"/>
                <w:szCs w:val="19"/>
              </w:rPr>
            </w:pPr>
            <w:r>
              <w:rPr>
                <w:color w:val="000000"/>
                <w:sz w:val="19"/>
                <w:szCs w:val="19"/>
              </w:rPr>
              <w:t>Kuće se teško oštećuju i ruše. Nastaju velike pukotine, klizišta i odroni zemlje.</w:t>
            </w:r>
          </w:p>
        </w:tc>
      </w:tr>
    </w:tbl>
    <w:p w:rsidR="008F0D85" w:rsidRDefault="00AE42A1">
      <w:pPr>
        <w:jc w:val="center"/>
        <w:rPr>
          <w:sz w:val="20"/>
          <w:szCs w:val="20"/>
        </w:rPr>
      </w:pPr>
      <w:bookmarkStart w:id="884" w:name="_Hlk498000581"/>
      <w:bookmarkEnd w:id="884"/>
      <w:r>
        <w:rPr>
          <w:sz w:val="20"/>
          <w:szCs w:val="20"/>
        </w:rPr>
        <w:t>Izvor: RGN fakultet</w:t>
      </w:r>
    </w:p>
    <w:p w:rsidR="008F0D85" w:rsidRDefault="00AE42A1">
      <w:pPr>
        <w:jc w:val="center"/>
      </w:pPr>
      <w:r>
        <w:rPr>
          <w:noProof/>
        </w:rPr>
        <w:drawing>
          <wp:inline distT="0" distB="0" distL="0" distR="0">
            <wp:extent cx="5763260" cy="4420235"/>
            <wp:effectExtent l="0" t="0" r="0" b="0"/>
            <wp:docPr id="87"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lika 29"/>
                    <pic:cNvPicPr>
                      <a:picLocks noChangeAspect="1" noChangeArrowheads="1"/>
                    </pic:cNvPicPr>
                  </pic:nvPicPr>
                  <pic:blipFill>
                    <a:blip r:embed="rId71"/>
                    <a:stretch>
                      <a:fillRect/>
                    </a:stretch>
                  </pic:blipFill>
                  <pic:spPr bwMode="auto">
                    <a:xfrm>
                      <a:off x="0" y="0"/>
                      <a:ext cx="5763260" cy="4420235"/>
                    </a:xfrm>
                    <a:prstGeom prst="rect">
                      <a:avLst/>
                    </a:prstGeom>
                  </pic:spPr>
                </pic:pic>
              </a:graphicData>
            </a:graphic>
          </wp:inline>
        </w:drawing>
      </w:r>
    </w:p>
    <w:p w:rsidR="008F0D85" w:rsidRDefault="00AE42A1">
      <w:pPr>
        <w:spacing w:after="0" w:line="360" w:lineRule="auto"/>
        <w:rPr>
          <w:rFonts w:cs="Arial"/>
          <w:sz w:val="20"/>
          <w:szCs w:val="20"/>
        </w:rPr>
      </w:pPr>
      <w:bookmarkStart w:id="885" w:name="_Toc516128503"/>
      <w:bookmarkStart w:id="886" w:name="_Toc527969596"/>
      <w:r>
        <w:rPr>
          <w:rFonts w:cs="Arial"/>
          <w:b/>
          <w:bCs/>
          <w:sz w:val="20"/>
          <w:szCs w:val="20"/>
        </w:rPr>
        <w:t xml:space="preserve">Slika </w:t>
      </w:r>
      <w:r>
        <w:rPr>
          <w:rFonts w:cs="Arial"/>
          <w:b/>
          <w:bCs/>
          <w:sz w:val="20"/>
          <w:szCs w:val="20"/>
        </w:rPr>
        <w:fldChar w:fldCharType="begin"/>
      </w:r>
      <w:r>
        <w:instrText>SEQ Slika \* ARABIC</w:instrText>
      </w:r>
      <w:r>
        <w:fldChar w:fldCharType="separate"/>
      </w:r>
      <w:r>
        <w:t>24</w:t>
      </w:r>
      <w:r>
        <w:fldChar w:fldCharType="end"/>
      </w:r>
      <w:bookmarkEnd w:id="885"/>
      <w:bookmarkEnd w:id="886"/>
      <w:r>
        <w:rPr>
          <w:rFonts w:cs="Arial"/>
          <w:b/>
          <w:bCs/>
          <w:sz w:val="20"/>
          <w:szCs w:val="20"/>
        </w:rPr>
        <w:t xml:space="preserve">: Karta potresnog područja RH - prikaz za Općinu Kloštar </w:t>
      </w:r>
      <w:r>
        <w:rPr>
          <w:rFonts w:cs="Arial"/>
          <w:b/>
          <w:bCs/>
          <w:sz w:val="20"/>
          <w:szCs w:val="20"/>
        </w:rPr>
        <w:t>Podravski - za povratni period od 475.god., prikaz vršnog ubrzanja</w:t>
      </w:r>
    </w:p>
    <w:p w:rsidR="008F0D85" w:rsidRDefault="00AE42A1">
      <w:pPr>
        <w:rPr>
          <w:sz w:val="20"/>
          <w:szCs w:val="20"/>
        </w:rPr>
      </w:pPr>
      <w:r>
        <w:rPr>
          <w:sz w:val="20"/>
          <w:szCs w:val="20"/>
        </w:rPr>
        <w:t>Izvor: Karte potresnih područja RH, PMF Zagreb</w:t>
      </w:r>
    </w:p>
    <w:p w:rsidR="008F0D85" w:rsidRDefault="008F0D85">
      <w:pPr>
        <w:rPr>
          <w:sz w:val="20"/>
          <w:szCs w:val="20"/>
        </w:rPr>
      </w:pPr>
    </w:p>
    <w:p w:rsidR="008F0D85" w:rsidRDefault="008F0D85">
      <w:pPr>
        <w:rPr>
          <w:sz w:val="20"/>
          <w:szCs w:val="20"/>
        </w:rPr>
      </w:pPr>
    </w:p>
    <w:p w:rsidR="008F0D85" w:rsidRDefault="00AE42A1">
      <w:pPr>
        <w:jc w:val="center"/>
        <w:rPr>
          <w:szCs w:val="24"/>
        </w:rPr>
      </w:pPr>
      <w:r>
        <w:rPr>
          <w:noProof/>
        </w:rPr>
        <w:lastRenderedPageBreak/>
        <w:drawing>
          <wp:inline distT="0" distB="0" distL="0" distR="0">
            <wp:extent cx="5668010" cy="3315335"/>
            <wp:effectExtent l="0" t="0" r="0" b="0"/>
            <wp:docPr id="88"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lika 52"/>
                    <pic:cNvPicPr>
                      <a:picLocks noChangeAspect="1" noChangeArrowheads="1"/>
                    </pic:cNvPicPr>
                  </pic:nvPicPr>
                  <pic:blipFill>
                    <a:blip r:embed="rId72"/>
                    <a:stretch>
                      <a:fillRect/>
                    </a:stretch>
                  </pic:blipFill>
                  <pic:spPr bwMode="auto">
                    <a:xfrm>
                      <a:off x="0" y="0"/>
                      <a:ext cx="5668010" cy="3315335"/>
                    </a:xfrm>
                    <a:prstGeom prst="rect">
                      <a:avLst/>
                    </a:prstGeom>
                  </pic:spPr>
                </pic:pic>
              </a:graphicData>
            </a:graphic>
          </wp:inline>
        </w:drawing>
      </w:r>
    </w:p>
    <w:p w:rsidR="008F0D85" w:rsidRDefault="00AE42A1">
      <w:pPr>
        <w:spacing w:after="0" w:line="360" w:lineRule="auto"/>
        <w:rPr>
          <w:rFonts w:cs="Arial"/>
          <w:b/>
          <w:bCs/>
          <w:sz w:val="20"/>
          <w:szCs w:val="20"/>
        </w:rPr>
      </w:pPr>
      <w:bookmarkStart w:id="887" w:name="_Toc514240414"/>
      <w:bookmarkStart w:id="888" w:name="_Toc516128504"/>
      <w:bookmarkStart w:id="889" w:name="_Toc527969597"/>
      <w:r>
        <w:rPr>
          <w:rFonts w:cs="Arial"/>
          <w:b/>
          <w:bCs/>
          <w:sz w:val="20"/>
          <w:szCs w:val="20"/>
        </w:rPr>
        <w:t xml:space="preserve">Slika </w:t>
      </w:r>
      <w:r>
        <w:rPr>
          <w:rFonts w:cs="Arial"/>
          <w:b/>
          <w:bCs/>
          <w:sz w:val="20"/>
          <w:szCs w:val="20"/>
        </w:rPr>
        <w:fldChar w:fldCharType="begin"/>
      </w:r>
      <w:r>
        <w:instrText>SEQ Slika \* ARABIC</w:instrText>
      </w:r>
      <w:r>
        <w:fldChar w:fldCharType="separate"/>
      </w:r>
      <w:r>
        <w:t>25</w:t>
      </w:r>
      <w:r>
        <w:fldChar w:fldCharType="end"/>
      </w:r>
      <w:bookmarkEnd w:id="887"/>
      <w:bookmarkEnd w:id="888"/>
      <w:bookmarkEnd w:id="889"/>
      <w:r>
        <w:rPr>
          <w:rFonts w:cs="Arial"/>
          <w:b/>
          <w:bCs/>
          <w:sz w:val="20"/>
          <w:szCs w:val="20"/>
        </w:rPr>
        <w:t>: Seizmološka karta za povratni period od 500 godina</w:t>
      </w:r>
    </w:p>
    <w:p w:rsidR="008F0D85" w:rsidRDefault="00AE42A1">
      <w:pPr>
        <w:rPr>
          <w:sz w:val="20"/>
          <w:szCs w:val="20"/>
        </w:rPr>
      </w:pPr>
      <w:r>
        <w:rPr>
          <w:sz w:val="20"/>
          <w:szCs w:val="20"/>
        </w:rPr>
        <w:t>Izvor: Hrvatski seizmološki zavod, PMF Zagreb</w:t>
      </w:r>
    </w:p>
    <w:p w:rsidR="008F0D85" w:rsidRDefault="008F0D85">
      <w:pPr>
        <w:rPr>
          <w:sz w:val="20"/>
          <w:szCs w:val="20"/>
        </w:rPr>
      </w:pPr>
    </w:p>
    <w:p w:rsidR="008F0D85" w:rsidRDefault="00AE42A1">
      <w:pPr>
        <w:spacing w:after="0"/>
        <w:rPr>
          <w:rFonts w:cs="Calibri"/>
          <w:color w:val="000000"/>
          <w:szCs w:val="24"/>
          <w:u w:val="single"/>
        </w:rPr>
      </w:pPr>
      <w:r>
        <w:rPr>
          <w:rFonts w:cs="Calibri"/>
          <w:color w:val="000000"/>
          <w:szCs w:val="24"/>
          <w:u w:val="single"/>
        </w:rPr>
        <w:t xml:space="preserve">Učinci i efekti potresa jačine 7° MCS ljestvice </w:t>
      </w:r>
    </w:p>
    <w:p w:rsidR="008F0D85" w:rsidRDefault="00AE42A1">
      <w:pPr>
        <w:numPr>
          <w:ilvl w:val="0"/>
          <w:numId w:val="56"/>
        </w:numPr>
        <w:spacing w:after="219"/>
        <w:contextualSpacing/>
        <w:rPr>
          <w:rFonts w:cs="Calibri"/>
          <w:color w:val="000000"/>
          <w:szCs w:val="24"/>
          <w:lang w:val="en-US"/>
        </w:rPr>
      </w:pPr>
      <w:r>
        <w:rPr>
          <w:rFonts w:cs="Calibri"/>
          <w:color w:val="000000"/>
          <w:szCs w:val="24"/>
          <w:lang w:val="en-US"/>
        </w:rPr>
        <w:t>na mnogim građevinama (20-50%) od neobrađenog kamena, seoskim građevinama, i građevinama od nepečene opeke i nabijene gline, oštećenja 3. stupnja (teška oštećenja) široke i duboke pukotine u zidovima, rušenj</w:t>
      </w:r>
      <w:r>
        <w:rPr>
          <w:rFonts w:cs="Calibri"/>
          <w:color w:val="000000"/>
          <w:szCs w:val="24"/>
          <w:lang w:val="en-US"/>
        </w:rPr>
        <w:t xml:space="preserve">e dimnjaka, na pojedinim građevinama (10%), oštećenja 4. stupnja (razorna oštećenja) – otvori u zidovima, rušenje dijelova zgrade, razaranje veza među pojedinim dijelovima građevine, rušenje unutrašnjih zidova i zidova ispune, </w:t>
      </w:r>
    </w:p>
    <w:p w:rsidR="008F0D85" w:rsidRDefault="00AE42A1">
      <w:pPr>
        <w:numPr>
          <w:ilvl w:val="0"/>
          <w:numId w:val="57"/>
        </w:numPr>
        <w:spacing w:after="0"/>
        <w:contextualSpacing/>
        <w:rPr>
          <w:rFonts w:cs="Calibri"/>
          <w:color w:val="000000"/>
          <w:szCs w:val="24"/>
          <w:lang w:val="en-US"/>
        </w:rPr>
      </w:pPr>
      <w:r>
        <w:rPr>
          <w:rFonts w:cs="Calibri"/>
          <w:color w:val="000000"/>
          <w:szCs w:val="24"/>
          <w:lang w:val="en-US"/>
        </w:rPr>
        <w:t>na mnogim građevinama (20- 5</w:t>
      </w:r>
      <w:r>
        <w:rPr>
          <w:rFonts w:cs="Calibri"/>
          <w:color w:val="000000"/>
          <w:szCs w:val="24"/>
          <w:lang w:val="en-US"/>
        </w:rPr>
        <w:t>0%) od pečene opeke, građevinama od krupnih blokova i montažnim građevinama te one izgrađene od prirodnog tesanog kamena i one s drvenom konstrukcijom, oštećenja 2. stupnja (umjerena oštećenja) - manje pukotine u zidovima, otpadanje većih komada žbuke, kli</w:t>
      </w:r>
      <w:r>
        <w:rPr>
          <w:rFonts w:cs="Calibri"/>
          <w:color w:val="000000"/>
          <w:szCs w:val="24"/>
          <w:lang w:val="en-US"/>
        </w:rPr>
        <w:t xml:space="preserve">zanje krovnog crijepa, pukotine u dimnjacima i otpadanje dijelova dimnjaka, </w:t>
      </w:r>
    </w:p>
    <w:p w:rsidR="008F0D85" w:rsidRDefault="00AE42A1">
      <w:pPr>
        <w:numPr>
          <w:ilvl w:val="0"/>
          <w:numId w:val="58"/>
        </w:numPr>
        <w:spacing w:after="0"/>
        <w:contextualSpacing/>
        <w:rPr>
          <w:rFonts w:cs="Calibri"/>
          <w:color w:val="000000"/>
          <w:szCs w:val="24"/>
          <w:lang w:val="en-US"/>
        </w:rPr>
      </w:pPr>
      <w:r>
        <w:rPr>
          <w:rFonts w:cs="Calibri"/>
          <w:color w:val="000000"/>
          <w:szCs w:val="24"/>
          <w:lang w:val="en-US"/>
        </w:rPr>
        <w:t>na mnogim građevinama (20 – 50%) s armiranobetonskim i čeličnim skeletom, krupno panelnim građevinama i dobro građenim drvenim građevinama, oštećenja 1. stupnja (lagana oštećenja)</w:t>
      </w:r>
      <w:r>
        <w:rPr>
          <w:rFonts w:cs="Calibri"/>
          <w:color w:val="000000"/>
          <w:szCs w:val="24"/>
          <w:lang w:val="en-US"/>
        </w:rPr>
        <w:t xml:space="preserve"> – sitne pukotine u žbuci i otpadanje manjih komada žbuke. </w:t>
      </w:r>
    </w:p>
    <w:p w:rsidR="008F0D85" w:rsidRDefault="008F0D85">
      <w:pPr>
        <w:spacing w:after="0"/>
        <w:ind w:left="720"/>
        <w:contextualSpacing/>
        <w:jc w:val="left"/>
        <w:rPr>
          <w:rFonts w:cs="Calibri"/>
          <w:color w:val="000000"/>
          <w:sz w:val="22"/>
          <w:szCs w:val="24"/>
          <w:u w:val="single"/>
          <w:lang w:val="en-US"/>
        </w:rPr>
      </w:pPr>
    </w:p>
    <w:p w:rsidR="008F0D85" w:rsidRDefault="00AE42A1">
      <w:pPr>
        <w:spacing w:after="0"/>
        <w:rPr>
          <w:rFonts w:cs="Calibri"/>
          <w:color w:val="000000"/>
          <w:szCs w:val="24"/>
          <w:u w:val="single"/>
        </w:rPr>
      </w:pPr>
      <w:r>
        <w:rPr>
          <w:rFonts w:cs="Calibri"/>
          <w:color w:val="000000"/>
          <w:szCs w:val="24"/>
          <w:u w:val="single"/>
        </w:rPr>
        <w:t xml:space="preserve">Učinci i efekti potresa jačine 8° MCS ljestvice </w:t>
      </w:r>
    </w:p>
    <w:p w:rsidR="008F0D85" w:rsidRDefault="008F0D85">
      <w:pPr>
        <w:spacing w:after="0"/>
        <w:rPr>
          <w:rFonts w:cs="Calibri"/>
          <w:color w:val="000000"/>
          <w:szCs w:val="24"/>
          <w:u w:val="single"/>
        </w:rPr>
      </w:pPr>
    </w:p>
    <w:p w:rsidR="008F0D85" w:rsidRDefault="00AE42A1">
      <w:pPr>
        <w:numPr>
          <w:ilvl w:val="0"/>
          <w:numId w:val="59"/>
        </w:numPr>
        <w:spacing w:after="224"/>
        <w:contextualSpacing/>
        <w:rPr>
          <w:rFonts w:cs="Calibri"/>
          <w:color w:val="000000"/>
          <w:szCs w:val="24"/>
          <w:lang w:val="en-US"/>
        </w:rPr>
      </w:pPr>
      <w:r>
        <w:rPr>
          <w:rFonts w:cs="Calibri"/>
          <w:color w:val="000000"/>
          <w:szCs w:val="24"/>
          <w:lang w:val="en-US"/>
        </w:rPr>
        <w:t>na mnogim građevinama (20 – 50%) od neobrađenog kamena i seoskim građevinama i građevinama od nepečene opeke i nabijene gline, oštećenja 4. stupn</w:t>
      </w:r>
      <w:r>
        <w:rPr>
          <w:rFonts w:cs="Calibri"/>
          <w:color w:val="000000"/>
          <w:szCs w:val="24"/>
          <w:lang w:val="en-US"/>
        </w:rPr>
        <w:t xml:space="preserve">ja (razorna oštećenja) – otvori u zidovima, rušenje dijelova građevine, razaranje veza među </w:t>
      </w:r>
      <w:r>
        <w:rPr>
          <w:rFonts w:cs="Calibri"/>
          <w:color w:val="000000"/>
          <w:szCs w:val="24"/>
          <w:lang w:val="en-US"/>
        </w:rPr>
        <w:lastRenderedPageBreak/>
        <w:t xml:space="preserve">pojedinim dijelovima građevine, rušenje unutrašnjih zidova i zidova ispune, na pojedinim građevinama (10%) oštećenja 5. stupnja (potpuno rušenje) – potpuno rušenje </w:t>
      </w:r>
      <w:r>
        <w:rPr>
          <w:rFonts w:cs="Calibri"/>
          <w:color w:val="000000"/>
          <w:szCs w:val="24"/>
          <w:lang w:val="en-US"/>
        </w:rPr>
        <w:t xml:space="preserve">građevina, </w:t>
      </w:r>
    </w:p>
    <w:p w:rsidR="008F0D85" w:rsidRDefault="00AE42A1">
      <w:pPr>
        <w:numPr>
          <w:ilvl w:val="0"/>
          <w:numId w:val="60"/>
        </w:numPr>
        <w:spacing w:after="224"/>
        <w:contextualSpacing/>
        <w:rPr>
          <w:rFonts w:cs="Calibri"/>
          <w:color w:val="000000"/>
          <w:szCs w:val="24"/>
          <w:lang w:val="en-US"/>
        </w:rPr>
      </w:pPr>
      <w:r>
        <w:rPr>
          <w:rFonts w:cs="Calibri"/>
          <w:color w:val="000000"/>
          <w:szCs w:val="24"/>
          <w:lang w:val="en-US"/>
        </w:rPr>
        <w:t>na mnogim građevinama (20 – 50%) od pečene opeke, građevinama od krupnih blokova te one izgrađene od prirodnog tesanog kamena i one s drvenom konstrukcijom, oštećenja 2. stupnja (teška oštećenja) – široke i duboke pukotine u zidovima, rušenje d</w:t>
      </w:r>
      <w:r>
        <w:rPr>
          <w:rFonts w:cs="Calibri"/>
          <w:color w:val="000000"/>
          <w:szCs w:val="24"/>
          <w:lang w:val="en-US"/>
        </w:rPr>
        <w:t xml:space="preserve">imnjaka, na pojedinim građevinama (10%) oštećenja 4. stupnja (razorna oštećenja) – otvori u zidovima, rušenje dijelova građevine, razaranje veza među pojedinim dijelovima građevine, rušenje unutrašnjih zidova i zidova ispune, </w:t>
      </w:r>
    </w:p>
    <w:p w:rsidR="008F0D85" w:rsidRDefault="00AE42A1">
      <w:pPr>
        <w:numPr>
          <w:ilvl w:val="0"/>
          <w:numId w:val="61"/>
        </w:numPr>
        <w:spacing w:after="0"/>
        <w:contextualSpacing/>
        <w:rPr>
          <w:rFonts w:cs="Calibri"/>
          <w:color w:val="000000"/>
          <w:szCs w:val="24"/>
          <w:lang w:val="en-US"/>
        </w:rPr>
      </w:pPr>
      <w:r>
        <w:rPr>
          <w:rFonts w:cs="Calibri"/>
          <w:color w:val="000000"/>
          <w:szCs w:val="24"/>
          <w:lang w:val="en-US"/>
        </w:rPr>
        <w:t>na mnogim građevinama (20 – 5</w:t>
      </w:r>
      <w:r>
        <w:rPr>
          <w:rFonts w:cs="Calibri"/>
          <w:color w:val="000000"/>
          <w:szCs w:val="24"/>
          <w:lang w:val="en-US"/>
        </w:rPr>
        <w:t>0%) s armiranobetonskim i čeličnim skeletom, krupno panelnim građevinama i dobro građenim drvenim građevinama, oštećenja 1. stupnja (umjerena oštećenja) – manje pukotine u zidovima, otpadanje većih komada žbuke, klizanje krovnog crijepa, pukotine u dimnjac</w:t>
      </w:r>
      <w:r>
        <w:rPr>
          <w:rFonts w:cs="Calibri"/>
          <w:color w:val="000000"/>
          <w:szCs w:val="24"/>
          <w:lang w:val="en-US"/>
        </w:rPr>
        <w:t xml:space="preserve">ima i otpadanje dijelova dimnjaka, na pojedinim građevinama (10%) oštećenja 3. stupnja (teška oštećenja) – široke i duboke pukotine u zidovima, rušenje dimnjaka. </w:t>
      </w:r>
    </w:p>
    <w:p w:rsidR="008F0D85" w:rsidRDefault="008F0D85">
      <w:pPr>
        <w:rPr>
          <w:sz w:val="20"/>
          <w:szCs w:val="20"/>
        </w:rPr>
      </w:pPr>
    </w:p>
    <w:p w:rsidR="008F0D85" w:rsidRDefault="00AE42A1">
      <w:pPr>
        <w:tabs>
          <w:tab w:val="left" w:pos="2160"/>
        </w:tabs>
        <w:suppressAutoHyphens/>
        <w:spacing w:after="0"/>
        <w:textAlignment w:val="baseline"/>
        <w:rPr>
          <w:rFonts w:cs="Calibri"/>
          <w:szCs w:val="24"/>
          <w:u w:val="single"/>
          <w:lang w:eastAsia="hr-HR"/>
        </w:rPr>
      </w:pPr>
      <w:r>
        <w:rPr>
          <w:rFonts w:cs="Calibri"/>
          <w:szCs w:val="24"/>
          <w:u w:val="single"/>
          <w:lang w:eastAsia="hr-HR"/>
        </w:rPr>
        <w:t xml:space="preserve">Učinci i efekti potresa jačine 8° MCS ljestvice na području Općine </w:t>
      </w:r>
    </w:p>
    <w:p w:rsidR="008F0D85" w:rsidRDefault="00AE42A1">
      <w:pPr>
        <w:numPr>
          <w:ilvl w:val="0"/>
          <w:numId w:val="62"/>
        </w:numPr>
        <w:tabs>
          <w:tab w:val="left" w:pos="2160"/>
        </w:tabs>
        <w:suppressAutoHyphens/>
        <w:spacing w:after="0"/>
        <w:contextualSpacing/>
        <w:textAlignment w:val="baseline"/>
        <w:rPr>
          <w:rFonts w:cs="Calibri"/>
          <w:szCs w:val="24"/>
          <w:lang w:eastAsia="hr-HR"/>
        </w:rPr>
      </w:pPr>
      <w:r>
        <w:rPr>
          <w:rFonts w:cs="Calibri"/>
          <w:szCs w:val="24"/>
          <w:lang w:eastAsia="hr-HR"/>
        </w:rPr>
        <w:t>neznatna i umjerena oštećenja na 599 objekata,</w:t>
      </w:r>
    </w:p>
    <w:p w:rsidR="008F0D85" w:rsidRDefault="00AE42A1">
      <w:pPr>
        <w:numPr>
          <w:ilvl w:val="0"/>
          <w:numId w:val="62"/>
        </w:numPr>
        <w:tabs>
          <w:tab w:val="left" w:pos="2160"/>
        </w:tabs>
        <w:suppressAutoHyphens/>
        <w:spacing w:after="0"/>
        <w:contextualSpacing/>
        <w:textAlignment w:val="baseline"/>
        <w:rPr>
          <w:rFonts w:cs="Calibri"/>
          <w:szCs w:val="24"/>
          <w:lang w:eastAsia="hr-HR"/>
        </w:rPr>
      </w:pPr>
      <w:r>
        <w:rPr>
          <w:rFonts w:cs="Calibri"/>
          <w:szCs w:val="24"/>
          <w:lang w:eastAsia="hr-HR"/>
        </w:rPr>
        <w:t>jaka oštećenja na 316 objekta,</w:t>
      </w:r>
    </w:p>
    <w:p w:rsidR="008F0D85" w:rsidRDefault="00AE42A1">
      <w:pPr>
        <w:numPr>
          <w:ilvl w:val="0"/>
          <w:numId w:val="62"/>
        </w:numPr>
        <w:tabs>
          <w:tab w:val="left" w:pos="2160"/>
        </w:tabs>
        <w:suppressAutoHyphens/>
        <w:spacing w:after="0"/>
        <w:contextualSpacing/>
        <w:textAlignment w:val="baseline"/>
        <w:rPr>
          <w:rFonts w:cs="Calibri"/>
          <w:szCs w:val="24"/>
          <w:lang w:eastAsia="hr-HR"/>
        </w:rPr>
      </w:pPr>
      <w:r>
        <w:rPr>
          <w:rFonts w:cs="Calibri"/>
          <w:szCs w:val="24"/>
          <w:lang w:eastAsia="hr-HR"/>
        </w:rPr>
        <w:t>totalno oštećenje i rušenje 46 objekta.</w:t>
      </w:r>
    </w:p>
    <w:p w:rsidR="008F0D85" w:rsidRDefault="008F0D85">
      <w:pPr>
        <w:tabs>
          <w:tab w:val="left" w:pos="2160"/>
        </w:tabs>
        <w:suppressAutoHyphens/>
        <w:spacing w:after="0"/>
        <w:textAlignment w:val="baseline"/>
        <w:rPr>
          <w:rFonts w:cs="Calibri"/>
          <w:szCs w:val="24"/>
          <w:lang w:eastAsia="hr-HR"/>
        </w:rPr>
      </w:pPr>
    </w:p>
    <w:p w:rsidR="008F0D85" w:rsidRDefault="00AE42A1">
      <w:pPr>
        <w:tabs>
          <w:tab w:val="left" w:pos="2160"/>
        </w:tabs>
        <w:suppressAutoHyphens/>
        <w:spacing w:after="0"/>
        <w:textAlignment w:val="baseline"/>
        <w:rPr>
          <w:szCs w:val="24"/>
          <w:u w:val="single"/>
        </w:rPr>
      </w:pPr>
      <w:r>
        <w:rPr>
          <w:szCs w:val="24"/>
          <w:u w:val="single"/>
        </w:rPr>
        <w:t>Primarni i sekundarni učinci potresa 8</w:t>
      </w:r>
      <w:r>
        <w:rPr>
          <w:rFonts w:cs="Calibri"/>
          <w:szCs w:val="24"/>
          <w:u w:val="single"/>
        </w:rPr>
        <w:t>°</w:t>
      </w:r>
      <w:r>
        <w:rPr>
          <w:szCs w:val="24"/>
          <w:u w:val="single"/>
        </w:rPr>
        <w:t xml:space="preserve"> MCS ljestvice na području Opć</w:t>
      </w:r>
      <w:r>
        <w:rPr>
          <w:szCs w:val="24"/>
          <w:u w:val="single"/>
        </w:rPr>
        <w:t>ine</w:t>
      </w:r>
    </w:p>
    <w:p w:rsidR="008F0D85" w:rsidRDefault="00AE42A1">
      <w:pPr>
        <w:numPr>
          <w:ilvl w:val="0"/>
          <w:numId w:val="62"/>
        </w:numPr>
        <w:tabs>
          <w:tab w:val="left" w:pos="2160"/>
        </w:tabs>
        <w:suppressAutoHyphens/>
        <w:spacing w:after="0"/>
        <w:textAlignment w:val="baseline"/>
        <w:rPr>
          <w:szCs w:val="24"/>
        </w:rPr>
      </w:pPr>
      <w:r>
        <w:rPr>
          <w:szCs w:val="24"/>
        </w:rPr>
        <w:t>broj plitko i srednje zatrpanih 43 osoba,</w:t>
      </w:r>
    </w:p>
    <w:p w:rsidR="008F0D85" w:rsidRDefault="00AE42A1">
      <w:pPr>
        <w:numPr>
          <w:ilvl w:val="0"/>
          <w:numId w:val="62"/>
        </w:numPr>
        <w:tabs>
          <w:tab w:val="left" w:pos="2160"/>
        </w:tabs>
        <w:suppressAutoHyphens/>
        <w:spacing w:after="0"/>
        <w:textAlignment w:val="baseline"/>
        <w:rPr>
          <w:szCs w:val="24"/>
        </w:rPr>
      </w:pPr>
      <w:r>
        <w:rPr>
          <w:szCs w:val="24"/>
        </w:rPr>
        <w:t>broj duboko zatrpanih 52 osoba,</w:t>
      </w:r>
    </w:p>
    <w:p w:rsidR="008F0D85" w:rsidRDefault="00AE42A1">
      <w:pPr>
        <w:numPr>
          <w:ilvl w:val="0"/>
          <w:numId w:val="62"/>
        </w:numPr>
        <w:tabs>
          <w:tab w:val="left" w:pos="2160"/>
        </w:tabs>
        <w:suppressAutoHyphens/>
        <w:spacing w:after="0"/>
        <w:textAlignment w:val="baseline"/>
        <w:rPr>
          <w:szCs w:val="24"/>
        </w:rPr>
      </w:pPr>
      <w:r>
        <w:rPr>
          <w:szCs w:val="24"/>
        </w:rPr>
        <w:t>broj poginulih 12,</w:t>
      </w:r>
    </w:p>
    <w:p w:rsidR="008F0D85" w:rsidRDefault="00AE42A1">
      <w:pPr>
        <w:numPr>
          <w:ilvl w:val="0"/>
          <w:numId w:val="62"/>
        </w:numPr>
        <w:suppressAutoHyphens/>
        <w:spacing w:after="0" w:line="247" w:lineRule="auto"/>
        <w:textAlignment w:val="baseline"/>
        <w:rPr>
          <w:szCs w:val="24"/>
        </w:rPr>
      </w:pPr>
      <w:r>
        <w:rPr>
          <w:szCs w:val="24"/>
        </w:rPr>
        <w:t>prekid opskrbom struje, vode, plina, problemi u opskrbi i nedostatak hrane, pojava eksplozija, požara, reducirane mogućnosti u telekomunikacijama, psihoze, dep</w:t>
      </w:r>
      <w:r>
        <w:rPr>
          <w:szCs w:val="24"/>
        </w:rPr>
        <w:t>resije i panike ljudi, gubitak sigurnog stambenog prostora i drugo.</w:t>
      </w:r>
    </w:p>
    <w:p w:rsidR="008F0D85" w:rsidRDefault="008F0D85">
      <w:pPr>
        <w:suppressAutoHyphens/>
        <w:spacing w:after="0" w:line="247" w:lineRule="auto"/>
        <w:textAlignment w:val="baseline"/>
        <w:rPr>
          <w:szCs w:val="24"/>
          <w:highlight w:val="yellow"/>
        </w:rPr>
      </w:pPr>
    </w:p>
    <w:p w:rsidR="008F0D85" w:rsidRDefault="008F0D85">
      <w:pPr>
        <w:suppressAutoHyphens/>
        <w:spacing w:after="0" w:line="247" w:lineRule="auto"/>
        <w:textAlignment w:val="baseline"/>
        <w:rPr>
          <w:szCs w:val="24"/>
          <w:highlight w:val="yellow"/>
        </w:rPr>
      </w:pPr>
      <w:bookmarkStart w:id="890" w:name="_Hlk500832337"/>
      <w:bookmarkEnd w:id="890"/>
    </w:p>
    <w:p w:rsidR="008F0D85" w:rsidRDefault="00AE42A1">
      <w:pPr>
        <w:rPr>
          <w:szCs w:val="24"/>
        </w:rPr>
      </w:pPr>
      <w:r>
        <w:rPr>
          <w:szCs w:val="24"/>
        </w:rPr>
        <w:t>U žrtve potresa ubrajamo plitko, srednje i duboko zatrpane osobe. Plitko zatrpane osobe – moguće spašavanje uporabom lake opreme za spašavanje bez specijalnih radova i građevinskih stroj</w:t>
      </w:r>
      <w:r>
        <w:rPr>
          <w:szCs w:val="24"/>
        </w:rPr>
        <w:t>eva. Duboko zatrpane osobe - osobe koje je moguće spasiti unutar 20 sati specifičnim radovima, specijalnom opremom i građevinskim strojevima (specijalizirana jedinica za spašavanje iz ruševina). Plitko i srednje zatrpane osobe nakon intervencija snaga civi</w:t>
      </w:r>
      <w:r>
        <w:rPr>
          <w:szCs w:val="24"/>
        </w:rPr>
        <w:t>lne zaštite možemo smatrati preživjelim (srednje i teško ranjene osobe), dok duboko zatrpane osobe u velikom postotku smatramo poginulim osobama.</w:t>
      </w:r>
    </w:p>
    <w:p w:rsidR="008F0D85" w:rsidRDefault="008F0D85">
      <w:pPr>
        <w:rPr>
          <w:szCs w:val="24"/>
        </w:rPr>
      </w:pPr>
    </w:p>
    <w:p w:rsidR="008F0D85" w:rsidRDefault="008F0D85">
      <w:pPr>
        <w:rPr>
          <w:szCs w:val="24"/>
        </w:rPr>
      </w:pPr>
    </w:p>
    <w:p w:rsidR="008F0D85" w:rsidRDefault="00AE42A1">
      <w:pPr>
        <w:pStyle w:val="Naslov4"/>
      </w:pPr>
      <w:bookmarkStart w:id="891" w:name="_Toc512434664"/>
      <w:bookmarkStart w:id="892" w:name="_Toc514240234"/>
      <w:bookmarkStart w:id="893" w:name="_Toc516128337"/>
      <w:bookmarkStart w:id="894" w:name="_Toc527969432"/>
      <w:bookmarkEnd w:id="891"/>
      <w:bookmarkEnd w:id="892"/>
      <w:bookmarkEnd w:id="893"/>
      <w:bookmarkEnd w:id="894"/>
      <w:r>
        <w:lastRenderedPageBreak/>
        <w:t>6.5.1.3. Prikaz utjecaja potresa na kritičnu infrastrukturu (KI)</w:t>
      </w:r>
    </w:p>
    <w:p w:rsidR="008F0D85" w:rsidRDefault="008F0D85">
      <w:pPr>
        <w:rPr>
          <w:szCs w:val="24"/>
        </w:rPr>
      </w:pPr>
    </w:p>
    <w:p w:rsidR="008F0D85" w:rsidRDefault="00AE42A1">
      <w:bookmarkStart w:id="895" w:name="_Hlk498000755"/>
      <w:bookmarkEnd w:id="895"/>
      <w:r>
        <w:t>Posljedice potresa mogu obuhvatiti sva pod</w:t>
      </w:r>
      <w:r>
        <w:t>ručja društvene i gospodarske djelatnosti stanovništva te značajno utjecati na lokalno upravljanje, stanovništvo, materijalna i kulturna dobra te okoliš. Treba imati na umu da u slučaju potresa ne dolazi do jednake zahvaćenosti cijelog područja Općine. Naj</w:t>
      </w:r>
      <w:r>
        <w:t>veće štete bit će vidljive na dijelovima gušće naseljenosti područja Općine, što se odnosi na naselje Kloštar Podravski.</w:t>
      </w:r>
    </w:p>
    <w:p w:rsidR="008F0D85" w:rsidRDefault="00AE42A1">
      <w:r>
        <w:t>Zbog utjecaja na kritičnu infrastrukturu i strateške objekte treba istaknuti sljedeće posljedice:</w:t>
      </w:r>
    </w:p>
    <w:p w:rsidR="008F0D85" w:rsidRDefault="00AE42A1">
      <w:pPr>
        <w:numPr>
          <w:ilvl w:val="0"/>
          <w:numId w:val="63"/>
        </w:numPr>
        <w:contextualSpacing/>
        <w:rPr>
          <w:szCs w:val="24"/>
          <w:lang w:val="en-US"/>
        </w:rPr>
      </w:pPr>
      <w:r>
        <w:rPr>
          <w:szCs w:val="24"/>
          <w:lang w:val="en-US"/>
        </w:rPr>
        <w:t>izravna oštećenja prometnica zbog pod</w:t>
      </w:r>
      <w:r>
        <w:rPr>
          <w:szCs w:val="24"/>
          <w:lang w:val="en-US"/>
        </w:rPr>
        <w:t>rhtavanja tla ili njihova neprohodnost, zbog pucanja asfaltnog sloja ili nastanka većih pukotina, mogu otežati prometnu povezanost Općine sa susjednim jedinicama lokalne samouprave te usporiti potrebne radnje neposredno nakon potresa (spašavanje, evakuacij</w:t>
      </w:r>
      <w:r>
        <w:rPr>
          <w:szCs w:val="24"/>
          <w:lang w:val="en-US"/>
        </w:rPr>
        <w:t>a, odvoz građevinskog otpada i sl.),</w:t>
      </w:r>
    </w:p>
    <w:p w:rsidR="008F0D85" w:rsidRDefault="00AE42A1">
      <w:pPr>
        <w:numPr>
          <w:ilvl w:val="0"/>
          <w:numId w:val="63"/>
        </w:numPr>
        <w:contextualSpacing/>
        <w:rPr>
          <w:szCs w:val="24"/>
          <w:lang w:val="en-US"/>
        </w:rPr>
      </w:pPr>
      <w:r>
        <w:rPr>
          <w:szCs w:val="24"/>
          <w:lang w:val="en-US"/>
        </w:rPr>
        <w:t xml:space="preserve">prekidi u telekomunikacijskoj mreži mogu stanovništvu i hitnim službama otežati komunikaciju, a oštećenja strujne mreže i komunalne infrastrukture mogu usporiti radove hitnih službi i povećati osjećaj </w:t>
      </w:r>
      <w:r>
        <w:rPr>
          <w:szCs w:val="24"/>
          <w:lang w:val="en-US"/>
        </w:rPr>
        <w:t>nesigurnosti stanovništva.</w:t>
      </w:r>
    </w:p>
    <w:p w:rsidR="008F0D85" w:rsidRDefault="008F0D85">
      <w:pPr>
        <w:contextualSpacing/>
        <w:rPr>
          <w:szCs w:val="24"/>
          <w:lang w:val="en-US"/>
        </w:rPr>
      </w:pPr>
    </w:p>
    <w:tbl>
      <w:tblPr>
        <w:tblW w:w="9107"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958"/>
        <w:gridCol w:w="8149"/>
      </w:tblGrid>
      <w:tr w:rsidR="008F0D85">
        <w:trPr>
          <w:trHeight w:val="384"/>
          <w:tblHeader/>
          <w:jc w:val="center"/>
        </w:trPr>
        <w:tc>
          <w:tcPr>
            <w:tcW w:w="95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Utjecaj</w:t>
            </w:r>
          </w:p>
        </w:tc>
        <w:tc>
          <w:tcPr>
            <w:tcW w:w="814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Sektor</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Komunikacijska i informacijska tehnologija (elektroničke komunikacije, prijenos podataka, informacijski sustavi, pružanje audio i audiovizualnih medijskih usluga)</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Promet (cestovni, željeznički, </w:t>
            </w:r>
            <w:r>
              <w:rPr>
                <w:sz w:val="20"/>
                <w:szCs w:val="20"/>
              </w:rPr>
              <w:t>zračni, pomorski i promet unutarnjim plovnim putevima)</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Zdravstvo (zdravstvena zaštita, proizvodnja, promet i nadzor nad lijekovima)</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Vodno gospodarstvo (regulacijske i zaštitne vodne građevine i komunalne vodne građevine)</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Hrana (proizvodnja i opskrba hranom i sustav sigurnosti hrane, robne zalihe) </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Financije (bankarstvo, burze, investicije, sustavi osiguranja i plaćanja)</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Proizvodnja, skladištenje i prijevoz opasnih tvari (kemijski, biološki, radiološki i </w:t>
            </w:r>
            <w:r>
              <w:rPr>
                <w:sz w:val="20"/>
                <w:szCs w:val="20"/>
              </w:rPr>
              <w:t>nuklearni materijali)</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Javne službe (osiguranje javnog reda i mira, zaštita i spašavanje, hitna medicinska pomoć)</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bookmarkStart w:id="896" w:name="_Hlk512418801"/>
            <w:bookmarkEnd w:id="896"/>
            <w:r>
              <w:rPr>
                <w:sz w:val="20"/>
                <w:szCs w:val="20"/>
              </w:rPr>
              <w:t>Nacionalni spomenici i vrijednosti</w:t>
            </w:r>
          </w:p>
        </w:tc>
      </w:tr>
    </w:tbl>
    <w:p w:rsidR="008F0D85" w:rsidRDefault="008F0D85">
      <w:pPr>
        <w:rPr>
          <w:szCs w:val="24"/>
        </w:rPr>
      </w:pPr>
    </w:p>
    <w:p w:rsidR="008F0D85" w:rsidRDefault="00AE42A1">
      <w:pPr>
        <w:pStyle w:val="Naslov4"/>
      </w:pPr>
      <w:bookmarkStart w:id="897" w:name="_Toc512434665"/>
      <w:bookmarkStart w:id="898" w:name="_Toc514240235"/>
      <w:bookmarkStart w:id="899" w:name="_Toc516128338"/>
      <w:bookmarkStart w:id="900" w:name="_Toc527969433"/>
      <w:bookmarkEnd w:id="897"/>
      <w:bookmarkEnd w:id="898"/>
      <w:bookmarkEnd w:id="899"/>
      <w:bookmarkEnd w:id="900"/>
      <w:r>
        <w:t>6.5.1.4. Kontekst – Potres</w:t>
      </w:r>
    </w:p>
    <w:p w:rsidR="008F0D85" w:rsidRDefault="008F0D85"/>
    <w:p w:rsidR="008F0D85" w:rsidRDefault="00AE42A1">
      <w:pPr>
        <w:rPr>
          <w:szCs w:val="24"/>
        </w:rPr>
      </w:pPr>
      <w:r>
        <w:rPr>
          <w:szCs w:val="24"/>
        </w:rPr>
        <w:t xml:space="preserve">Prema podacima koji su prikazani Kartom potresnih područja </w:t>
      </w:r>
      <w:r>
        <w:rPr>
          <w:szCs w:val="24"/>
        </w:rPr>
        <w:t>Republike Hrvatske za povratni period od 475 godina, područje Općine Kloštar Podravski pripada području s vršnim ubrzanjem od 0,16 - 0,18 g, gdje je g ubrzanje polja sile teže i iznosi 1,47 – 2,45 m/s</w:t>
      </w:r>
      <w:r>
        <w:rPr>
          <w:szCs w:val="24"/>
          <w:vertAlign w:val="superscript"/>
        </w:rPr>
        <w:t>2</w:t>
      </w:r>
      <w:r>
        <w:rPr>
          <w:szCs w:val="24"/>
        </w:rPr>
        <w:t xml:space="preserve">. Ubrzanje odgovara potresu granične jačine 7 </w:t>
      </w:r>
      <w:r>
        <w:rPr>
          <w:rFonts w:cs="Calibri"/>
          <w:szCs w:val="24"/>
        </w:rPr>
        <w:t>°</w:t>
      </w:r>
      <w:r>
        <w:rPr>
          <w:szCs w:val="24"/>
        </w:rPr>
        <w:t xml:space="preserve"> do 8° M</w:t>
      </w:r>
      <w:r>
        <w:rPr>
          <w:szCs w:val="24"/>
        </w:rPr>
        <w:t xml:space="preserve">CS ljestvice. </w:t>
      </w:r>
    </w:p>
    <w:p w:rsidR="008F0D85" w:rsidRDefault="00AE42A1">
      <w:pPr>
        <w:rPr>
          <w:szCs w:val="24"/>
        </w:rPr>
      </w:pPr>
      <w:r>
        <w:rPr>
          <w:szCs w:val="24"/>
        </w:rPr>
        <w:lastRenderedPageBreak/>
        <w:t>Općina Kloštar Podravski ima površinu od 51,47 km</w:t>
      </w:r>
      <w:r>
        <w:rPr>
          <w:szCs w:val="24"/>
          <w:vertAlign w:val="superscript"/>
        </w:rPr>
        <w:t>2</w:t>
      </w:r>
      <w:r>
        <w:rPr>
          <w:szCs w:val="24"/>
        </w:rPr>
        <w:t>. U njoj prema posljednjem popisu 2011.god. živi 3.306 stanovnika u 4 zasebna naselja, naselje Budančevica, Kloštar Podravski, Kozarevac i Prugovac. Gustoća naseljenosti iznosi 64,23 st./km</w:t>
      </w:r>
      <w:r>
        <w:rPr>
          <w:szCs w:val="24"/>
          <w:vertAlign w:val="superscript"/>
        </w:rPr>
        <w:t>2</w:t>
      </w:r>
      <w:r>
        <w:rPr>
          <w:szCs w:val="24"/>
        </w:rPr>
        <w:t>.</w:t>
      </w:r>
      <w:r>
        <w:rPr>
          <w:szCs w:val="24"/>
        </w:rPr>
        <w:t xml:space="preserve"> Na području Općine nalazi se ukupno 1.294 stanova od kojih je 1.032 stalno naseljeno.</w:t>
      </w:r>
    </w:p>
    <w:p w:rsidR="008F0D85" w:rsidRDefault="00AE42A1">
      <w:pPr>
        <w:rPr>
          <w:rFonts w:cs="Arial"/>
        </w:rPr>
      </w:pPr>
      <w:r>
        <w:rPr>
          <w:rFonts w:cs="Arial"/>
        </w:rPr>
        <w:t xml:space="preserve">Stambene građevine na području Općine građene su kao obiteljske kuće prizemnice ili jednokatnice te nekoliko građevina maksimalne visine E=P+2k+Pk. </w:t>
      </w:r>
    </w:p>
    <w:p w:rsidR="008F0D85" w:rsidRDefault="00AE42A1">
      <w:r>
        <w:t>Naročito velika ošte</w:t>
      </w:r>
      <w:r>
        <w:t>ćenja očekuju se u dijelovima naselja starije gradnje gdje bi rušenje objekata uzrokovalo neprohodnost ulica (s obzirom na njihov u širinu), a što bi kao posljedicu imalo otežano raščišćavanje i spašavanje unesrećenih.</w:t>
      </w:r>
    </w:p>
    <w:p w:rsidR="008F0D85" w:rsidRDefault="00AE42A1">
      <w:r>
        <w:t>Za podjelu objekata po kategorijama n</w:t>
      </w:r>
      <w:r>
        <w:t>avodi se klasična podjela oštećenja zgrada koja se temelji na Europskoj makro seizmičkoj ljestvici EMS – 98. Podjela obuhvaća kategorije oštećenja od I do V te se pomoću nje utvrđuje i intenzitet potresnog djelovanja.</w:t>
      </w:r>
    </w:p>
    <w:p w:rsidR="008F0D85" w:rsidRDefault="00AE42A1">
      <w:pPr>
        <w:pStyle w:val="Naslov4"/>
      </w:pPr>
      <w:bookmarkStart w:id="901" w:name="_Toc512434666"/>
      <w:bookmarkStart w:id="902" w:name="_Toc514240236"/>
      <w:bookmarkStart w:id="903" w:name="_Toc516128339"/>
      <w:bookmarkStart w:id="904" w:name="_Toc527969434"/>
      <w:bookmarkEnd w:id="901"/>
      <w:bookmarkEnd w:id="902"/>
      <w:bookmarkEnd w:id="903"/>
      <w:bookmarkEnd w:id="904"/>
      <w:r>
        <w:t>6.5.1.5. Uzrok pojave potresa</w:t>
      </w:r>
    </w:p>
    <w:p w:rsidR="008F0D85" w:rsidRDefault="008F0D85">
      <w:pPr>
        <w:contextualSpacing/>
        <w:rPr>
          <w:szCs w:val="24"/>
          <w:lang w:val="en-US"/>
        </w:rPr>
      </w:pPr>
    </w:p>
    <w:p w:rsidR="008F0D85" w:rsidRDefault="00AE42A1">
      <w:pPr>
        <w:rPr>
          <w:highlight w:val="white"/>
        </w:rPr>
      </w:pPr>
      <w:bookmarkStart w:id="905" w:name="_Hlk503433101"/>
      <w:bookmarkEnd w:id="905"/>
      <w:r>
        <w:rPr>
          <w:shd w:val="clear" w:color="auto" w:fill="FFFFFF"/>
        </w:rPr>
        <w:t>Potresi</w:t>
      </w:r>
      <w:r>
        <w:rPr>
          <w:shd w:val="clear" w:color="auto" w:fill="FFFFFF"/>
        </w:rPr>
        <w:t xml:space="preserve"> se s obzirom na vjerojatnost pojavljivanja mogu vezati za određeni povratni period. Karte za povratne periode  rade se unatrag 50, 100, 500, 1000 i 10 000 godina. Europski propisi za utjecaj potresa na građevinama Eurocade 8, koriste povratna razdoblja od</w:t>
      </w:r>
      <w:r>
        <w:rPr>
          <w:shd w:val="clear" w:color="auto" w:fill="FFFFFF"/>
        </w:rPr>
        <w:t xml:space="preserve"> 95 i 475 godina. Potres je endogeni proces do kojeg dolazi uslijed pomicanja </w:t>
      </w:r>
      <w:hyperlink r:id="rId73" w:tgtFrame="Tektonska ploča">
        <w:r>
          <w:rPr>
            <w:rStyle w:val="Internetskapoveznica"/>
            <w:highlight w:val="white"/>
          </w:rPr>
          <w:t>tektonskih ploča</w:t>
        </w:r>
      </w:hyperlink>
      <w:r>
        <w:rPr>
          <w:shd w:val="clear" w:color="auto" w:fill="FFFFFF"/>
        </w:rPr>
        <w:t>, a posljedica je  podrhtavanje </w:t>
      </w:r>
      <w:hyperlink r:id="rId74" w:tgtFrame="Zemljina kora">
        <w:r>
          <w:rPr>
            <w:rStyle w:val="Internetskapoveznica"/>
            <w:highlight w:val="white"/>
          </w:rPr>
          <w:t>Zemljine kore</w:t>
        </w:r>
      </w:hyperlink>
      <w:r>
        <w:rPr>
          <w:shd w:val="clear" w:color="auto" w:fill="FFFFFF"/>
        </w:rPr>
        <w:t> zbog oslobađanja velike količine </w:t>
      </w:r>
      <w:hyperlink r:id="rId75" w:tgtFrame="Energija">
        <w:r>
          <w:rPr>
            <w:rStyle w:val="Internetskapoveznica"/>
            <w:highlight w:val="white"/>
          </w:rPr>
          <w:t>energije</w:t>
        </w:r>
      </w:hyperlink>
      <w:r>
        <w:rPr>
          <w:shd w:val="clear" w:color="auto" w:fill="FFFFFF"/>
        </w:rPr>
        <w:t>. Oslobađanje energije tijekom potresa objašnjava</w:t>
      </w:r>
      <w:r>
        <w:rPr>
          <w:shd w:val="clear" w:color="auto" w:fill="FFFFFF"/>
        </w:rPr>
        <w:t xml:space="preserve"> teorija elastičnog odraza, odnosno stijene na desnoj strani rasjeda relativno se pomiču u odnosu na stijene s druge strane što uzrokuje savijanje, odnosno deformaciju.  Magnituda i </w:t>
      </w:r>
      <w:hyperlink r:id="rId76" w:tgtFrame="Jakost">
        <w:r>
          <w:rPr>
            <w:rStyle w:val="Internetskapoveznica"/>
            <w:highlight w:val="white"/>
          </w:rPr>
          <w:t>jakost</w:t>
        </w:r>
      </w:hyperlink>
      <w:r>
        <w:rPr>
          <w:shd w:val="clear" w:color="auto" w:fill="FFFFFF"/>
        </w:rPr>
        <w:t> (intenzitet) su mjere koje opisuju potres. Magnituda potresa predstavlja energiju koja je oslobođena prilikom potresa, a izražava se stupnjevima </w:t>
      </w:r>
      <w:hyperlink r:id="rId77" w:tgtFrame="Richterova ljestvica">
        <w:r>
          <w:rPr>
            <w:rStyle w:val="Internetskapoveznica"/>
            <w:highlight w:val="white"/>
          </w:rPr>
          <w:t>Richterove lje</w:t>
        </w:r>
        <w:r>
          <w:rPr>
            <w:rStyle w:val="Internetskapoveznica"/>
            <w:highlight w:val="white"/>
          </w:rPr>
          <w:t>stvice</w:t>
        </w:r>
      </w:hyperlink>
      <w:r>
        <w:rPr>
          <w:shd w:val="clear" w:color="auto" w:fill="FFFFFF"/>
        </w:rPr>
        <w:t>, vrijednosti od 0 do 9. Intenzitet potresa ovisi o više čimbenika kao što su količina oslobođene energije, </w:t>
      </w:r>
      <w:hyperlink r:id="rId78" w:tgtFrame="Dubina">
        <w:r>
          <w:rPr>
            <w:rStyle w:val="Internetskapoveznica"/>
            <w:highlight w:val="white"/>
          </w:rPr>
          <w:t>dubina</w:t>
        </w:r>
      </w:hyperlink>
      <w:r>
        <w:rPr>
          <w:shd w:val="clear" w:color="auto" w:fill="FFFFFF"/>
        </w:rPr>
        <w:t> </w:t>
      </w:r>
      <w:hyperlink r:id="rId79" w:tgtFrame="Hipocentar">
        <w:r>
          <w:rPr>
            <w:rStyle w:val="Internetskapoveznica"/>
            <w:highlight w:val="white"/>
          </w:rPr>
          <w:t>hipocentra</w:t>
        </w:r>
      </w:hyperlink>
      <w:r>
        <w:rPr>
          <w:shd w:val="clear" w:color="auto" w:fill="FFFFFF"/>
        </w:rPr>
        <w:t>, udaljenosti </w:t>
      </w:r>
      <w:hyperlink r:id="rId80" w:tgtFrame="Epicentar">
        <w:r>
          <w:rPr>
            <w:rStyle w:val="Internetskapoveznica"/>
            <w:highlight w:val="white"/>
          </w:rPr>
          <w:t>epicentra</w:t>
        </w:r>
      </w:hyperlink>
      <w:r>
        <w:rPr>
          <w:shd w:val="clear" w:color="auto" w:fill="FFFFFF"/>
        </w:rPr>
        <w:t> i građi Zemljine kore. Njegovo djelovanje  može se iskazati pomoću </w:t>
      </w:r>
      <w:hyperlink r:id="rId81" w:tgtFrame="Mercalli-Cancani-Siebergova ljestvica">
        <w:r>
          <w:rPr>
            <w:rStyle w:val="Internetskapoveznica"/>
            <w:highlight w:val="white"/>
          </w:rPr>
          <w:t>Mercalli-Cancani-Siebergove ljestvice</w:t>
        </w:r>
      </w:hyperlink>
      <w:r>
        <w:rPr>
          <w:shd w:val="clear" w:color="auto" w:fill="FFFFFF"/>
        </w:rPr>
        <w:t xml:space="preserve"> koja ima 12 stupnjeva, a temelji se na razornosti i posljedicama potresa. S obzirom na dubinu hipocentra, odnosno žarišta potresi se dijele u tri grupe, plitki </w:t>
      </w:r>
      <w:r>
        <w:rPr>
          <w:shd w:val="clear" w:color="auto" w:fill="FFFFFF"/>
        </w:rPr>
        <w:t>(0-70 km), srednji (70-350 km) te duboki (350-700 km). Svi potresi na području  Republike Hrvatske ubrajaju se u red plitkih potresa. Znanstvena istraživanja radi prognoziranja potresa provode se u mnogim državama svijeta, osobito u Japanu, SAD-u i Rusiji,</w:t>
      </w:r>
      <w:r>
        <w:rPr>
          <w:shd w:val="clear" w:color="auto" w:fill="FFFFFF"/>
        </w:rPr>
        <w:t xml:space="preserve"> no usprkos istraživanjima, do danas ni jedan potres nije pretkazan znanstvenim metodama. </w:t>
      </w:r>
    </w:p>
    <w:p w:rsidR="008F0D85" w:rsidRDefault="00AE42A1">
      <w:pPr>
        <w:numPr>
          <w:ilvl w:val="0"/>
          <w:numId w:val="64"/>
        </w:numPr>
        <w:jc w:val="left"/>
        <w:rPr>
          <w:highlight w:val="white"/>
        </w:rPr>
      </w:pPr>
      <w:bookmarkStart w:id="906" w:name="_Hlk5034331011"/>
      <w:bookmarkEnd w:id="906"/>
      <w:r>
        <w:rPr>
          <w:shd w:val="clear" w:color="auto" w:fill="FFFFFF"/>
        </w:rPr>
        <w:t>Vrste potresa prema nastanku:</w:t>
      </w:r>
    </w:p>
    <w:p w:rsidR="008F0D85" w:rsidRDefault="00AE42A1">
      <w:pPr>
        <w:numPr>
          <w:ilvl w:val="0"/>
          <w:numId w:val="65"/>
        </w:numPr>
        <w:jc w:val="left"/>
      </w:pPr>
      <w:r>
        <w:rPr>
          <w:szCs w:val="24"/>
          <w:shd w:val="clear" w:color="auto" w:fill="FFFFFF"/>
        </w:rPr>
        <w:t>tektonski potresi (90 % slučajeva) – do kojih dolazi tektonskim gibanjem, tektonski potresi su najjači i zahvaćaju veća područja, a zon</w:t>
      </w:r>
      <w:r>
        <w:rPr>
          <w:szCs w:val="24"/>
          <w:shd w:val="clear" w:color="auto" w:fill="FFFFFF"/>
        </w:rPr>
        <w:t>e tektonskih potresa vezane su uz gibanja </w:t>
      </w:r>
      <w:hyperlink r:id="rId82" w:tgtFrame="Litosfera">
        <w:r>
          <w:rPr>
            <w:rStyle w:val="Internetskapoveznica"/>
            <w:szCs w:val="24"/>
            <w:highlight w:val="white"/>
          </w:rPr>
          <w:t>litosfernih</w:t>
        </w:r>
      </w:hyperlink>
      <w:r>
        <w:rPr>
          <w:szCs w:val="24"/>
          <w:shd w:val="clear" w:color="auto" w:fill="FFFFFF"/>
        </w:rPr>
        <w:t> ploča i do njih dolazi zbog </w:t>
      </w:r>
      <w:hyperlink r:id="rId83" w:tgtFrame="Subdukcija">
        <w:r>
          <w:rPr>
            <w:rStyle w:val="Internetskapoveznica"/>
            <w:szCs w:val="24"/>
            <w:highlight w:val="white"/>
          </w:rPr>
          <w:t>subdukcije</w:t>
        </w:r>
      </w:hyperlink>
      <w:r>
        <w:rPr>
          <w:szCs w:val="24"/>
          <w:shd w:val="clear" w:color="auto" w:fill="FFFFFF"/>
        </w:rPr>
        <w:t> ili </w:t>
      </w:r>
      <w:hyperlink r:id="rId84" w:tgtFrame="Širenje morskog dna">
        <w:r>
          <w:rPr>
            <w:rStyle w:val="Internetskapoveznica"/>
            <w:szCs w:val="24"/>
            <w:highlight w:val="white"/>
          </w:rPr>
          <w:t>širenja morskog dna</w:t>
        </w:r>
      </w:hyperlink>
      <w:r>
        <w:rPr>
          <w:szCs w:val="24"/>
          <w:shd w:val="clear" w:color="auto" w:fill="FFFFFF"/>
        </w:rPr>
        <w:t>,</w:t>
      </w:r>
    </w:p>
    <w:p w:rsidR="008F0D85" w:rsidRDefault="00AE42A1">
      <w:pPr>
        <w:numPr>
          <w:ilvl w:val="0"/>
          <w:numId w:val="65"/>
        </w:numPr>
        <w:jc w:val="left"/>
        <w:rPr>
          <w:szCs w:val="24"/>
          <w:highlight w:val="white"/>
        </w:rPr>
      </w:pPr>
      <w:r>
        <w:rPr>
          <w:szCs w:val="24"/>
          <w:shd w:val="clear" w:color="auto" w:fill="FFFFFF"/>
        </w:rPr>
        <w:lastRenderedPageBreak/>
        <w:t xml:space="preserve">vulkanski potresi  (7% slučajeva) – izazvani su vulkanskom aktivnošću, </w:t>
      </w:r>
    </w:p>
    <w:p w:rsidR="008F0D85" w:rsidRDefault="00AE42A1">
      <w:pPr>
        <w:numPr>
          <w:ilvl w:val="0"/>
          <w:numId w:val="65"/>
        </w:numPr>
        <w:jc w:val="left"/>
      </w:pPr>
      <w:r>
        <w:rPr>
          <w:szCs w:val="24"/>
          <w:shd w:val="clear" w:color="auto" w:fill="FFFFFF"/>
        </w:rPr>
        <w:t>urušni (kolapsni) potresi  (3% slučajeva) – nastaju  urušavanjem materijala ko</w:t>
      </w:r>
      <w:r>
        <w:rPr>
          <w:szCs w:val="24"/>
          <w:shd w:val="clear" w:color="auto" w:fill="FFFFFF"/>
        </w:rPr>
        <w:t>ji nadsvođuje podzemne šupljine ili odronom kamenja i </w:t>
      </w:r>
      <w:hyperlink r:id="rId85" w:tgtFrame="Klizište">
        <w:r>
          <w:rPr>
            <w:rStyle w:val="Internetskapoveznica"/>
            <w:szCs w:val="24"/>
            <w:highlight w:val="white"/>
          </w:rPr>
          <w:t>klizanjem</w:t>
        </w:r>
      </w:hyperlink>
      <w:r>
        <w:rPr>
          <w:szCs w:val="24"/>
          <w:shd w:val="clear" w:color="auto" w:fill="FFFFFF"/>
        </w:rPr>
        <w:t> terena, najslabiji su i najmanjeg su dometa,</w:t>
      </w:r>
    </w:p>
    <w:p w:rsidR="008F0D85" w:rsidRDefault="00AE42A1">
      <w:pPr>
        <w:numPr>
          <w:ilvl w:val="0"/>
          <w:numId w:val="65"/>
        </w:numPr>
        <w:jc w:val="left"/>
      </w:pPr>
      <w:bookmarkStart w:id="907" w:name="_Hlk503433110"/>
      <w:bookmarkStart w:id="908" w:name="_Hlk512418953"/>
      <w:bookmarkEnd w:id="907"/>
      <w:bookmarkEnd w:id="908"/>
      <w:r>
        <w:rPr>
          <w:szCs w:val="24"/>
          <w:shd w:val="clear" w:color="auto" w:fill="FFFFFF"/>
        </w:rPr>
        <w:t>umjetni – izazvani klasičnim eksplozivom (vrlo slabi) te oni izazvani nukle</w:t>
      </w:r>
      <w:r>
        <w:rPr>
          <w:szCs w:val="24"/>
          <w:shd w:val="clear" w:color="auto" w:fill="FFFFFF"/>
        </w:rPr>
        <w:t>arnim eksplozijama (snažni).</w:t>
      </w:r>
    </w:p>
    <w:p w:rsidR="008F0D85" w:rsidRDefault="00AE42A1">
      <w:pPr>
        <w:pStyle w:val="Naslov5"/>
      </w:pPr>
      <w:bookmarkStart w:id="909" w:name="_Toc512434667"/>
      <w:bookmarkStart w:id="910" w:name="_Toc514240237"/>
      <w:bookmarkStart w:id="911" w:name="_Toc516128340"/>
      <w:bookmarkStart w:id="912" w:name="_Toc527969435"/>
      <w:bookmarkEnd w:id="909"/>
      <w:bookmarkEnd w:id="910"/>
      <w:bookmarkEnd w:id="911"/>
      <w:bookmarkEnd w:id="912"/>
      <w:r>
        <w:t>6.5.1.5.1. Razvoj događaja koji prethodi velikoj nesreći nastaloj potresom</w:t>
      </w:r>
    </w:p>
    <w:p w:rsidR="008F0D85" w:rsidRDefault="008F0D85">
      <w:pPr>
        <w:rPr>
          <w:lang w:val="en-US"/>
        </w:rPr>
      </w:pPr>
    </w:p>
    <w:p w:rsidR="008F0D85" w:rsidRDefault="00AE42A1">
      <w:bookmarkStart w:id="913" w:name="_Hlk503433589"/>
      <w:bookmarkStart w:id="914" w:name="_Hlk498001439"/>
      <w:bookmarkEnd w:id="913"/>
      <w:r>
        <w:rPr>
          <w:szCs w:val="24"/>
          <w:shd w:val="clear" w:color="auto" w:fill="FFFFFF"/>
        </w:rPr>
        <w:t>Potres nastaje u unutrašnjosti Zemlje te to mjesto nazivamo žarište ili </w:t>
      </w:r>
      <w:hyperlink r:id="rId86" w:tgtFrame="Hipocentar">
        <w:r>
          <w:rPr>
            <w:rStyle w:val="Internetskapoveznica"/>
            <w:szCs w:val="24"/>
            <w:highlight w:val="white"/>
          </w:rPr>
          <w:t>hip</w:t>
        </w:r>
        <w:r>
          <w:rPr>
            <w:rStyle w:val="Internetskapoveznica"/>
            <w:szCs w:val="24"/>
            <w:highlight w:val="white"/>
          </w:rPr>
          <w:t>ocentar</w:t>
        </w:r>
      </w:hyperlink>
      <w:r>
        <w:rPr>
          <w:szCs w:val="24"/>
          <w:shd w:val="clear" w:color="auto" w:fill="FFFFFF"/>
        </w:rPr>
        <w:t>. Mjesto na površini Zemlje gdje se potres najjače osjeti zove se </w:t>
      </w:r>
      <w:hyperlink r:id="rId87" w:tgtFrame="Epicentar">
        <w:r>
          <w:rPr>
            <w:rStyle w:val="Internetskapoveznica"/>
            <w:szCs w:val="24"/>
            <w:highlight w:val="white"/>
          </w:rPr>
          <w:t>epicentar</w:t>
        </w:r>
      </w:hyperlink>
      <w:r>
        <w:rPr>
          <w:szCs w:val="24"/>
          <w:shd w:val="clear" w:color="auto" w:fill="FFFFFF"/>
        </w:rPr>
        <w:t xml:space="preserve">. </w:t>
      </w:r>
      <w:r>
        <w:rPr>
          <w:rFonts w:cs="Arial"/>
          <w:color w:val="111111"/>
          <w:szCs w:val="24"/>
          <w:shd w:val="clear" w:color="auto" w:fill="FFFFFF"/>
        </w:rPr>
        <w:t xml:space="preserve">Zbog posebnih svojstava </w:t>
      </w:r>
      <w:bookmarkStart w:id="915" w:name="_Hlk498001449"/>
      <w:bookmarkEnd w:id="914"/>
      <w:r>
        <w:rPr>
          <w:rFonts w:cs="Arial"/>
          <w:color w:val="111111"/>
          <w:szCs w:val="24"/>
          <w:shd w:val="clear" w:color="auto" w:fill="FFFFFF"/>
        </w:rPr>
        <w:t xml:space="preserve">vrijeme nastanka potresa ne može predvidjeti s razumnom </w:t>
      </w:r>
      <w:r>
        <w:rPr>
          <w:rFonts w:cs="Arial"/>
          <w:color w:val="111111"/>
          <w:szCs w:val="24"/>
          <w:shd w:val="clear" w:color="auto" w:fill="FFFFFF"/>
        </w:rPr>
        <w:t>sigurnošću, zato se potresna opasnost ublažava isključivo prevencijom. Jedina razumna zaštita od potresa je gradnja objekata u skladu s potresnom opasnošću. </w:t>
      </w:r>
    </w:p>
    <w:bookmarkEnd w:id="915"/>
    <w:p w:rsidR="008F0D85" w:rsidRDefault="00AE42A1">
      <w:r>
        <w:rPr>
          <w:rFonts w:cs="Arial"/>
          <w:color w:val="111111"/>
          <w:szCs w:val="24"/>
          <w:shd w:val="clear" w:color="auto" w:fill="FFFFFF"/>
        </w:rPr>
        <w:t>Potresi ne pokazuju nikakvu periodičnost pojavljivanja, niti se događaju po nekom određenom pravil</w:t>
      </w:r>
      <w:r>
        <w:rPr>
          <w:rFonts w:cs="Arial"/>
          <w:color w:val="111111"/>
          <w:szCs w:val="24"/>
          <w:shd w:val="clear" w:color="auto" w:fill="FFFFFF"/>
        </w:rPr>
        <w:t>u. Postoji mogućnost pojave jednog jačeg potresa kojeg ne slijedi gotovo ni jedan ili ga slijedi vrlo mali broj naknadnih potresa. Drugdje se nakon jačeg potresa događa u kraćem ili duljem vremenskom intervalu velik broj naknadnih potresa, negdje su ti nak</w:t>
      </w:r>
      <w:r>
        <w:rPr>
          <w:rFonts w:cs="Arial"/>
          <w:color w:val="111111"/>
          <w:szCs w:val="24"/>
          <w:shd w:val="clear" w:color="auto" w:fill="FFFFFF"/>
        </w:rPr>
        <w:t>nadni potresi svi slabiji od glavnog, a negdje se dogodi da naknadni bude jači od prvotnog. </w:t>
      </w:r>
    </w:p>
    <w:p w:rsidR="008F0D85" w:rsidRDefault="00AE42A1">
      <w:pPr>
        <w:pStyle w:val="Naslov5"/>
      </w:pPr>
      <w:bookmarkStart w:id="916" w:name="_Toc512434668"/>
      <w:bookmarkStart w:id="917" w:name="_Toc514240238"/>
      <w:bookmarkStart w:id="918" w:name="_Toc516128341"/>
      <w:bookmarkStart w:id="919" w:name="_Toc527969436"/>
      <w:bookmarkStart w:id="920" w:name="_Hlk5034335891"/>
      <w:bookmarkEnd w:id="916"/>
      <w:bookmarkEnd w:id="917"/>
      <w:bookmarkEnd w:id="918"/>
      <w:bookmarkEnd w:id="919"/>
      <w:bookmarkEnd w:id="920"/>
      <w:r>
        <w:t>6.5.1.5.2. Okidač koji je uzrokovao veliku nesreću prouzročenu potresom</w:t>
      </w:r>
    </w:p>
    <w:p w:rsidR="008F0D85" w:rsidRDefault="008F0D85">
      <w:pPr>
        <w:rPr>
          <w:lang w:val="en-US"/>
        </w:rPr>
      </w:pPr>
    </w:p>
    <w:p w:rsidR="008F0D85" w:rsidRDefault="00AE42A1">
      <w:r>
        <w:rPr>
          <w:szCs w:val="24"/>
        </w:rPr>
        <w:t>Unutarnji procesi uzrokovani su konvekcijskim gibanjima u unutrašnjosti Zemlje, koja su po</w:t>
      </w:r>
      <w:r>
        <w:rPr>
          <w:szCs w:val="24"/>
        </w:rPr>
        <w:t>sljedica toplinske energije Zemlje i odgovorni su za kretanje oceanskih i kontinentalnih ploča.</w:t>
      </w:r>
      <w:r>
        <w:rPr>
          <w:szCs w:val="24"/>
          <w:shd w:val="clear" w:color="auto" w:fill="FFFFFF"/>
        </w:rPr>
        <w:t xml:space="preserve"> Ploče se mogu međusobno primicati, razmicati ili kliziti jedna uz drugu, a granice između ploča područja su izražene tektonske aktivnosti.</w:t>
      </w:r>
      <w:r>
        <w:rPr>
          <w:szCs w:val="24"/>
        </w:rPr>
        <w:t xml:space="preserve"> Na kontaktima ploča o</w:t>
      </w:r>
      <w:r>
        <w:rPr>
          <w:szCs w:val="24"/>
        </w:rPr>
        <w:t>slobađa se golema količina energije, koja uzrokuje deformacije stijena i nastanak potresa. Unutarnji procesi  utječu na kretanje masa u zemljinoj unutrašnjosti</w:t>
      </w:r>
      <w:r>
        <w:t xml:space="preserve"> i na formiranje tektonskih pokreta, koji djeluju kao okidač za nastanak potresa. RH se nalazi na</w:t>
      </w:r>
      <w:r>
        <w:t xml:space="preserve">  Euroazijskoj ploči koja je </w:t>
      </w:r>
      <w:hyperlink r:id="rId88" w:tgtFrame="Litosferne ploče">
        <w:r>
          <w:rPr>
            <w:rStyle w:val="Internetskapoveznica"/>
          </w:rPr>
          <w:t>litosferna ploča</w:t>
        </w:r>
      </w:hyperlink>
      <w:r>
        <w:t> te obuhvaća </w:t>
      </w:r>
      <w:hyperlink r:id="rId89" w:tgtFrame="Euroazija">
        <w:r>
          <w:rPr>
            <w:rStyle w:val="Internetskapoveznica"/>
          </w:rPr>
          <w:t>Euroaziju</w:t>
        </w:r>
      </w:hyperlink>
      <w:r>
        <w:t> (kontinentalnu masu koja s</w:t>
      </w:r>
      <w:r>
        <w:t>e sastoji od </w:t>
      </w:r>
      <w:hyperlink r:id="rId90" w:tgtFrame="Europa">
        <w:r>
          <w:rPr>
            <w:rStyle w:val="Internetskapoveznica"/>
          </w:rPr>
          <w:t>Europe</w:t>
        </w:r>
      </w:hyperlink>
      <w:r>
        <w:t> i </w:t>
      </w:r>
      <w:hyperlink r:id="rId91" w:tgtFrame="Azija">
        <w:r>
          <w:rPr>
            <w:rStyle w:val="Internetskapoveznica"/>
          </w:rPr>
          <w:t>Azije</w:t>
        </w:r>
      </w:hyperlink>
      <w:r>
        <w:t>, bez </w:t>
      </w:r>
      <w:hyperlink r:id="rId92" w:tgtFrame="Indija">
        <w:r>
          <w:rPr>
            <w:rStyle w:val="Internetskapoveznica"/>
          </w:rPr>
          <w:t>Indijskog potkontinen</w:t>
        </w:r>
        <w:r>
          <w:rPr>
            <w:rStyle w:val="Internetskapoveznica"/>
          </w:rPr>
          <w:t>ta</w:t>
        </w:r>
      </w:hyperlink>
      <w:r>
        <w:t>, </w:t>
      </w:r>
      <w:hyperlink r:id="rId93" w:tgtFrame="Arapski poluotok">
        <w:r>
          <w:rPr>
            <w:rStyle w:val="Internetskapoveznica"/>
          </w:rPr>
          <w:t>Arapskog poluotoka</w:t>
        </w:r>
      </w:hyperlink>
      <w:r>
        <w:t> i područja istočno od lanca </w:t>
      </w:r>
      <w:hyperlink r:id="rId94" w:tgtFrame="Verkojansk (stranica ne postoji)">
        <w:r>
          <w:rPr>
            <w:rStyle w:val="Internetskapoveznica"/>
          </w:rPr>
          <w:t>Verhojansk</w:t>
        </w:r>
      </w:hyperlink>
      <w:r>
        <w:t> u istočnome </w:t>
      </w:r>
      <w:hyperlink r:id="rId95" w:tgtFrame="Sibir">
        <w:r>
          <w:rPr>
            <w:rStyle w:val="Internetskapoveznica"/>
          </w:rPr>
          <w:t>Sibiru</w:t>
        </w:r>
      </w:hyperlink>
      <w:r>
        <w:t>). Na zapadu se proteže sve do </w:t>
      </w:r>
      <w:hyperlink r:id="rId96" w:tgtFrame="Srednjeatlanstki hrbat (stranica ne postoji)">
        <w:r>
          <w:rPr>
            <w:rStyle w:val="Internetskapoveznica"/>
          </w:rPr>
          <w:t>Srednjoatlantskog hrpta</w:t>
        </w:r>
      </w:hyperlink>
      <w:r>
        <w:t>.</w:t>
      </w:r>
    </w:p>
    <w:p w:rsidR="008F0D85" w:rsidRDefault="00AE42A1">
      <w:pPr>
        <w:pStyle w:val="Naslov3"/>
      </w:pPr>
      <w:bookmarkStart w:id="921" w:name="_Toc514142872"/>
      <w:bookmarkStart w:id="922" w:name="_Toc516128342"/>
      <w:bookmarkStart w:id="923" w:name="_Toc527969437"/>
      <w:bookmarkStart w:id="924" w:name="_Hlk512419016"/>
      <w:bookmarkEnd w:id="921"/>
      <w:bookmarkEnd w:id="922"/>
      <w:bookmarkEnd w:id="923"/>
      <w:bookmarkEnd w:id="924"/>
      <w:r>
        <w:t>6.5.2. Opis događaja – Potres</w:t>
      </w:r>
    </w:p>
    <w:p w:rsidR="008F0D85" w:rsidRDefault="00AE42A1">
      <w:pPr>
        <w:pStyle w:val="Naslov4"/>
      </w:pPr>
      <w:bookmarkStart w:id="925" w:name="_Hlk514061277"/>
      <w:bookmarkStart w:id="926" w:name="_Toc514142873"/>
      <w:bookmarkStart w:id="927" w:name="_Toc516128343"/>
      <w:bookmarkStart w:id="928" w:name="_Toc527969438"/>
      <w:bookmarkEnd w:id="925"/>
      <w:bookmarkEnd w:id="926"/>
      <w:bookmarkEnd w:id="927"/>
      <w:bookmarkEnd w:id="928"/>
      <w:r>
        <w:t>6.5.2.1. Događaj s najgorim mogućim posljedicama – Podrhtavanje tla na području Općine uzrokovano potresom jačine 8° MCS</w:t>
      </w:r>
    </w:p>
    <w:p w:rsidR="008F0D85" w:rsidRDefault="008F0D85"/>
    <w:p w:rsidR="008F0D85" w:rsidRDefault="00AE42A1">
      <w:bookmarkStart w:id="929" w:name="_Hlk503437081"/>
      <w:bookmarkEnd w:id="929"/>
      <w:r>
        <w:t>Za izradu procjene rizika pretpostav</w:t>
      </w:r>
      <w:r>
        <w:t xml:space="preserve">ljeno je podrhtavanje tla u Općini uzrokovano potresom na razini povratnog perioda usklađenog s propisima za projektiranje potresne otpornosti, </w:t>
      </w:r>
      <w:r>
        <w:lastRenderedPageBreak/>
        <w:t xml:space="preserve">odnosno događaj s najgorim mogućim posljedicama (DNP) odgovara potresnom djelovanju za provjeru GSN 475 godina. </w:t>
      </w:r>
    </w:p>
    <w:p w:rsidR="008F0D85" w:rsidRDefault="00AE42A1">
      <w:pPr>
        <w:rPr>
          <w:rFonts w:cs="Calibri"/>
        </w:rPr>
      </w:pPr>
      <w:r>
        <w:t xml:space="preserve">Stoga se može očekivati da će građevine koje su ispravno projektirane prema najnovijim seizmičkim propisima (zadovoljiti zahtjeve povezane s projektiranim graničnim stanjima (GSN, odnosno GSU), odnosno njihova oštećenja za odabrane događaje neće </w:t>
      </w:r>
      <w:r>
        <w:t>nadmašiti odgovarajuće razmjere. Potrebno je napomenuti da uobičajene građevine u pravilu nisu projektirane tako da zbog djelovanja potresa ne dožive nikakva oštećenja. Na području Općine, prema dostupnim podacima 40% građevina izgrađeno je do 1940-ih godi</w:t>
      </w:r>
      <w:r>
        <w:t>na te 40% do 1960-tih godina prošlog stoljeća, što znači da je realno očekivati štete na zgradama koje nastaju od potresa kao direktna posljedica dinamičkog odgovora konstrukcije na kretanje tla. Smatra se da su novije građevine projektirane da bez rušenja</w:t>
      </w:r>
      <w:r>
        <w:t xml:space="preserve"> mogu podnijeti potrese koji se mogu očekivati u toku životnog vijeka građevine. U propisima taj nivo opterećenja poznat je kao sigurnosni potres. Pri najjačem mogućem potresu koji je karakterističan za određeno područje (Općina – potres jačine 8</w:t>
      </w:r>
      <w:r>
        <w:rPr>
          <w:rFonts w:cs="Calibri"/>
        </w:rPr>
        <w:t>° MCS) odr</w:t>
      </w:r>
      <w:r>
        <w:rPr>
          <w:rFonts w:cs="Calibri"/>
        </w:rPr>
        <w:t xml:space="preserve">eđene građevine kritične infrastrukture mogu pretrpjeti oštećenja na ne nosivim elementima te neka oštećenja nosive konstrukcije, bez da je ugrožena funkcionalnost zgrade. </w:t>
      </w:r>
    </w:p>
    <w:p w:rsidR="008F0D85" w:rsidRDefault="00AE42A1">
      <w:pPr>
        <w:rPr>
          <w:szCs w:val="24"/>
        </w:rPr>
      </w:pPr>
      <w:bookmarkStart w:id="930" w:name="_Hlk5034370811"/>
      <w:bookmarkEnd w:id="930"/>
      <w:r>
        <w:rPr>
          <w:szCs w:val="24"/>
        </w:rPr>
        <w:t>U slučaju potresa od 8</w:t>
      </w:r>
      <w:r>
        <w:rPr>
          <w:rFonts w:cs="Calibri"/>
          <w:szCs w:val="24"/>
        </w:rPr>
        <w:t>°</w:t>
      </w:r>
      <w:r>
        <w:rPr>
          <w:szCs w:val="24"/>
        </w:rPr>
        <w:t xml:space="preserve"> i više po MCS objekti (transformatorske stanice, dalekovodi ) pretrpjeli bi oštećenja. Nakon potresa djelatnici HEP-a operator distribucijskog sustava d.o.o. – Elektra Koprivnica postupit će po vlastitom Planu zaštite i spašavanja od potresa. Prekid dobav</w:t>
      </w:r>
      <w:r>
        <w:rPr>
          <w:szCs w:val="24"/>
        </w:rPr>
        <w:t>e električnom energijom za naselja u Općini može biti uzrokovan rušenjem transformatorskih stanica i dalekovoda. Na navedenom području ne očekuju se potresi jači od 8</w:t>
      </w:r>
      <w:r>
        <w:rPr>
          <w:rFonts w:cs="Calibri"/>
          <w:szCs w:val="24"/>
        </w:rPr>
        <w:t>°</w:t>
      </w:r>
      <w:r>
        <w:rPr>
          <w:szCs w:val="24"/>
        </w:rPr>
        <w:t xml:space="preserve"> MCS. U slučaju razornog potresa za očekivati je pucanje cjevovoda i vodosprema što bi uz</w:t>
      </w:r>
      <w:r>
        <w:rPr>
          <w:szCs w:val="24"/>
        </w:rPr>
        <w:t>rokovalo dugotrajan prekid opskrbom vodom naseljima na području Općine.</w:t>
      </w:r>
    </w:p>
    <w:p w:rsidR="008F0D85" w:rsidRDefault="00AE42A1">
      <w:r>
        <w:rPr>
          <w:szCs w:val="24"/>
        </w:rPr>
        <w:t>Pucanje cjevovoda, prekidi vodovodne infrastrukture mogu značajno i na više dana ugroziti opskrbu pitkom vodom, a u hladnom zimskom periodu sa snijegom, i značajno produžiti vremena za</w:t>
      </w:r>
      <w:r>
        <w:rPr>
          <w:szCs w:val="24"/>
        </w:rPr>
        <w:t xml:space="preserve"> popravak.</w:t>
      </w:r>
    </w:p>
    <w:p w:rsidR="008F0D85" w:rsidRDefault="00AE42A1">
      <w:pPr>
        <w:rPr>
          <w:szCs w:val="24"/>
        </w:rPr>
      </w:pPr>
      <w:bookmarkStart w:id="931" w:name="_Hlk503437396"/>
      <w:r>
        <w:rPr>
          <w:szCs w:val="24"/>
        </w:rPr>
        <w:t>Procijenjeni intenzitet potresa mogućeg u području Općine imat će vidljive primarne posljedice na skladišne kapacitete individualnih poljoprivrednih gospodarstava, jer su isti najčešće građeni kao pomoćne građevine bez primjene protupotresnih mj</w:t>
      </w:r>
      <w:r>
        <w:rPr>
          <w:szCs w:val="24"/>
        </w:rPr>
        <w:t xml:space="preserve">era i slabije se </w:t>
      </w:r>
      <w:bookmarkEnd w:id="931"/>
      <w:r>
        <w:rPr>
          <w:szCs w:val="24"/>
        </w:rPr>
        <w:t>održavaju te brojne sekundarne posljedice u proizvodnji (nedostatak potrebne radne snage za proizvodnju, skladištenje, obradu, preradu i distribuciju, apatija i nemotiviranost stanovništva zbog gubitaka bližnjih, materijalnih šteta i neizv</w:t>
      </w:r>
      <w:r>
        <w:rPr>
          <w:szCs w:val="24"/>
        </w:rPr>
        <w:t>jesnosti za budućnost, i slično).</w:t>
      </w:r>
    </w:p>
    <w:p w:rsidR="008F0D85" w:rsidRDefault="00AE42A1">
      <w:pPr>
        <w:rPr>
          <w:szCs w:val="24"/>
        </w:rPr>
      </w:pPr>
      <w:r>
        <w:rPr>
          <w:szCs w:val="24"/>
        </w:rPr>
        <w:t>Procijenjeni intenzitet potresa u području Općine imao bi velike posljedice i zahtjeve prema sustavu Javnog zdravstva, kako u pogledu primarnih (zbrinjavanje ranjenih, traumatiziranih) tako i sekundarnih potreba (sprečavan</w:t>
      </w:r>
      <w:r>
        <w:rPr>
          <w:szCs w:val="24"/>
        </w:rPr>
        <w:t xml:space="preserve">je zaraza i epidemija, DDD). </w:t>
      </w:r>
    </w:p>
    <w:p w:rsidR="008F0D85" w:rsidRDefault="00AE42A1">
      <w:pPr>
        <w:rPr>
          <w:szCs w:val="24"/>
        </w:rPr>
      </w:pPr>
      <w:r>
        <w:rPr>
          <w:szCs w:val="24"/>
        </w:rPr>
        <w:t xml:space="preserve"> Značajna pomoć bila bi potrebna iz okolnih urbanih centara ili, ako su i isti obuhvaćeni potresom, iz udaljenijih dijelova države.</w:t>
      </w:r>
    </w:p>
    <w:p w:rsidR="008F0D85" w:rsidRDefault="00AE42A1">
      <w:pPr>
        <w:rPr>
          <w:szCs w:val="24"/>
        </w:rPr>
      </w:pPr>
      <w:r>
        <w:rPr>
          <w:szCs w:val="24"/>
        </w:rPr>
        <w:lastRenderedPageBreak/>
        <w:t>Potres očekivanog intenziteta može značajno oštetiti infrastrukturu, osobito kablove, a u peri</w:t>
      </w:r>
      <w:r>
        <w:rPr>
          <w:szCs w:val="24"/>
        </w:rPr>
        <w:t>odu velikih hladnoća oštećenja će biti obimnija (krutost i krtost materijala, osobito optičkih kabela). Prekidima vodova fiksne mreže narušio bi se radni režim mobilne mreže, osim kod operatera koji je povezan RR linkom. Interventne i mobilne ekipe operate</w:t>
      </w:r>
      <w:r>
        <w:rPr>
          <w:szCs w:val="24"/>
        </w:rPr>
        <w:t xml:space="preserve">ra (HT i drugi) imaju više pokretnih baznih stanica koje se komutiraju radio-putem te bi sustav pokretne telefonije bio uspostavljen u roku od 6-18 sati. </w:t>
      </w:r>
    </w:p>
    <w:p w:rsidR="008F0D85" w:rsidRDefault="00AE42A1">
      <w:pPr>
        <w:rPr>
          <w:szCs w:val="24"/>
        </w:rPr>
      </w:pPr>
      <w:r>
        <w:rPr>
          <w:szCs w:val="24"/>
        </w:rPr>
        <w:t>U slučaju potresa od 8</w:t>
      </w:r>
      <w:r>
        <w:rPr>
          <w:rFonts w:ascii="Century Gothic" w:hAnsi="Century Gothic"/>
          <w:szCs w:val="24"/>
        </w:rPr>
        <w:t>°</w:t>
      </w:r>
      <w:r>
        <w:rPr>
          <w:szCs w:val="24"/>
        </w:rPr>
        <w:t xml:space="preserve"> po MCS ljestvici moglo bi doći do pukotina u cestama te odrona cesta na strmi</w:t>
      </w:r>
      <w:r>
        <w:rPr>
          <w:szCs w:val="24"/>
        </w:rPr>
        <w:t xml:space="preserve">m kosinama što bi u konačnici moglo ugroziti prohodnost određenih cestovnih pravaca. </w:t>
      </w:r>
    </w:p>
    <w:p w:rsidR="008F0D85" w:rsidRDefault="00AE42A1">
      <w:pPr>
        <w:rPr>
          <w:szCs w:val="24"/>
        </w:rPr>
      </w:pPr>
      <w:r>
        <w:rPr>
          <w:szCs w:val="24"/>
        </w:rPr>
        <w:t>Potres očekivanog intenziteta uzrokuje i veće dilatacije tla te lomove potporne infrastrukture ceste. Naselja su višestruko (redundantno) povezana prometnicama, što bi ot</w:t>
      </w:r>
      <w:r>
        <w:rPr>
          <w:szCs w:val="24"/>
        </w:rPr>
        <w:t>ežalo promet i pristup istima. Nastaje potreba za angažiranjem građevinske mehanizacije radi osiguranja prohodnosti prometnica, kao i angažiranje DVD - ova i sustava CZ.</w:t>
      </w:r>
    </w:p>
    <w:p w:rsidR="008F0D85" w:rsidRDefault="00AE42A1">
      <w:pPr>
        <w:rPr>
          <w:rFonts w:cs="Calibri"/>
          <w:szCs w:val="24"/>
        </w:rPr>
      </w:pPr>
      <w:r>
        <w:rPr>
          <w:rFonts w:cs="Calibri"/>
          <w:szCs w:val="24"/>
        </w:rPr>
        <w:t>Specifičnost pojave potresa očituje se u tome da nastaje iznenada, nije ju moguće pred</w:t>
      </w:r>
      <w:r>
        <w:rPr>
          <w:rFonts w:cs="Calibri"/>
          <w:szCs w:val="24"/>
        </w:rPr>
        <w:t>vidjeti, a ni na koji način spriječiti. Važno je da se brzo reagira u tom trenutku kada potres nastane te da se u što kraćem mogućem roku sanira nastala šteta, kako se ne bi izazvale daljnje povrede i štete.</w:t>
      </w:r>
    </w:p>
    <w:p w:rsidR="008F0D85" w:rsidRDefault="00AE42A1">
      <w:pPr>
        <w:spacing w:after="0" w:line="360" w:lineRule="auto"/>
        <w:jc w:val="center"/>
        <w:rPr>
          <w:rFonts w:cs="Calibri"/>
          <w:b/>
          <w:bCs/>
          <w:sz w:val="20"/>
          <w:szCs w:val="24"/>
        </w:rPr>
      </w:pPr>
      <w:bookmarkStart w:id="932" w:name="_Hlk5124190161"/>
      <w:bookmarkStart w:id="933" w:name="_Toc514142954"/>
      <w:bookmarkStart w:id="934" w:name="_Toc516128438"/>
      <w:bookmarkStart w:id="935" w:name="_Toc527969535"/>
      <w:bookmarkEnd w:id="932"/>
      <w:r>
        <w:rPr>
          <w:rFonts w:cs="Arial"/>
          <w:b/>
          <w:bCs/>
          <w:sz w:val="20"/>
          <w:szCs w:val="20"/>
        </w:rPr>
        <w:t xml:space="preserve">Tablica </w:t>
      </w:r>
      <w:r>
        <w:rPr>
          <w:rFonts w:cs="Arial"/>
          <w:b/>
          <w:bCs/>
          <w:sz w:val="20"/>
          <w:szCs w:val="20"/>
        </w:rPr>
        <w:fldChar w:fldCharType="begin"/>
      </w:r>
      <w:r>
        <w:instrText>SEQ Tablica \* ARABIC</w:instrText>
      </w:r>
      <w:r>
        <w:fldChar w:fldCharType="separate"/>
      </w:r>
      <w:r>
        <w:t>53</w:t>
      </w:r>
      <w:r>
        <w:fldChar w:fldCharType="end"/>
      </w:r>
      <w:bookmarkEnd w:id="933"/>
      <w:bookmarkEnd w:id="934"/>
      <w:bookmarkEnd w:id="935"/>
      <w:r>
        <w:rPr>
          <w:rFonts w:cs="Arial"/>
          <w:b/>
          <w:bCs/>
          <w:sz w:val="20"/>
          <w:szCs w:val="20"/>
        </w:rPr>
        <w:t>: Prikaz moguć</w:t>
      </w:r>
      <w:r>
        <w:rPr>
          <w:rFonts w:cs="Arial"/>
          <w:b/>
          <w:bCs/>
          <w:sz w:val="20"/>
          <w:szCs w:val="20"/>
        </w:rPr>
        <w:t>ih šteta uslijed potresa</w:t>
      </w:r>
    </w:p>
    <w:tbl>
      <w:tblPr>
        <w:tblW w:w="9060"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2467"/>
        <w:gridCol w:w="6593"/>
      </w:tblGrid>
      <w:tr w:rsidR="008F0D85">
        <w:trPr>
          <w:jc w:val="center"/>
        </w:trPr>
        <w:tc>
          <w:tcPr>
            <w:tcW w:w="246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Vrsta štete</w:t>
            </w:r>
          </w:p>
        </w:tc>
        <w:tc>
          <w:tcPr>
            <w:tcW w:w="659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Pokazatelj</w:t>
            </w:r>
          </w:p>
        </w:tc>
      </w:tr>
      <w:tr w:rsidR="008F0D85">
        <w:trPr>
          <w:jc w:val="center"/>
        </w:trPr>
        <w:tc>
          <w:tcPr>
            <w:tcW w:w="246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left"/>
              <w:rPr>
                <w:b/>
                <w:sz w:val="20"/>
                <w:szCs w:val="20"/>
              </w:rPr>
            </w:pPr>
            <w:r>
              <w:rPr>
                <w:b/>
                <w:sz w:val="20"/>
                <w:szCs w:val="20"/>
              </w:rPr>
              <w:t>1. Direktne štete</w:t>
            </w:r>
          </w:p>
        </w:tc>
        <w:tc>
          <w:tcPr>
            <w:tcW w:w="6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Šteta na pokretnoj i nepokretnoj imovini</w:t>
            </w:r>
          </w:p>
        </w:tc>
      </w:tr>
      <w:tr w:rsidR="008F0D85">
        <w:trPr>
          <w:jc w:val="center"/>
        </w:trPr>
        <w:tc>
          <w:tcPr>
            <w:tcW w:w="246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rPr>
                <w:b/>
                <w:sz w:val="20"/>
                <w:szCs w:val="20"/>
              </w:rPr>
            </w:pPr>
          </w:p>
        </w:tc>
        <w:tc>
          <w:tcPr>
            <w:tcW w:w="6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Šteta na sredstvima za proizvodnju i rad</w:t>
            </w:r>
          </w:p>
        </w:tc>
      </w:tr>
      <w:tr w:rsidR="008F0D85">
        <w:trPr>
          <w:jc w:val="center"/>
        </w:trPr>
        <w:tc>
          <w:tcPr>
            <w:tcW w:w="246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rPr>
                <w:b/>
                <w:sz w:val="20"/>
                <w:szCs w:val="20"/>
              </w:rPr>
            </w:pPr>
          </w:p>
        </w:tc>
        <w:tc>
          <w:tcPr>
            <w:tcW w:w="6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Štete na javnim zgradama ustanovama koje ne spadaju pod druge kriterije</w:t>
            </w:r>
          </w:p>
        </w:tc>
      </w:tr>
      <w:tr w:rsidR="008F0D85">
        <w:trPr>
          <w:jc w:val="center"/>
        </w:trPr>
        <w:tc>
          <w:tcPr>
            <w:tcW w:w="246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rPr>
                <w:b/>
                <w:sz w:val="20"/>
                <w:szCs w:val="20"/>
              </w:rPr>
            </w:pPr>
          </w:p>
        </w:tc>
        <w:tc>
          <w:tcPr>
            <w:tcW w:w="6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Trošak sanacije, </w:t>
            </w:r>
            <w:r>
              <w:rPr>
                <w:sz w:val="20"/>
                <w:szCs w:val="20"/>
              </w:rPr>
              <w:t>oporavka, asanacije te srodni troškovi</w:t>
            </w:r>
          </w:p>
        </w:tc>
      </w:tr>
      <w:tr w:rsidR="008F0D85">
        <w:trPr>
          <w:jc w:val="center"/>
        </w:trPr>
        <w:tc>
          <w:tcPr>
            <w:tcW w:w="246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rPr>
                <w:b/>
                <w:sz w:val="20"/>
                <w:szCs w:val="20"/>
              </w:rPr>
            </w:pPr>
          </w:p>
        </w:tc>
        <w:tc>
          <w:tcPr>
            <w:tcW w:w="6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Troškovi spašavanja, liječenja te slični troškovi</w:t>
            </w:r>
          </w:p>
        </w:tc>
      </w:tr>
      <w:tr w:rsidR="008F0D85">
        <w:trPr>
          <w:jc w:val="center"/>
        </w:trPr>
        <w:tc>
          <w:tcPr>
            <w:tcW w:w="246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rPr>
                <w:b/>
                <w:sz w:val="20"/>
                <w:szCs w:val="20"/>
              </w:rPr>
            </w:pPr>
          </w:p>
        </w:tc>
        <w:tc>
          <w:tcPr>
            <w:tcW w:w="6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Gubitak dobiti</w:t>
            </w:r>
          </w:p>
        </w:tc>
      </w:tr>
      <w:tr w:rsidR="008F0D85">
        <w:trPr>
          <w:jc w:val="center"/>
        </w:trPr>
        <w:tc>
          <w:tcPr>
            <w:tcW w:w="246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rPr>
                <w:b/>
                <w:sz w:val="20"/>
                <w:szCs w:val="20"/>
              </w:rPr>
            </w:pPr>
          </w:p>
        </w:tc>
        <w:tc>
          <w:tcPr>
            <w:tcW w:w="6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Gubitak repromaterijala</w:t>
            </w:r>
          </w:p>
        </w:tc>
      </w:tr>
      <w:tr w:rsidR="008F0D85">
        <w:trPr>
          <w:jc w:val="center"/>
        </w:trPr>
        <w:tc>
          <w:tcPr>
            <w:tcW w:w="246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rPr>
                <w:b/>
                <w:sz w:val="20"/>
                <w:szCs w:val="20"/>
              </w:rPr>
            </w:pPr>
            <w:r>
              <w:rPr>
                <w:b/>
                <w:sz w:val="20"/>
                <w:szCs w:val="20"/>
              </w:rPr>
              <w:t>2. Indirektne štete</w:t>
            </w:r>
          </w:p>
        </w:tc>
        <w:tc>
          <w:tcPr>
            <w:tcW w:w="6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Izostanak radnika s posla (potrebno je procijeniti trošak izostanka s posla)</w:t>
            </w:r>
          </w:p>
        </w:tc>
      </w:tr>
      <w:tr w:rsidR="008F0D85">
        <w:trPr>
          <w:jc w:val="center"/>
        </w:trPr>
        <w:tc>
          <w:tcPr>
            <w:tcW w:w="246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rPr>
                <w:b/>
                <w:sz w:val="20"/>
                <w:szCs w:val="20"/>
              </w:rPr>
            </w:pPr>
          </w:p>
        </w:tc>
        <w:tc>
          <w:tcPr>
            <w:tcW w:w="6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Gubitak poslova i </w:t>
            </w:r>
            <w:r>
              <w:rPr>
                <w:sz w:val="20"/>
                <w:szCs w:val="20"/>
              </w:rPr>
              <w:t>prestanak poslovanja (potrebno je procijeniti trošak)</w:t>
            </w:r>
          </w:p>
        </w:tc>
      </w:tr>
      <w:tr w:rsidR="008F0D85">
        <w:trPr>
          <w:jc w:val="center"/>
        </w:trPr>
        <w:tc>
          <w:tcPr>
            <w:tcW w:w="246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rPr>
                <w:b/>
                <w:sz w:val="20"/>
                <w:szCs w:val="20"/>
              </w:rPr>
            </w:pPr>
          </w:p>
        </w:tc>
        <w:tc>
          <w:tcPr>
            <w:tcW w:w="6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Gubitak prestiža i renomea (potrebno je procijeniti trošak)</w:t>
            </w:r>
          </w:p>
        </w:tc>
      </w:tr>
      <w:tr w:rsidR="008F0D85">
        <w:trPr>
          <w:jc w:val="center"/>
        </w:trPr>
        <w:tc>
          <w:tcPr>
            <w:tcW w:w="246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rPr>
                <w:b/>
                <w:sz w:val="20"/>
                <w:szCs w:val="20"/>
              </w:rPr>
            </w:pPr>
          </w:p>
        </w:tc>
        <w:tc>
          <w:tcPr>
            <w:tcW w:w="6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Nedostatak radne snage (potrebno je procijeniti trošak)</w:t>
            </w:r>
          </w:p>
        </w:tc>
      </w:tr>
      <w:tr w:rsidR="008F0D85">
        <w:trPr>
          <w:jc w:val="center"/>
        </w:trPr>
        <w:tc>
          <w:tcPr>
            <w:tcW w:w="246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6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left"/>
              <w:rPr>
                <w:sz w:val="20"/>
                <w:szCs w:val="20"/>
              </w:rPr>
            </w:pPr>
            <w:r>
              <w:rPr>
                <w:sz w:val="20"/>
                <w:szCs w:val="20"/>
              </w:rPr>
              <w:t>Pad prihoda</w:t>
            </w:r>
          </w:p>
        </w:tc>
      </w:tr>
      <w:tr w:rsidR="008F0D85">
        <w:trPr>
          <w:jc w:val="center"/>
        </w:trPr>
        <w:tc>
          <w:tcPr>
            <w:tcW w:w="246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65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left"/>
              <w:rPr>
                <w:sz w:val="20"/>
                <w:szCs w:val="20"/>
              </w:rPr>
            </w:pPr>
            <w:bookmarkStart w:id="936" w:name="_Hlk512419129"/>
            <w:bookmarkEnd w:id="936"/>
            <w:r>
              <w:rPr>
                <w:sz w:val="20"/>
                <w:szCs w:val="20"/>
              </w:rPr>
              <w:t>Pad proračuna</w:t>
            </w:r>
          </w:p>
        </w:tc>
      </w:tr>
    </w:tbl>
    <w:p w:rsidR="008F0D85" w:rsidRDefault="008F0D85"/>
    <w:p w:rsidR="008F0D85" w:rsidRDefault="008F0D85"/>
    <w:p w:rsidR="008F0D85" w:rsidRDefault="008F0D85"/>
    <w:p w:rsidR="008F0D85" w:rsidRDefault="008F0D85"/>
    <w:p w:rsidR="008F0D85" w:rsidRDefault="008F0D85"/>
    <w:p w:rsidR="008F0D85" w:rsidRDefault="00AE42A1">
      <w:pPr>
        <w:rPr>
          <w:b/>
          <w:szCs w:val="24"/>
          <w:u w:val="single"/>
        </w:rPr>
      </w:pPr>
      <w:r>
        <w:rPr>
          <w:b/>
          <w:szCs w:val="24"/>
          <w:u w:val="single"/>
        </w:rPr>
        <w:lastRenderedPageBreak/>
        <w:t xml:space="preserve">PROCJENA ŠTETE NA STAMBENOM FONDU NA </w:t>
      </w:r>
      <w:r>
        <w:rPr>
          <w:b/>
          <w:szCs w:val="24"/>
          <w:u w:val="single"/>
        </w:rPr>
        <w:t>PODRUČJU OPĆINE (potres 8</w:t>
      </w:r>
      <w:r>
        <w:rPr>
          <w:rFonts w:cs="Calibri"/>
          <w:b/>
          <w:szCs w:val="24"/>
          <w:u w:val="single"/>
        </w:rPr>
        <w:t xml:space="preserve">° </w:t>
      </w:r>
      <w:r>
        <w:rPr>
          <w:b/>
          <w:szCs w:val="24"/>
          <w:u w:val="single"/>
        </w:rPr>
        <w:t>MCS vršnog ubrzanja 2,94 m/s</w:t>
      </w:r>
      <w:r>
        <w:rPr>
          <w:b/>
          <w:szCs w:val="24"/>
          <w:u w:val="single"/>
          <w:vertAlign w:val="superscript"/>
        </w:rPr>
        <w:t>2</w:t>
      </w:r>
      <w:r>
        <w:rPr>
          <w:b/>
          <w:szCs w:val="24"/>
          <w:u w:val="single"/>
        </w:rPr>
        <w:t>)</w:t>
      </w:r>
    </w:p>
    <w:p w:rsidR="008F0D85" w:rsidRDefault="00AE42A1">
      <w:pPr>
        <w:numPr>
          <w:ilvl w:val="0"/>
          <w:numId w:val="66"/>
        </w:numPr>
        <w:spacing w:after="0"/>
        <w:rPr>
          <w:szCs w:val="24"/>
        </w:rPr>
      </w:pPr>
      <w:r>
        <w:rPr>
          <w:szCs w:val="24"/>
        </w:rPr>
        <w:t>potres jačine 8</w:t>
      </w:r>
      <w:r>
        <w:rPr>
          <w:rFonts w:cs="Calibri"/>
          <w:szCs w:val="24"/>
        </w:rPr>
        <w:t>°</w:t>
      </w:r>
      <w:r>
        <w:rPr>
          <w:szCs w:val="24"/>
        </w:rPr>
        <w:t xml:space="preserve"> MCS ljestvice je pogodio Općinu,</w:t>
      </w:r>
    </w:p>
    <w:p w:rsidR="008F0D85" w:rsidRDefault="00AE42A1">
      <w:pPr>
        <w:numPr>
          <w:ilvl w:val="0"/>
          <w:numId w:val="66"/>
        </w:numPr>
        <w:spacing w:after="0"/>
        <w:contextualSpacing/>
        <w:rPr>
          <w:szCs w:val="24"/>
        </w:rPr>
      </w:pPr>
      <w:r>
        <w:rPr>
          <w:szCs w:val="24"/>
        </w:rPr>
        <w:t>akceleracija koja odgovara VIII. stupnju potresa iznosi 2,94 m/s</w:t>
      </w:r>
      <w:r>
        <w:rPr>
          <w:szCs w:val="24"/>
          <w:vertAlign w:val="superscript"/>
        </w:rPr>
        <w:t>2</w:t>
      </w:r>
      <w:r>
        <w:rPr>
          <w:szCs w:val="24"/>
        </w:rPr>
        <w:t xml:space="preserve"> i jednaka je na cijelom području,</w:t>
      </w:r>
    </w:p>
    <w:p w:rsidR="008F0D85" w:rsidRDefault="00AE42A1">
      <w:pPr>
        <w:numPr>
          <w:ilvl w:val="0"/>
          <w:numId w:val="66"/>
        </w:numPr>
        <w:spacing w:after="0"/>
        <w:contextualSpacing/>
        <w:rPr>
          <w:szCs w:val="24"/>
        </w:rPr>
      </w:pPr>
      <w:r>
        <w:rPr>
          <w:szCs w:val="24"/>
        </w:rPr>
        <w:t>trajanje potresa je 15 sekundi,</w:t>
      </w:r>
    </w:p>
    <w:p w:rsidR="008F0D85" w:rsidRDefault="00AE42A1">
      <w:pPr>
        <w:numPr>
          <w:ilvl w:val="0"/>
          <w:numId w:val="66"/>
        </w:numPr>
        <w:spacing w:after="0"/>
        <w:contextualSpacing/>
        <w:rPr>
          <w:szCs w:val="24"/>
        </w:rPr>
      </w:pPr>
      <w:r>
        <w:rPr>
          <w:szCs w:val="24"/>
        </w:rPr>
        <w:t>ukupan broj stan</w:t>
      </w:r>
      <w:r>
        <w:rPr>
          <w:szCs w:val="24"/>
        </w:rPr>
        <w:t>ovnika je 3.306,</w:t>
      </w:r>
    </w:p>
    <w:p w:rsidR="008F0D85" w:rsidRDefault="00AE42A1">
      <w:pPr>
        <w:numPr>
          <w:ilvl w:val="0"/>
          <w:numId w:val="66"/>
        </w:numPr>
        <w:spacing w:after="0"/>
        <w:contextualSpacing/>
        <w:rPr>
          <w:szCs w:val="24"/>
        </w:rPr>
      </w:pPr>
      <w:r>
        <w:rPr>
          <w:szCs w:val="24"/>
        </w:rPr>
        <w:t xml:space="preserve">ukupan broj stambenih jedinica je 1.294, </w:t>
      </w:r>
    </w:p>
    <w:p w:rsidR="008F0D85" w:rsidRDefault="00AE42A1">
      <w:pPr>
        <w:numPr>
          <w:ilvl w:val="0"/>
          <w:numId w:val="66"/>
        </w:numPr>
        <w:spacing w:after="0"/>
        <w:contextualSpacing/>
        <w:rPr>
          <w:szCs w:val="24"/>
        </w:rPr>
      </w:pPr>
      <w:r>
        <w:rPr>
          <w:szCs w:val="24"/>
        </w:rPr>
        <w:t xml:space="preserve">u cilju sagledavanja mogućih šteta korišten je proračun koji određuje štete na objektima po kategorijama gradnje, broj ranjenih i poginulih, količinu građevinskog otpada koji bi nastao kod potresa </w:t>
      </w:r>
      <w:r>
        <w:rPr>
          <w:szCs w:val="24"/>
        </w:rPr>
        <w:t>8</w:t>
      </w:r>
      <w:r>
        <w:rPr>
          <w:rFonts w:cs="Calibri"/>
          <w:szCs w:val="24"/>
        </w:rPr>
        <w:t>°</w:t>
      </w:r>
      <w:r>
        <w:rPr>
          <w:szCs w:val="24"/>
        </w:rPr>
        <w:t xml:space="preserve"> stupnjeva MCS, površinu zemljišta potrebnu za deponiranje tolike količine otpada, potrebnu mehanizaciju za uklanjanje količine od 20% otpada koliko je u prva dva dana potrebno ukloniti zbog spašavanja zatrpanih osoba,</w:t>
      </w:r>
    </w:p>
    <w:p w:rsidR="008F0D85" w:rsidRDefault="00AE42A1">
      <w:pPr>
        <w:numPr>
          <w:ilvl w:val="0"/>
          <w:numId w:val="66"/>
        </w:numPr>
        <w:contextualSpacing/>
        <w:jc w:val="left"/>
        <w:rPr>
          <w:szCs w:val="24"/>
          <w:lang w:val="en-US"/>
        </w:rPr>
      </w:pPr>
      <w:r>
        <w:rPr>
          <w:szCs w:val="24"/>
          <w:lang w:val="en-US"/>
        </w:rPr>
        <w:t>u trenutku potresa svi se stanovnic</w:t>
      </w:r>
      <w:r>
        <w:rPr>
          <w:szCs w:val="24"/>
          <w:lang w:val="en-US"/>
        </w:rPr>
        <w:t>i nalaze u stambenim zgradama.</w:t>
      </w:r>
    </w:p>
    <w:p w:rsidR="008F0D85" w:rsidRDefault="008F0D85">
      <w:pPr>
        <w:contextualSpacing/>
        <w:jc w:val="left"/>
        <w:rPr>
          <w:szCs w:val="24"/>
          <w:lang w:val="en-US"/>
        </w:rPr>
      </w:pPr>
    </w:p>
    <w:p w:rsidR="008F0D85" w:rsidRDefault="00AE42A1">
      <w:pPr>
        <w:spacing w:after="0"/>
        <w:rPr>
          <w:u w:val="single"/>
        </w:rPr>
      </w:pPr>
      <w:r>
        <w:rPr>
          <w:u w:val="single"/>
        </w:rPr>
        <w:t>Podjela objekata po kategoriji gradnje</w:t>
      </w:r>
    </w:p>
    <w:p w:rsidR="008F0D85" w:rsidRDefault="008F0D85">
      <w:pPr>
        <w:spacing w:after="0"/>
        <w:rPr>
          <w:u w:val="single"/>
        </w:rPr>
      </w:pPr>
    </w:p>
    <w:p w:rsidR="008F0D85" w:rsidRDefault="00AE42A1">
      <w:pPr>
        <w:spacing w:after="0"/>
      </w:pPr>
      <w:r>
        <w:t xml:space="preserve">I   – zidane zgrade (zgrade zidane do 1940. godine), što znači da su objekti građeni uglavnom   od cigle vezane žbukom te sa stropovima od drvenih greda i nešto armiranobetonskih, ali </w:t>
      </w:r>
      <w:r>
        <w:t>bez horizontalnih i vertikalnih serklaža</w:t>
      </w:r>
    </w:p>
    <w:p w:rsidR="008F0D85" w:rsidRDefault="00AE42A1">
      <w:pPr>
        <w:spacing w:after="0"/>
      </w:pPr>
      <w:r>
        <w:t>II  – zidane zgrade s armiranobetonskim serklažama (od 1945-tih godina do 1960-tih godina)</w:t>
      </w:r>
    </w:p>
    <w:p w:rsidR="008F0D85" w:rsidRDefault="00AE42A1">
      <w:pPr>
        <w:spacing w:after="0"/>
      </w:pPr>
      <w:r>
        <w:t>III – armiranobetonske skeletne zgrade (od 1960-tih godina do danas)</w:t>
      </w:r>
    </w:p>
    <w:p w:rsidR="008F0D85" w:rsidRDefault="00AE42A1">
      <w:pPr>
        <w:spacing w:after="0"/>
      </w:pPr>
      <w:r>
        <w:t>IV – zgrade sa sustavom armiranobetonskih nosivih zidov</w:t>
      </w:r>
      <w:r>
        <w:t>a (od 1960-tih godina do danas)</w:t>
      </w:r>
    </w:p>
    <w:p w:rsidR="008F0D85" w:rsidRDefault="00AE42A1">
      <w:pPr>
        <w:spacing w:after="0"/>
      </w:pPr>
      <w:bookmarkStart w:id="937" w:name="_Hlk514061399"/>
      <w:bookmarkStart w:id="938" w:name="_Hlk503437871"/>
      <w:bookmarkEnd w:id="937"/>
      <w:bookmarkEnd w:id="938"/>
      <w:r>
        <w:t>V  – skeletne zgrade s armiranobetonskim nosivim zidovima (od 1960-tih godina do danas)</w:t>
      </w:r>
    </w:p>
    <w:p w:rsidR="008F0D85" w:rsidRDefault="008F0D85">
      <w:pPr>
        <w:rPr>
          <w:rFonts w:cs="Calibri"/>
          <w:szCs w:val="24"/>
        </w:rPr>
      </w:pPr>
    </w:p>
    <w:p w:rsidR="008F0D85" w:rsidRDefault="00AE42A1">
      <w:pPr>
        <w:tabs>
          <w:tab w:val="left" w:pos="2160"/>
        </w:tabs>
        <w:suppressAutoHyphens/>
        <w:spacing w:after="0"/>
        <w:textAlignment w:val="baseline"/>
        <w:rPr>
          <w:rFonts w:cs="Calibri"/>
          <w:szCs w:val="24"/>
          <w:lang w:eastAsia="hr-HR"/>
        </w:rPr>
      </w:pPr>
      <w:r>
        <w:rPr>
          <w:rFonts w:cs="Calibri"/>
          <w:szCs w:val="24"/>
          <w:lang w:eastAsia="hr-HR"/>
        </w:rPr>
        <w:t xml:space="preserve">Analizom iz Prostornog Plana kartografa s tipovima gradnje odredilo se koliko približno objekata spada u određenu kategoriju (I do V) </w:t>
      </w:r>
      <w:r>
        <w:rPr>
          <w:rFonts w:cs="Calibri"/>
          <w:szCs w:val="24"/>
          <w:lang w:eastAsia="hr-HR"/>
        </w:rPr>
        <w:t>po vremenu gradnje i došlo se do sljedećih najbližih aproksimacija :</w:t>
      </w:r>
    </w:p>
    <w:p w:rsidR="008F0D85" w:rsidRDefault="00AE42A1">
      <w:pPr>
        <w:numPr>
          <w:ilvl w:val="0"/>
          <w:numId w:val="67"/>
        </w:numPr>
        <w:tabs>
          <w:tab w:val="left" w:pos="2160"/>
        </w:tabs>
        <w:suppressAutoHyphens/>
        <w:spacing w:after="0"/>
        <w:contextualSpacing/>
        <w:textAlignment w:val="baseline"/>
        <w:rPr>
          <w:rFonts w:cs="Calibri"/>
          <w:szCs w:val="24"/>
          <w:lang w:val="en-US" w:eastAsia="hr-HR"/>
        </w:rPr>
      </w:pPr>
      <w:r>
        <w:rPr>
          <w:rFonts w:cs="Calibri"/>
          <w:szCs w:val="24"/>
          <w:lang w:val="en-US" w:eastAsia="hr-HR"/>
        </w:rPr>
        <w:t>40 % zidane zgrade Tip I</w:t>
      </w:r>
    </w:p>
    <w:p w:rsidR="008F0D85" w:rsidRDefault="00AE42A1">
      <w:pPr>
        <w:numPr>
          <w:ilvl w:val="0"/>
          <w:numId w:val="67"/>
        </w:numPr>
        <w:tabs>
          <w:tab w:val="left" w:pos="2160"/>
        </w:tabs>
        <w:suppressAutoHyphens/>
        <w:spacing w:after="0"/>
        <w:contextualSpacing/>
        <w:textAlignment w:val="baseline"/>
        <w:rPr>
          <w:rFonts w:cs="Calibri"/>
          <w:szCs w:val="24"/>
          <w:lang w:val="en-US" w:eastAsia="hr-HR"/>
        </w:rPr>
      </w:pPr>
      <w:r>
        <w:rPr>
          <w:rFonts w:cs="Calibri"/>
          <w:szCs w:val="24"/>
          <w:lang w:val="en-US" w:eastAsia="hr-HR"/>
        </w:rPr>
        <w:t>40 % zidane zgrade s armirano betonskim serklažima Tip II (od 1945-tih godina do 1960-tih godina)</w:t>
      </w:r>
    </w:p>
    <w:p w:rsidR="008F0D85" w:rsidRDefault="00AE42A1">
      <w:pPr>
        <w:numPr>
          <w:ilvl w:val="0"/>
          <w:numId w:val="67"/>
        </w:numPr>
        <w:tabs>
          <w:tab w:val="left" w:pos="2160"/>
        </w:tabs>
        <w:suppressAutoHyphens/>
        <w:spacing w:after="0"/>
        <w:contextualSpacing/>
        <w:textAlignment w:val="baseline"/>
        <w:rPr>
          <w:rFonts w:cs="Calibri"/>
          <w:szCs w:val="24"/>
          <w:lang w:val="en-US" w:eastAsia="hr-HR"/>
        </w:rPr>
      </w:pPr>
      <w:r>
        <w:rPr>
          <w:rFonts w:cs="Calibri"/>
          <w:szCs w:val="24"/>
          <w:lang w:val="en-US" w:eastAsia="hr-HR"/>
        </w:rPr>
        <w:t xml:space="preserve">10 % armiranobetonske skeletne zgrade Tip III (od </w:t>
      </w:r>
      <w:r>
        <w:rPr>
          <w:rFonts w:cs="Calibri"/>
          <w:szCs w:val="24"/>
          <w:lang w:val="en-US" w:eastAsia="hr-HR"/>
        </w:rPr>
        <w:t>1960-tih godina do danas)</w:t>
      </w:r>
    </w:p>
    <w:p w:rsidR="008F0D85" w:rsidRDefault="00AE42A1">
      <w:pPr>
        <w:numPr>
          <w:ilvl w:val="0"/>
          <w:numId w:val="67"/>
        </w:numPr>
        <w:tabs>
          <w:tab w:val="left" w:pos="2160"/>
        </w:tabs>
        <w:suppressAutoHyphens/>
        <w:spacing w:after="0"/>
        <w:contextualSpacing/>
        <w:textAlignment w:val="baseline"/>
        <w:rPr>
          <w:rFonts w:cs="Calibri"/>
          <w:szCs w:val="24"/>
          <w:lang w:val="en-US" w:eastAsia="hr-HR"/>
        </w:rPr>
      </w:pPr>
      <w:r>
        <w:rPr>
          <w:rFonts w:cs="Calibri"/>
          <w:szCs w:val="24"/>
          <w:lang w:val="en-US" w:eastAsia="hr-HR"/>
        </w:rPr>
        <w:t>5 % zgrade sa sustavom armiranobetonskih nosivih zidova Tip IV (od 1960-tih godina do danas)</w:t>
      </w:r>
    </w:p>
    <w:p w:rsidR="008F0D85" w:rsidRDefault="00AE42A1">
      <w:pPr>
        <w:numPr>
          <w:ilvl w:val="0"/>
          <w:numId w:val="67"/>
        </w:numPr>
        <w:tabs>
          <w:tab w:val="left" w:pos="2160"/>
        </w:tabs>
        <w:suppressAutoHyphens/>
        <w:spacing w:after="0"/>
        <w:contextualSpacing/>
        <w:textAlignment w:val="baseline"/>
        <w:rPr>
          <w:rFonts w:cs="Calibri"/>
          <w:szCs w:val="24"/>
          <w:lang w:val="en-US" w:eastAsia="hr-HR"/>
        </w:rPr>
      </w:pPr>
      <w:r>
        <w:rPr>
          <w:rFonts w:cs="Calibri"/>
          <w:szCs w:val="24"/>
          <w:lang w:val="en-US" w:eastAsia="hr-HR"/>
        </w:rPr>
        <w:t>5 % skeletne zgrade s armiranobetonskim nosivim zidovima Tip V (od 1960-tih godina do danas).</w:t>
      </w:r>
    </w:p>
    <w:p w:rsidR="008F0D85" w:rsidRDefault="008F0D85"/>
    <w:p w:rsidR="008F0D85" w:rsidRDefault="008F0D85"/>
    <w:p w:rsidR="008F0D85" w:rsidRDefault="00AE42A1">
      <w:pPr>
        <w:spacing w:after="0"/>
        <w:rPr>
          <w:rFonts w:cs="Arial"/>
          <w:bCs/>
          <w:szCs w:val="24"/>
          <w:u w:val="single"/>
        </w:rPr>
      </w:pPr>
      <w:r>
        <w:rPr>
          <w:rFonts w:cs="Arial"/>
          <w:bCs/>
          <w:szCs w:val="24"/>
          <w:u w:val="single"/>
        </w:rPr>
        <w:lastRenderedPageBreak/>
        <w:t>U kategoriju I (zidane zgrade) svrstano j</w:t>
      </w:r>
      <w:r>
        <w:rPr>
          <w:rFonts w:cs="Arial"/>
          <w:bCs/>
          <w:szCs w:val="24"/>
          <w:u w:val="single"/>
        </w:rPr>
        <w:t>e 40% objekata ili 518 zidana objekta stare jezgre izgrađene do 1940.godine</w:t>
      </w:r>
    </w:p>
    <w:p w:rsidR="008F0D85" w:rsidRDefault="008F0D85">
      <w:pPr>
        <w:spacing w:after="0"/>
        <w:rPr>
          <w:rFonts w:cs="Arial"/>
          <w:bCs/>
          <w:szCs w:val="24"/>
          <w:u w:val="single"/>
        </w:rPr>
      </w:pPr>
    </w:p>
    <w:p w:rsidR="008F0D85" w:rsidRDefault="00AE42A1">
      <w:pPr>
        <w:numPr>
          <w:ilvl w:val="0"/>
          <w:numId w:val="68"/>
        </w:numPr>
        <w:contextualSpacing/>
        <w:jc w:val="left"/>
        <w:rPr>
          <w:rFonts w:cs="Arial"/>
          <w:color w:val="000000"/>
          <w:szCs w:val="24"/>
          <w:lang w:val="en-US"/>
        </w:rPr>
      </w:pPr>
      <w:r>
        <w:rPr>
          <w:rFonts w:cs="Arial"/>
          <w:color w:val="000000"/>
          <w:szCs w:val="24"/>
          <w:lang w:val="en-US"/>
        </w:rPr>
        <w:t xml:space="preserve">8% ili 41 objekata neće imati nikakvih oštećenja </w:t>
      </w:r>
    </w:p>
    <w:p w:rsidR="008F0D85" w:rsidRDefault="00AE42A1">
      <w:pPr>
        <w:numPr>
          <w:ilvl w:val="0"/>
          <w:numId w:val="68"/>
        </w:numPr>
        <w:contextualSpacing/>
        <w:jc w:val="left"/>
        <w:rPr>
          <w:rFonts w:cs="Arial"/>
          <w:color w:val="000000"/>
          <w:szCs w:val="24"/>
          <w:lang w:val="en-US"/>
        </w:rPr>
      </w:pPr>
      <w:r>
        <w:rPr>
          <w:rFonts w:cs="Arial"/>
          <w:color w:val="000000"/>
          <w:szCs w:val="24"/>
          <w:lang w:val="en-US"/>
        </w:rPr>
        <w:t>10% ili 52 objekata imat će neznatna oštećenja i 6% građevinske štete</w:t>
      </w:r>
    </w:p>
    <w:p w:rsidR="008F0D85" w:rsidRDefault="00AE42A1">
      <w:pPr>
        <w:numPr>
          <w:ilvl w:val="0"/>
          <w:numId w:val="68"/>
        </w:numPr>
        <w:contextualSpacing/>
        <w:jc w:val="left"/>
        <w:rPr>
          <w:rFonts w:cs="Arial"/>
          <w:color w:val="000000"/>
          <w:szCs w:val="24"/>
          <w:lang w:val="en-US"/>
        </w:rPr>
      </w:pPr>
      <w:r>
        <w:rPr>
          <w:rFonts w:cs="Arial"/>
          <w:color w:val="000000"/>
          <w:szCs w:val="24"/>
          <w:lang w:val="en-US"/>
        </w:rPr>
        <w:t>30% ili 155 objekata imat će umjeren stupanj oštećenja i 20</w:t>
      </w:r>
      <w:r>
        <w:rPr>
          <w:rFonts w:cs="Arial"/>
          <w:color w:val="000000"/>
          <w:szCs w:val="24"/>
          <w:lang w:val="en-US"/>
        </w:rPr>
        <w:t>% građevinske štete</w:t>
      </w:r>
    </w:p>
    <w:p w:rsidR="008F0D85" w:rsidRDefault="00AE42A1">
      <w:pPr>
        <w:numPr>
          <w:ilvl w:val="0"/>
          <w:numId w:val="68"/>
        </w:numPr>
        <w:contextualSpacing/>
        <w:jc w:val="left"/>
        <w:rPr>
          <w:rFonts w:cs="Arial"/>
          <w:color w:val="000000"/>
          <w:szCs w:val="24"/>
          <w:lang w:val="en-US"/>
        </w:rPr>
      </w:pPr>
      <w:r>
        <w:rPr>
          <w:rFonts w:cs="Arial"/>
          <w:color w:val="000000"/>
          <w:szCs w:val="24"/>
          <w:lang w:val="en-US"/>
        </w:rPr>
        <w:t>45% ili 233 objekata imat će jaka oštećenja i 40% građevinske štete</w:t>
      </w:r>
    </w:p>
    <w:p w:rsidR="008F0D85" w:rsidRDefault="00AE42A1">
      <w:pPr>
        <w:numPr>
          <w:ilvl w:val="0"/>
          <w:numId w:val="68"/>
        </w:numPr>
        <w:contextualSpacing/>
        <w:jc w:val="left"/>
        <w:rPr>
          <w:rFonts w:cs="Arial"/>
          <w:color w:val="000000"/>
          <w:szCs w:val="24"/>
          <w:lang w:val="en-US"/>
        </w:rPr>
      </w:pPr>
      <w:r>
        <w:rPr>
          <w:rFonts w:cs="Arial"/>
          <w:color w:val="000000"/>
          <w:szCs w:val="24"/>
          <w:lang w:val="en-US"/>
        </w:rPr>
        <w:t>4% ili 21 objekata imat će totalni stupanj oštećenja i 62% građevinske štete</w:t>
      </w:r>
    </w:p>
    <w:p w:rsidR="008F0D85" w:rsidRDefault="00AE42A1">
      <w:pPr>
        <w:numPr>
          <w:ilvl w:val="0"/>
          <w:numId w:val="68"/>
        </w:numPr>
        <w:contextualSpacing/>
        <w:jc w:val="left"/>
        <w:rPr>
          <w:rFonts w:cs="Arial"/>
          <w:color w:val="000000"/>
          <w:szCs w:val="24"/>
          <w:lang w:val="en-US"/>
        </w:rPr>
      </w:pPr>
      <w:bookmarkStart w:id="939" w:name="_Hlk503438121"/>
      <w:bookmarkEnd w:id="939"/>
      <w:r>
        <w:rPr>
          <w:rFonts w:cs="Arial"/>
          <w:color w:val="000000"/>
          <w:szCs w:val="24"/>
          <w:lang w:val="en-US"/>
        </w:rPr>
        <w:t>3% ili 16 objekta bit će srušeno uz 100% građevinske štete</w:t>
      </w:r>
    </w:p>
    <w:p w:rsidR="008F0D85" w:rsidRDefault="008F0D85">
      <w:pPr>
        <w:ind w:left="720"/>
        <w:contextualSpacing/>
        <w:jc w:val="left"/>
        <w:rPr>
          <w:rFonts w:cs="Arial"/>
          <w:color w:val="000000"/>
          <w:szCs w:val="24"/>
          <w:highlight w:val="yellow"/>
          <w:lang w:val="en-US"/>
        </w:rPr>
      </w:pPr>
    </w:p>
    <w:p w:rsidR="008F0D85" w:rsidRDefault="00AE42A1">
      <w:pPr>
        <w:shd w:val="clear" w:color="auto" w:fill="FFFFFF"/>
        <w:rPr>
          <w:rFonts w:cs="Arial"/>
          <w:color w:val="000000"/>
          <w:u w:val="single"/>
        </w:rPr>
      </w:pPr>
      <w:r>
        <w:rPr>
          <w:rFonts w:cs="Arial"/>
          <w:color w:val="000000"/>
          <w:u w:val="single"/>
        </w:rPr>
        <w:t xml:space="preserve">U kategoriju II (zidane zgrade </w:t>
      </w:r>
      <w:r>
        <w:rPr>
          <w:rFonts w:cs="Arial"/>
          <w:color w:val="000000"/>
          <w:u w:val="single"/>
        </w:rPr>
        <w:t>s armiranobetonskim serklažama) svrstano je 40% ili 518 objekata. To su zgrade zidane u šezdesetim godinama, pa do devedesetih godina.</w:t>
      </w:r>
    </w:p>
    <w:p w:rsidR="008F0D85" w:rsidRDefault="00AE42A1">
      <w:pPr>
        <w:numPr>
          <w:ilvl w:val="0"/>
          <w:numId w:val="69"/>
        </w:numPr>
        <w:shd w:val="clear" w:color="auto" w:fill="FFFFFF"/>
        <w:contextualSpacing/>
        <w:jc w:val="left"/>
        <w:rPr>
          <w:rFonts w:cs="Arial"/>
          <w:color w:val="000000"/>
          <w:szCs w:val="24"/>
          <w:lang w:val="en-US"/>
        </w:rPr>
      </w:pPr>
      <w:r>
        <w:rPr>
          <w:rFonts w:cs="Arial"/>
          <w:color w:val="000000"/>
          <w:szCs w:val="24"/>
          <w:lang w:val="en-US"/>
        </w:rPr>
        <w:t>50% ili 259 objekata neće doživjeti nikakva oštećenja</w:t>
      </w:r>
    </w:p>
    <w:p w:rsidR="008F0D85" w:rsidRDefault="00AE42A1">
      <w:pPr>
        <w:numPr>
          <w:ilvl w:val="0"/>
          <w:numId w:val="69"/>
        </w:numPr>
        <w:shd w:val="clear" w:color="auto" w:fill="FFFFFF"/>
        <w:contextualSpacing/>
        <w:jc w:val="left"/>
        <w:rPr>
          <w:rFonts w:cs="Arial"/>
          <w:color w:val="000000"/>
          <w:szCs w:val="24"/>
          <w:lang w:val="en-US"/>
        </w:rPr>
      </w:pPr>
      <w:r>
        <w:rPr>
          <w:rFonts w:cs="Arial"/>
          <w:color w:val="000000"/>
          <w:szCs w:val="24"/>
          <w:lang w:val="en-US"/>
        </w:rPr>
        <w:t>25% ili 129 objekata će imati neznatan stupanj oštećenja uz 6% građ</w:t>
      </w:r>
      <w:r>
        <w:rPr>
          <w:rFonts w:cs="Arial"/>
          <w:color w:val="000000"/>
          <w:szCs w:val="24"/>
          <w:lang w:val="en-US"/>
        </w:rPr>
        <w:t>evinske štete</w:t>
      </w:r>
    </w:p>
    <w:p w:rsidR="008F0D85" w:rsidRDefault="00AE42A1">
      <w:pPr>
        <w:numPr>
          <w:ilvl w:val="0"/>
          <w:numId w:val="69"/>
        </w:numPr>
        <w:shd w:val="clear" w:color="auto" w:fill="FFFFFF"/>
        <w:contextualSpacing/>
        <w:jc w:val="left"/>
        <w:rPr>
          <w:rFonts w:cs="Arial"/>
          <w:color w:val="000000"/>
          <w:szCs w:val="24"/>
          <w:lang w:val="en-US"/>
        </w:rPr>
      </w:pPr>
      <w:r>
        <w:rPr>
          <w:rFonts w:cs="Arial"/>
          <w:color w:val="000000"/>
          <w:szCs w:val="24"/>
          <w:lang w:val="en-US"/>
        </w:rPr>
        <w:t>15% ili 78 objekta će imati umjereni stupanj oštećenja uz 20% građevinske štete</w:t>
      </w:r>
    </w:p>
    <w:p w:rsidR="008F0D85" w:rsidRDefault="00AE42A1">
      <w:pPr>
        <w:numPr>
          <w:ilvl w:val="0"/>
          <w:numId w:val="69"/>
        </w:numPr>
        <w:shd w:val="clear" w:color="auto" w:fill="FFFFFF"/>
        <w:contextualSpacing/>
        <w:jc w:val="left"/>
        <w:rPr>
          <w:rFonts w:cs="Arial"/>
          <w:color w:val="000000"/>
          <w:szCs w:val="24"/>
          <w:lang w:val="en-US"/>
        </w:rPr>
      </w:pPr>
      <w:bookmarkStart w:id="940" w:name="_Hlk503438327"/>
      <w:bookmarkEnd w:id="940"/>
      <w:r>
        <w:rPr>
          <w:rFonts w:cs="Arial"/>
          <w:color w:val="000000"/>
          <w:szCs w:val="24"/>
          <w:lang w:val="en-US"/>
        </w:rPr>
        <w:t>10% ili 52 objekta će imati jaka oštećenja uz 40% građevinske štete</w:t>
      </w:r>
    </w:p>
    <w:p w:rsidR="008F0D85" w:rsidRDefault="008F0D85">
      <w:pPr>
        <w:contextualSpacing/>
        <w:jc w:val="left"/>
        <w:rPr>
          <w:rFonts w:cs="Arial"/>
          <w:color w:val="000000"/>
          <w:szCs w:val="24"/>
          <w:highlight w:val="yellow"/>
          <w:lang w:val="en-US"/>
        </w:rPr>
      </w:pPr>
    </w:p>
    <w:p w:rsidR="008F0D85" w:rsidRDefault="00AE42A1">
      <w:pPr>
        <w:rPr>
          <w:rFonts w:cs="Arial"/>
          <w:color w:val="000000"/>
          <w:u w:val="single"/>
        </w:rPr>
      </w:pPr>
      <w:r>
        <w:rPr>
          <w:rFonts w:cs="Arial"/>
          <w:color w:val="000000"/>
          <w:u w:val="single"/>
        </w:rPr>
        <w:t>U kategoriju III (armiranobetonske skeletne zgrade) svrstano je 10% ili  81 objekata</w:t>
      </w:r>
    </w:p>
    <w:p w:rsidR="008F0D85" w:rsidRDefault="00AE42A1">
      <w:pPr>
        <w:numPr>
          <w:ilvl w:val="0"/>
          <w:numId w:val="70"/>
        </w:numPr>
        <w:contextualSpacing/>
        <w:jc w:val="left"/>
        <w:rPr>
          <w:rFonts w:cs="Arial"/>
          <w:bCs/>
          <w:szCs w:val="24"/>
          <w:lang w:val="en-US"/>
        </w:rPr>
      </w:pPr>
      <w:r>
        <w:rPr>
          <w:rFonts w:cs="Arial"/>
          <w:bCs/>
          <w:szCs w:val="24"/>
          <w:lang w:val="en-US"/>
        </w:rPr>
        <w:t xml:space="preserve">15% </w:t>
      </w:r>
      <w:r>
        <w:rPr>
          <w:rFonts w:cs="Arial"/>
          <w:bCs/>
          <w:szCs w:val="24"/>
          <w:lang w:val="en-US"/>
        </w:rPr>
        <w:t>ili 19 objekta neće doživjeti nikakva oštećenja</w:t>
      </w:r>
    </w:p>
    <w:p w:rsidR="008F0D85" w:rsidRDefault="00AE42A1">
      <w:pPr>
        <w:numPr>
          <w:ilvl w:val="0"/>
          <w:numId w:val="70"/>
        </w:numPr>
        <w:contextualSpacing/>
        <w:jc w:val="left"/>
        <w:rPr>
          <w:rFonts w:cs="Arial"/>
          <w:bCs/>
          <w:szCs w:val="24"/>
          <w:lang w:val="en-US"/>
        </w:rPr>
      </w:pPr>
      <w:r>
        <w:rPr>
          <w:rFonts w:cs="Arial"/>
          <w:bCs/>
          <w:szCs w:val="24"/>
          <w:lang w:val="en-US"/>
        </w:rPr>
        <w:t>25% ili 32 objekata će doživjeti neznatna oštećenja uz 6% građevinske štete</w:t>
      </w:r>
    </w:p>
    <w:p w:rsidR="008F0D85" w:rsidRDefault="00AE42A1">
      <w:pPr>
        <w:numPr>
          <w:ilvl w:val="0"/>
          <w:numId w:val="70"/>
        </w:numPr>
        <w:contextualSpacing/>
        <w:jc w:val="left"/>
        <w:rPr>
          <w:rFonts w:cs="Arial"/>
          <w:bCs/>
          <w:szCs w:val="24"/>
          <w:lang w:val="en-US"/>
        </w:rPr>
      </w:pPr>
      <w:r>
        <w:rPr>
          <w:rFonts w:cs="Arial"/>
          <w:bCs/>
          <w:szCs w:val="24"/>
          <w:lang w:val="en-US"/>
        </w:rPr>
        <w:t>35% ili 45 objekata će imati umjeren stupanj oštećenja uz 20 % građevinske štete</w:t>
      </w:r>
    </w:p>
    <w:p w:rsidR="008F0D85" w:rsidRDefault="00AE42A1">
      <w:pPr>
        <w:numPr>
          <w:ilvl w:val="0"/>
          <w:numId w:val="70"/>
        </w:numPr>
        <w:contextualSpacing/>
        <w:jc w:val="left"/>
        <w:rPr>
          <w:rFonts w:cs="Arial"/>
          <w:bCs/>
          <w:szCs w:val="24"/>
          <w:lang w:val="en-US"/>
        </w:rPr>
      </w:pPr>
      <w:r>
        <w:rPr>
          <w:rFonts w:cs="Arial"/>
          <w:bCs/>
          <w:szCs w:val="24"/>
          <w:lang w:val="en-US"/>
        </w:rPr>
        <w:t>17% ili 22 objekta će imati jaka oštećenja uz 40% g</w:t>
      </w:r>
      <w:r>
        <w:rPr>
          <w:rFonts w:cs="Arial"/>
          <w:bCs/>
          <w:szCs w:val="24"/>
          <w:lang w:val="en-US"/>
        </w:rPr>
        <w:t>rađevinske štete</w:t>
      </w:r>
    </w:p>
    <w:p w:rsidR="008F0D85" w:rsidRDefault="00AE42A1">
      <w:pPr>
        <w:numPr>
          <w:ilvl w:val="0"/>
          <w:numId w:val="70"/>
        </w:numPr>
        <w:contextualSpacing/>
        <w:jc w:val="left"/>
        <w:rPr>
          <w:rFonts w:cs="Arial"/>
          <w:bCs/>
          <w:szCs w:val="24"/>
          <w:lang w:val="en-US"/>
        </w:rPr>
      </w:pPr>
      <w:r>
        <w:rPr>
          <w:rFonts w:cs="Arial"/>
          <w:bCs/>
          <w:szCs w:val="24"/>
          <w:lang w:val="en-US"/>
        </w:rPr>
        <w:t>6% ili 8 objekata će imati totalna oštećenja uz 62% građevinske štete</w:t>
      </w:r>
    </w:p>
    <w:p w:rsidR="008F0D85" w:rsidRDefault="00AE42A1">
      <w:pPr>
        <w:numPr>
          <w:ilvl w:val="0"/>
          <w:numId w:val="70"/>
        </w:numPr>
        <w:contextualSpacing/>
        <w:jc w:val="left"/>
        <w:rPr>
          <w:rFonts w:cs="Arial"/>
          <w:bCs/>
          <w:szCs w:val="24"/>
          <w:lang w:val="en-US"/>
        </w:rPr>
      </w:pPr>
      <w:bookmarkStart w:id="941" w:name="_Hlk503438394"/>
      <w:bookmarkEnd w:id="941"/>
      <w:r>
        <w:rPr>
          <w:rFonts w:cs="Arial"/>
          <w:bCs/>
          <w:szCs w:val="24"/>
          <w:lang w:val="en-US"/>
        </w:rPr>
        <w:t>2% ili 3 objekata bit će srušeno uz 100 % građevinske štete</w:t>
      </w:r>
    </w:p>
    <w:p w:rsidR="008F0D85" w:rsidRDefault="008F0D85">
      <w:pPr>
        <w:contextualSpacing/>
        <w:jc w:val="left"/>
        <w:rPr>
          <w:rFonts w:cs="Arial"/>
          <w:bCs/>
          <w:szCs w:val="24"/>
          <w:highlight w:val="yellow"/>
          <w:lang w:val="en-US"/>
        </w:rPr>
      </w:pPr>
    </w:p>
    <w:p w:rsidR="008F0D85" w:rsidRDefault="00AE42A1">
      <w:pPr>
        <w:rPr>
          <w:rFonts w:cs="Arial"/>
          <w:bCs/>
          <w:szCs w:val="24"/>
          <w:u w:val="single"/>
        </w:rPr>
      </w:pPr>
      <w:r>
        <w:rPr>
          <w:rFonts w:cs="Arial"/>
          <w:bCs/>
          <w:szCs w:val="24"/>
          <w:u w:val="single"/>
        </w:rPr>
        <w:t>U kategoriju IV (sustav armiranobetonskih nosivih zidova) svrstano je 5%  ili 65 objekata</w:t>
      </w:r>
    </w:p>
    <w:p w:rsidR="008F0D85" w:rsidRDefault="00AE42A1">
      <w:pPr>
        <w:numPr>
          <w:ilvl w:val="0"/>
          <w:numId w:val="71"/>
        </w:numPr>
        <w:contextualSpacing/>
        <w:jc w:val="left"/>
        <w:rPr>
          <w:rFonts w:cs="Arial"/>
          <w:color w:val="000000"/>
          <w:szCs w:val="24"/>
          <w:lang w:val="en-US"/>
        </w:rPr>
      </w:pPr>
      <w:r>
        <w:rPr>
          <w:rFonts w:cs="Arial"/>
          <w:color w:val="000000"/>
          <w:szCs w:val="24"/>
          <w:lang w:val="en-US"/>
        </w:rPr>
        <w:t xml:space="preserve">5% ili 3 objekata </w:t>
      </w:r>
      <w:r>
        <w:rPr>
          <w:rFonts w:cs="Arial"/>
          <w:color w:val="000000"/>
          <w:szCs w:val="24"/>
          <w:lang w:val="en-US"/>
        </w:rPr>
        <w:t>neće doživjeti nikakva oštećenja</w:t>
      </w:r>
    </w:p>
    <w:p w:rsidR="008F0D85" w:rsidRDefault="00AE42A1">
      <w:pPr>
        <w:numPr>
          <w:ilvl w:val="0"/>
          <w:numId w:val="71"/>
        </w:numPr>
        <w:contextualSpacing/>
        <w:jc w:val="left"/>
        <w:rPr>
          <w:rFonts w:cs="Arial"/>
          <w:color w:val="000000"/>
          <w:szCs w:val="24"/>
          <w:lang w:val="en-US"/>
        </w:rPr>
      </w:pPr>
      <w:r>
        <w:rPr>
          <w:rFonts w:cs="Arial"/>
          <w:color w:val="000000"/>
          <w:szCs w:val="24"/>
          <w:lang w:val="en-US"/>
        </w:rPr>
        <w:t>70% ili 46 objekta će doživjeti neznatna oštećenja uz 6% građevinske štete</w:t>
      </w:r>
    </w:p>
    <w:p w:rsidR="008F0D85" w:rsidRDefault="00AE42A1">
      <w:pPr>
        <w:numPr>
          <w:ilvl w:val="0"/>
          <w:numId w:val="71"/>
        </w:numPr>
        <w:contextualSpacing/>
        <w:jc w:val="left"/>
        <w:rPr>
          <w:rFonts w:cs="Arial"/>
          <w:color w:val="000000"/>
          <w:szCs w:val="24"/>
          <w:lang w:val="en-US"/>
        </w:rPr>
      </w:pPr>
      <w:bookmarkStart w:id="942" w:name="_Hlk503438508"/>
      <w:bookmarkEnd w:id="942"/>
      <w:r>
        <w:rPr>
          <w:rFonts w:cs="Arial"/>
          <w:color w:val="000000"/>
          <w:szCs w:val="24"/>
          <w:lang w:val="en-US"/>
        </w:rPr>
        <w:t>25% ili 16 objekata će imati umjeren stupanj oštećenja uz 20 % građevinske štete</w:t>
      </w:r>
    </w:p>
    <w:p w:rsidR="008F0D85" w:rsidRDefault="008F0D85">
      <w:pPr>
        <w:contextualSpacing/>
        <w:jc w:val="left"/>
        <w:rPr>
          <w:rFonts w:cs="Arial"/>
          <w:color w:val="000000"/>
          <w:szCs w:val="24"/>
          <w:highlight w:val="yellow"/>
          <w:lang w:val="en-US"/>
        </w:rPr>
      </w:pPr>
    </w:p>
    <w:p w:rsidR="008F0D85" w:rsidRDefault="00AE42A1">
      <w:pPr>
        <w:rPr>
          <w:rFonts w:cs="Arial"/>
          <w:color w:val="000000"/>
          <w:szCs w:val="24"/>
          <w:u w:val="single"/>
        </w:rPr>
      </w:pPr>
      <w:r>
        <w:rPr>
          <w:rFonts w:cs="Arial"/>
          <w:color w:val="000000"/>
          <w:szCs w:val="24"/>
          <w:u w:val="single"/>
        </w:rPr>
        <w:t>U kategoriju V (skeletne zgrade s armiranobetonskim nosivim zidovi</w:t>
      </w:r>
      <w:r>
        <w:rPr>
          <w:rFonts w:cs="Arial"/>
          <w:color w:val="000000"/>
          <w:szCs w:val="24"/>
          <w:u w:val="single"/>
        </w:rPr>
        <w:t>ma) svrstano je 5% ili  65 objekata</w:t>
      </w:r>
    </w:p>
    <w:p w:rsidR="008F0D85" w:rsidRDefault="00AE42A1">
      <w:pPr>
        <w:numPr>
          <w:ilvl w:val="0"/>
          <w:numId w:val="72"/>
        </w:numPr>
        <w:contextualSpacing/>
        <w:jc w:val="left"/>
        <w:rPr>
          <w:rFonts w:cs="Arial"/>
          <w:bCs/>
          <w:szCs w:val="24"/>
          <w:lang w:val="en-US"/>
        </w:rPr>
      </w:pPr>
      <w:r>
        <w:rPr>
          <w:rFonts w:cs="Arial"/>
          <w:bCs/>
          <w:szCs w:val="24"/>
          <w:lang w:val="en-US"/>
        </w:rPr>
        <w:t>15% ili 10 objekta neće doživjeti nikakva oštećenja</w:t>
      </w:r>
    </w:p>
    <w:p w:rsidR="008F0D85" w:rsidRDefault="00AE42A1">
      <w:pPr>
        <w:numPr>
          <w:ilvl w:val="0"/>
          <w:numId w:val="72"/>
        </w:numPr>
        <w:contextualSpacing/>
        <w:jc w:val="left"/>
        <w:rPr>
          <w:rFonts w:cs="Arial"/>
          <w:bCs/>
          <w:szCs w:val="24"/>
          <w:lang w:val="en-US"/>
        </w:rPr>
      </w:pPr>
      <w:r>
        <w:rPr>
          <w:rFonts w:cs="Arial"/>
          <w:bCs/>
          <w:szCs w:val="24"/>
          <w:lang w:val="en-US"/>
        </w:rPr>
        <w:t>20% ili 13 objekta će doživjeti neznatna oštećenja uz 6% građevinske štete</w:t>
      </w:r>
    </w:p>
    <w:p w:rsidR="008F0D85" w:rsidRDefault="00AE42A1">
      <w:pPr>
        <w:numPr>
          <w:ilvl w:val="0"/>
          <w:numId w:val="72"/>
        </w:numPr>
        <w:contextualSpacing/>
        <w:jc w:val="left"/>
        <w:rPr>
          <w:rFonts w:cs="Arial"/>
          <w:bCs/>
          <w:szCs w:val="24"/>
          <w:lang w:val="en-US"/>
        </w:rPr>
      </w:pPr>
      <w:r>
        <w:rPr>
          <w:rFonts w:cs="Arial"/>
          <w:bCs/>
          <w:szCs w:val="24"/>
          <w:lang w:val="en-US"/>
        </w:rPr>
        <w:t>50% ili 32 objekata će imati umjeren stupanj oštećenja uz 20 % građevinske štete</w:t>
      </w:r>
    </w:p>
    <w:p w:rsidR="008F0D85" w:rsidRDefault="00AE42A1">
      <w:pPr>
        <w:numPr>
          <w:ilvl w:val="0"/>
          <w:numId w:val="72"/>
        </w:numPr>
        <w:contextualSpacing/>
        <w:jc w:val="left"/>
        <w:rPr>
          <w:rFonts w:cs="Arial"/>
          <w:bCs/>
          <w:szCs w:val="24"/>
          <w:lang w:val="en-US"/>
        </w:rPr>
      </w:pPr>
      <w:bookmarkStart w:id="943" w:name="_Hlk506989543"/>
      <w:bookmarkStart w:id="944" w:name="_Hlk503438555"/>
      <w:bookmarkEnd w:id="943"/>
      <w:bookmarkEnd w:id="944"/>
      <w:r>
        <w:rPr>
          <w:rFonts w:cs="Arial"/>
          <w:bCs/>
          <w:szCs w:val="24"/>
          <w:lang w:val="en-US"/>
        </w:rPr>
        <w:t>15% ili 10 o</w:t>
      </w:r>
      <w:r>
        <w:rPr>
          <w:rFonts w:cs="Arial"/>
          <w:bCs/>
          <w:szCs w:val="24"/>
          <w:lang w:val="en-US"/>
        </w:rPr>
        <w:t>bjekta će imati umjeren stupanj oštećenja uz 40 % građevinske štete</w:t>
      </w:r>
    </w:p>
    <w:p w:rsidR="008F0D85" w:rsidRDefault="008F0D85"/>
    <w:p w:rsidR="008F0D85" w:rsidRDefault="00AE42A1">
      <w:pPr>
        <w:spacing w:after="0" w:line="360" w:lineRule="auto"/>
        <w:jc w:val="center"/>
        <w:rPr>
          <w:rFonts w:cs="Arial"/>
          <w:b/>
          <w:bCs/>
          <w:sz w:val="20"/>
          <w:szCs w:val="20"/>
        </w:rPr>
      </w:pPr>
      <w:bookmarkStart w:id="945" w:name="_Toc514142955"/>
      <w:bookmarkStart w:id="946" w:name="_Toc516128439"/>
      <w:bookmarkStart w:id="947" w:name="_Toc527969536"/>
      <w:r>
        <w:rPr>
          <w:rFonts w:cs="Arial"/>
          <w:b/>
          <w:bCs/>
          <w:sz w:val="20"/>
          <w:szCs w:val="20"/>
        </w:rPr>
        <w:lastRenderedPageBreak/>
        <w:t xml:space="preserve">Tablica </w:t>
      </w:r>
      <w:r>
        <w:rPr>
          <w:rFonts w:cs="Arial"/>
          <w:b/>
          <w:bCs/>
          <w:sz w:val="20"/>
          <w:szCs w:val="20"/>
        </w:rPr>
        <w:fldChar w:fldCharType="begin"/>
      </w:r>
      <w:r>
        <w:instrText>SEQ Tablica \* ARABIC</w:instrText>
      </w:r>
      <w:r>
        <w:fldChar w:fldCharType="separate"/>
      </w:r>
      <w:r>
        <w:t>54</w:t>
      </w:r>
      <w:r>
        <w:fldChar w:fldCharType="end"/>
      </w:r>
      <w:bookmarkEnd w:id="945"/>
      <w:bookmarkEnd w:id="946"/>
      <w:bookmarkEnd w:id="947"/>
      <w:r>
        <w:rPr>
          <w:rFonts w:cs="Arial"/>
          <w:b/>
          <w:bCs/>
          <w:sz w:val="20"/>
          <w:szCs w:val="20"/>
        </w:rPr>
        <w:t>: Prikaz stupnjeva oštećenja po kategorijama te nastale građevinske štete</w:t>
      </w:r>
    </w:p>
    <w:tbl>
      <w:tblPr>
        <w:tblW w:w="8654" w:type="dxa"/>
        <w:tblInd w:w="108"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1261"/>
        <w:gridCol w:w="975"/>
        <w:gridCol w:w="978"/>
        <w:gridCol w:w="978"/>
        <w:gridCol w:w="978"/>
        <w:gridCol w:w="977"/>
        <w:gridCol w:w="1254"/>
        <w:gridCol w:w="1253"/>
      </w:tblGrid>
      <w:tr w:rsidR="008F0D85">
        <w:trPr>
          <w:trHeight w:val="533"/>
        </w:trPr>
        <w:tc>
          <w:tcPr>
            <w:tcW w:w="126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Stupanj oštećenja</w:t>
            </w:r>
          </w:p>
        </w:tc>
        <w:tc>
          <w:tcPr>
            <w:tcW w:w="97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I</w:t>
            </w:r>
          </w:p>
        </w:tc>
        <w:tc>
          <w:tcPr>
            <w:tcW w:w="97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II</w:t>
            </w:r>
          </w:p>
        </w:tc>
        <w:tc>
          <w:tcPr>
            <w:tcW w:w="97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III</w:t>
            </w:r>
          </w:p>
        </w:tc>
        <w:tc>
          <w:tcPr>
            <w:tcW w:w="97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IV</w:t>
            </w:r>
          </w:p>
        </w:tc>
        <w:tc>
          <w:tcPr>
            <w:tcW w:w="97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V</w:t>
            </w:r>
          </w:p>
        </w:tc>
        <w:tc>
          <w:tcPr>
            <w:tcW w:w="125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Građevinska</w:t>
            </w:r>
          </w:p>
          <w:p w:rsidR="008F0D85" w:rsidRDefault="00AE42A1">
            <w:pPr>
              <w:spacing w:after="0"/>
              <w:jc w:val="center"/>
              <w:rPr>
                <w:b/>
                <w:sz w:val="20"/>
                <w:szCs w:val="20"/>
              </w:rPr>
            </w:pPr>
            <w:r>
              <w:rPr>
                <w:b/>
                <w:sz w:val="20"/>
                <w:szCs w:val="20"/>
              </w:rPr>
              <w:t>šteta %</w:t>
            </w:r>
          </w:p>
        </w:tc>
        <w:tc>
          <w:tcPr>
            <w:tcW w:w="1253" w:type="dxa"/>
            <w:tcBorders>
              <w:top w:val="single" w:sz="4" w:space="0" w:color="000001"/>
              <w:left w:val="single" w:sz="4" w:space="0" w:color="000001"/>
              <w:bottom w:val="single" w:sz="4" w:space="0" w:color="000001"/>
              <w:right w:val="single" w:sz="4" w:space="0" w:color="000001"/>
            </w:tcBorders>
            <w:shd w:val="clear" w:color="auto" w:fill="F2F2F2"/>
            <w:tcMar>
              <w:left w:w="-5" w:type="dxa"/>
              <w:right w:w="10" w:type="dxa"/>
            </w:tcMar>
          </w:tcPr>
          <w:p w:rsidR="008F0D85" w:rsidRDefault="00AE42A1">
            <w:pPr>
              <w:spacing w:after="0"/>
              <w:jc w:val="center"/>
              <w:rPr>
                <w:b/>
                <w:sz w:val="20"/>
                <w:szCs w:val="20"/>
              </w:rPr>
            </w:pPr>
            <w:r>
              <w:rPr>
                <w:b/>
                <w:sz w:val="20"/>
                <w:szCs w:val="20"/>
              </w:rPr>
              <w:t xml:space="preserve">Ukupno stambenih </w:t>
            </w:r>
            <w:r>
              <w:rPr>
                <w:b/>
                <w:sz w:val="20"/>
                <w:szCs w:val="20"/>
              </w:rPr>
              <w:t>jedinica</w:t>
            </w:r>
          </w:p>
        </w:tc>
      </w:tr>
      <w:tr w:rsidR="008F0D85">
        <w:trPr>
          <w:trHeight w:hRule="exact" w:val="454"/>
        </w:trPr>
        <w:tc>
          <w:tcPr>
            <w:tcW w:w="1260"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nikakvo</w:t>
            </w:r>
          </w:p>
        </w:tc>
        <w:tc>
          <w:tcPr>
            <w:tcW w:w="97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41</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259</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19</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3</w:t>
            </w:r>
          </w:p>
        </w:tc>
        <w:tc>
          <w:tcPr>
            <w:tcW w:w="97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10</w:t>
            </w:r>
          </w:p>
        </w:tc>
        <w:tc>
          <w:tcPr>
            <w:tcW w:w="125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0,00</w:t>
            </w:r>
          </w:p>
        </w:tc>
        <w:tc>
          <w:tcPr>
            <w:tcW w:w="125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jc w:val="center"/>
              <w:rPr>
                <w:sz w:val="20"/>
                <w:szCs w:val="20"/>
              </w:rPr>
            </w:pPr>
            <w:r>
              <w:rPr>
                <w:sz w:val="20"/>
                <w:szCs w:val="20"/>
              </w:rPr>
              <w:t>332</w:t>
            </w:r>
          </w:p>
        </w:tc>
      </w:tr>
      <w:tr w:rsidR="008F0D85">
        <w:trPr>
          <w:trHeight w:hRule="exact" w:val="454"/>
        </w:trPr>
        <w:tc>
          <w:tcPr>
            <w:tcW w:w="1260"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neznatno</w:t>
            </w:r>
          </w:p>
        </w:tc>
        <w:tc>
          <w:tcPr>
            <w:tcW w:w="97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52</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129</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32</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46</w:t>
            </w:r>
          </w:p>
        </w:tc>
        <w:tc>
          <w:tcPr>
            <w:tcW w:w="97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13</w:t>
            </w:r>
          </w:p>
        </w:tc>
        <w:tc>
          <w:tcPr>
            <w:tcW w:w="125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6,00</w:t>
            </w:r>
          </w:p>
        </w:tc>
        <w:tc>
          <w:tcPr>
            <w:tcW w:w="125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jc w:val="center"/>
              <w:rPr>
                <w:sz w:val="20"/>
                <w:szCs w:val="20"/>
              </w:rPr>
            </w:pPr>
            <w:r>
              <w:rPr>
                <w:sz w:val="20"/>
                <w:szCs w:val="20"/>
              </w:rPr>
              <w:t>272</w:t>
            </w:r>
          </w:p>
        </w:tc>
      </w:tr>
      <w:tr w:rsidR="008F0D85">
        <w:trPr>
          <w:trHeight w:hRule="exact" w:val="454"/>
        </w:trPr>
        <w:tc>
          <w:tcPr>
            <w:tcW w:w="1260"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umjereno</w:t>
            </w:r>
          </w:p>
        </w:tc>
        <w:tc>
          <w:tcPr>
            <w:tcW w:w="97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155</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78</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45</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16</w:t>
            </w:r>
          </w:p>
        </w:tc>
        <w:tc>
          <w:tcPr>
            <w:tcW w:w="97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32</w:t>
            </w:r>
          </w:p>
        </w:tc>
        <w:tc>
          <w:tcPr>
            <w:tcW w:w="125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20,00</w:t>
            </w:r>
          </w:p>
        </w:tc>
        <w:tc>
          <w:tcPr>
            <w:tcW w:w="125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jc w:val="center"/>
              <w:rPr>
                <w:sz w:val="20"/>
                <w:szCs w:val="20"/>
              </w:rPr>
            </w:pPr>
            <w:r>
              <w:rPr>
                <w:sz w:val="20"/>
                <w:szCs w:val="20"/>
              </w:rPr>
              <w:t>326</w:t>
            </w:r>
          </w:p>
        </w:tc>
      </w:tr>
      <w:tr w:rsidR="008F0D85">
        <w:trPr>
          <w:trHeight w:hRule="exact" w:val="454"/>
        </w:trPr>
        <w:tc>
          <w:tcPr>
            <w:tcW w:w="1260"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jako</w:t>
            </w:r>
          </w:p>
        </w:tc>
        <w:tc>
          <w:tcPr>
            <w:tcW w:w="97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233</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52</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22</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w:t>
            </w:r>
          </w:p>
        </w:tc>
        <w:tc>
          <w:tcPr>
            <w:tcW w:w="97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10</w:t>
            </w:r>
          </w:p>
        </w:tc>
        <w:tc>
          <w:tcPr>
            <w:tcW w:w="125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40,00</w:t>
            </w:r>
          </w:p>
        </w:tc>
        <w:tc>
          <w:tcPr>
            <w:tcW w:w="125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jc w:val="center"/>
              <w:rPr>
                <w:sz w:val="20"/>
                <w:szCs w:val="20"/>
              </w:rPr>
            </w:pPr>
            <w:r>
              <w:rPr>
                <w:sz w:val="20"/>
                <w:szCs w:val="20"/>
              </w:rPr>
              <w:t>317</w:t>
            </w:r>
          </w:p>
        </w:tc>
      </w:tr>
      <w:tr w:rsidR="008F0D85">
        <w:trPr>
          <w:trHeight w:hRule="exact" w:val="454"/>
        </w:trPr>
        <w:tc>
          <w:tcPr>
            <w:tcW w:w="1260"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totalno</w:t>
            </w:r>
          </w:p>
        </w:tc>
        <w:tc>
          <w:tcPr>
            <w:tcW w:w="97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21</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8</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w:t>
            </w:r>
          </w:p>
        </w:tc>
        <w:tc>
          <w:tcPr>
            <w:tcW w:w="97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w:t>
            </w:r>
          </w:p>
        </w:tc>
        <w:tc>
          <w:tcPr>
            <w:tcW w:w="125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62,00</w:t>
            </w:r>
          </w:p>
        </w:tc>
        <w:tc>
          <w:tcPr>
            <w:tcW w:w="125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jc w:val="center"/>
              <w:rPr>
                <w:sz w:val="20"/>
                <w:szCs w:val="20"/>
              </w:rPr>
            </w:pPr>
            <w:r>
              <w:rPr>
                <w:sz w:val="20"/>
                <w:szCs w:val="20"/>
              </w:rPr>
              <w:t>29</w:t>
            </w:r>
          </w:p>
        </w:tc>
      </w:tr>
      <w:tr w:rsidR="008F0D85">
        <w:trPr>
          <w:trHeight w:hRule="exact" w:val="454"/>
        </w:trPr>
        <w:tc>
          <w:tcPr>
            <w:tcW w:w="1260"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rušenje</w:t>
            </w:r>
          </w:p>
        </w:tc>
        <w:tc>
          <w:tcPr>
            <w:tcW w:w="97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16</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3</w:t>
            </w:r>
          </w:p>
        </w:tc>
        <w:tc>
          <w:tcPr>
            <w:tcW w:w="97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w:t>
            </w:r>
          </w:p>
        </w:tc>
        <w:tc>
          <w:tcPr>
            <w:tcW w:w="97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w:t>
            </w:r>
          </w:p>
        </w:tc>
        <w:tc>
          <w:tcPr>
            <w:tcW w:w="125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sz w:val="20"/>
                <w:szCs w:val="20"/>
              </w:rPr>
            </w:pPr>
            <w:r>
              <w:rPr>
                <w:sz w:val="20"/>
                <w:szCs w:val="20"/>
              </w:rPr>
              <w:t>100,00</w:t>
            </w:r>
          </w:p>
        </w:tc>
        <w:tc>
          <w:tcPr>
            <w:tcW w:w="125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jc w:val="center"/>
              <w:rPr>
                <w:sz w:val="20"/>
                <w:szCs w:val="20"/>
              </w:rPr>
            </w:pPr>
            <w:r>
              <w:rPr>
                <w:sz w:val="20"/>
                <w:szCs w:val="20"/>
              </w:rPr>
              <w:t>19</w:t>
            </w:r>
          </w:p>
        </w:tc>
      </w:tr>
    </w:tbl>
    <w:p w:rsidR="008F0D85" w:rsidRDefault="008F0D85">
      <w:pPr>
        <w:jc w:val="center"/>
      </w:pPr>
    </w:p>
    <w:p w:rsidR="008F0D85" w:rsidRDefault="00AE42A1">
      <w:pPr>
        <w:spacing w:after="0" w:line="360" w:lineRule="auto"/>
        <w:jc w:val="center"/>
        <w:rPr>
          <w:rFonts w:cs="Arial"/>
          <w:b/>
          <w:bCs/>
          <w:sz w:val="20"/>
          <w:szCs w:val="20"/>
        </w:rPr>
      </w:pPr>
      <w:bookmarkStart w:id="948" w:name="_Toc514142956"/>
      <w:bookmarkStart w:id="949" w:name="_Toc516128440"/>
      <w:bookmarkStart w:id="950" w:name="_Toc527969537"/>
      <w:r>
        <w:rPr>
          <w:rFonts w:cs="Arial"/>
          <w:b/>
          <w:bCs/>
          <w:sz w:val="20"/>
          <w:szCs w:val="20"/>
        </w:rPr>
        <w:t xml:space="preserve">Tablica </w:t>
      </w:r>
      <w:r>
        <w:rPr>
          <w:rFonts w:cs="Arial"/>
          <w:b/>
          <w:bCs/>
          <w:sz w:val="20"/>
          <w:szCs w:val="20"/>
        </w:rPr>
        <w:fldChar w:fldCharType="begin"/>
      </w:r>
      <w:r>
        <w:instrText>SEQ Tablica \* ARABIC</w:instrText>
      </w:r>
      <w:r>
        <w:fldChar w:fldCharType="separate"/>
      </w:r>
      <w:r>
        <w:t>55</w:t>
      </w:r>
      <w:r>
        <w:fldChar w:fldCharType="end"/>
      </w:r>
      <w:bookmarkEnd w:id="948"/>
      <w:bookmarkEnd w:id="949"/>
      <w:bookmarkEnd w:id="950"/>
      <w:r>
        <w:rPr>
          <w:rFonts w:cs="Arial"/>
          <w:b/>
          <w:bCs/>
          <w:sz w:val="20"/>
          <w:szCs w:val="20"/>
        </w:rPr>
        <w:t xml:space="preserve">: Prikaz </w:t>
      </w:r>
      <w:r>
        <w:rPr>
          <w:rFonts w:cs="Arial"/>
          <w:b/>
          <w:bCs/>
          <w:sz w:val="20"/>
          <w:szCs w:val="20"/>
        </w:rPr>
        <w:t>stupnjeva oštećenja s brojem ugroženog stanovništva</w:t>
      </w:r>
    </w:p>
    <w:tbl>
      <w:tblPr>
        <w:tblW w:w="9060"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1437"/>
        <w:gridCol w:w="1098"/>
        <w:gridCol w:w="1118"/>
        <w:gridCol w:w="1111"/>
        <w:gridCol w:w="1224"/>
        <w:gridCol w:w="1212"/>
        <w:gridCol w:w="1860"/>
      </w:tblGrid>
      <w:tr w:rsidR="008F0D85">
        <w:trPr>
          <w:jc w:val="center"/>
        </w:trPr>
        <w:tc>
          <w:tcPr>
            <w:tcW w:w="7199" w:type="dxa"/>
            <w:gridSpan w:val="6"/>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ind w:right="-108"/>
              <w:jc w:val="center"/>
              <w:rPr>
                <w:rFonts w:cs="Calibri"/>
                <w:b/>
                <w:sz w:val="20"/>
                <w:szCs w:val="20"/>
              </w:rPr>
            </w:pPr>
            <w:r>
              <w:rPr>
                <w:rFonts w:cs="Calibri"/>
                <w:b/>
                <w:sz w:val="20"/>
                <w:szCs w:val="20"/>
              </w:rPr>
              <w:t>Kategorija građevina/objekata</w:t>
            </w:r>
          </w:p>
        </w:tc>
        <w:tc>
          <w:tcPr>
            <w:tcW w:w="186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ind w:right="-108"/>
              <w:jc w:val="center"/>
              <w:rPr>
                <w:rFonts w:cs="Calibri"/>
                <w:b/>
                <w:sz w:val="20"/>
                <w:szCs w:val="20"/>
              </w:rPr>
            </w:pPr>
            <w:r>
              <w:rPr>
                <w:rFonts w:cs="Calibri"/>
                <w:b/>
                <w:sz w:val="20"/>
                <w:szCs w:val="20"/>
              </w:rPr>
              <w:t>Ukupno stanovnika</w:t>
            </w:r>
          </w:p>
        </w:tc>
      </w:tr>
      <w:tr w:rsidR="008F0D85">
        <w:trPr>
          <w:jc w:val="center"/>
        </w:trPr>
        <w:tc>
          <w:tcPr>
            <w:tcW w:w="143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ind w:right="-108"/>
              <w:jc w:val="center"/>
              <w:rPr>
                <w:rFonts w:cs="Calibri"/>
                <w:b/>
                <w:sz w:val="20"/>
                <w:szCs w:val="20"/>
              </w:rPr>
            </w:pPr>
            <w:r>
              <w:rPr>
                <w:rFonts w:cs="Calibri"/>
                <w:b/>
                <w:sz w:val="20"/>
                <w:szCs w:val="20"/>
              </w:rPr>
              <w:t>Kategorija</w:t>
            </w:r>
          </w:p>
        </w:tc>
        <w:tc>
          <w:tcPr>
            <w:tcW w:w="10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b/>
                <w:sz w:val="20"/>
                <w:szCs w:val="20"/>
              </w:rPr>
            </w:pPr>
            <w:r>
              <w:rPr>
                <w:rFonts w:cs="Calibri"/>
                <w:b/>
                <w:sz w:val="20"/>
                <w:szCs w:val="20"/>
              </w:rPr>
              <w:t>I</w:t>
            </w:r>
          </w:p>
        </w:tc>
        <w:tc>
          <w:tcPr>
            <w:tcW w:w="111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b/>
                <w:sz w:val="20"/>
                <w:szCs w:val="20"/>
              </w:rPr>
            </w:pPr>
            <w:r>
              <w:rPr>
                <w:rFonts w:cs="Calibri"/>
                <w:b/>
                <w:sz w:val="20"/>
                <w:szCs w:val="20"/>
              </w:rPr>
              <w:t>II</w:t>
            </w:r>
          </w:p>
        </w:tc>
        <w:tc>
          <w:tcPr>
            <w:tcW w:w="11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b/>
                <w:sz w:val="20"/>
                <w:szCs w:val="20"/>
              </w:rPr>
            </w:pPr>
            <w:r>
              <w:rPr>
                <w:rFonts w:cs="Calibri"/>
                <w:b/>
                <w:sz w:val="20"/>
                <w:szCs w:val="20"/>
              </w:rPr>
              <w:t>III</w:t>
            </w:r>
          </w:p>
        </w:tc>
        <w:tc>
          <w:tcPr>
            <w:tcW w:w="12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b/>
                <w:sz w:val="20"/>
                <w:szCs w:val="20"/>
              </w:rPr>
            </w:pPr>
            <w:r>
              <w:rPr>
                <w:rFonts w:cs="Calibri"/>
                <w:b/>
                <w:sz w:val="20"/>
                <w:szCs w:val="20"/>
              </w:rPr>
              <w:t>IV</w:t>
            </w:r>
          </w:p>
        </w:tc>
        <w:tc>
          <w:tcPr>
            <w:tcW w:w="121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b/>
                <w:sz w:val="20"/>
                <w:szCs w:val="20"/>
              </w:rPr>
            </w:pPr>
            <w:r>
              <w:rPr>
                <w:rFonts w:cs="Calibri"/>
                <w:b/>
                <w:sz w:val="20"/>
                <w:szCs w:val="20"/>
              </w:rPr>
              <w:t>V</w:t>
            </w:r>
          </w:p>
        </w:tc>
        <w:tc>
          <w:tcPr>
            <w:tcW w:w="18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b/>
                <w:sz w:val="20"/>
                <w:szCs w:val="20"/>
              </w:rPr>
            </w:pPr>
            <w:r>
              <w:rPr>
                <w:rFonts w:cs="Calibri"/>
                <w:b/>
                <w:sz w:val="20"/>
                <w:szCs w:val="20"/>
              </w:rPr>
              <w:t>I – V</w:t>
            </w:r>
          </w:p>
        </w:tc>
      </w:tr>
      <w:tr w:rsidR="008F0D85">
        <w:trPr>
          <w:jc w:val="center"/>
        </w:trPr>
        <w:tc>
          <w:tcPr>
            <w:tcW w:w="143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ind w:right="-108"/>
              <w:jc w:val="center"/>
              <w:rPr>
                <w:rFonts w:cs="Calibri"/>
                <w:sz w:val="20"/>
                <w:szCs w:val="20"/>
              </w:rPr>
            </w:pPr>
            <w:r>
              <w:rPr>
                <w:rFonts w:cs="Calibri"/>
                <w:sz w:val="20"/>
                <w:szCs w:val="20"/>
              </w:rPr>
              <w:t>Poginuli</w:t>
            </w:r>
          </w:p>
        </w:tc>
        <w:tc>
          <w:tcPr>
            <w:tcW w:w="10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0</w:t>
            </w:r>
          </w:p>
        </w:tc>
        <w:tc>
          <w:tcPr>
            <w:tcW w:w="111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0</w:t>
            </w:r>
          </w:p>
        </w:tc>
        <w:tc>
          <w:tcPr>
            <w:tcW w:w="11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0</w:t>
            </w:r>
          </w:p>
        </w:tc>
        <w:tc>
          <w:tcPr>
            <w:tcW w:w="12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2</w:t>
            </w:r>
          </w:p>
        </w:tc>
        <w:tc>
          <w:tcPr>
            <w:tcW w:w="121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10</w:t>
            </w:r>
          </w:p>
        </w:tc>
        <w:tc>
          <w:tcPr>
            <w:tcW w:w="18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12</w:t>
            </w:r>
          </w:p>
        </w:tc>
      </w:tr>
      <w:tr w:rsidR="008F0D85">
        <w:trPr>
          <w:jc w:val="center"/>
        </w:trPr>
        <w:tc>
          <w:tcPr>
            <w:tcW w:w="143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ind w:right="-108"/>
              <w:jc w:val="center"/>
              <w:rPr>
                <w:rFonts w:cs="Calibri"/>
                <w:sz w:val="20"/>
                <w:szCs w:val="20"/>
              </w:rPr>
            </w:pPr>
            <w:r>
              <w:rPr>
                <w:rFonts w:cs="Calibri"/>
                <w:sz w:val="20"/>
                <w:szCs w:val="20"/>
              </w:rPr>
              <w:t>Ranjeni</w:t>
            </w:r>
          </w:p>
        </w:tc>
        <w:tc>
          <w:tcPr>
            <w:tcW w:w="10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0</w:t>
            </w:r>
          </w:p>
        </w:tc>
        <w:tc>
          <w:tcPr>
            <w:tcW w:w="111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0</w:t>
            </w:r>
          </w:p>
        </w:tc>
        <w:tc>
          <w:tcPr>
            <w:tcW w:w="11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8</w:t>
            </w:r>
          </w:p>
        </w:tc>
        <w:tc>
          <w:tcPr>
            <w:tcW w:w="12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16</w:t>
            </w:r>
          </w:p>
        </w:tc>
        <w:tc>
          <w:tcPr>
            <w:tcW w:w="121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53</w:t>
            </w:r>
          </w:p>
        </w:tc>
        <w:tc>
          <w:tcPr>
            <w:tcW w:w="18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77</w:t>
            </w:r>
          </w:p>
        </w:tc>
      </w:tr>
      <w:tr w:rsidR="008F0D85">
        <w:trPr>
          <w:jc w:val="center"/>
        </w:trPr>
        <w:tc>
          <w:tcPr>
            <w:tcW w:w="143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ind w:right="-108"/>
              <w:jc w:val="center"/>
              <w:rPr>
                <w:rFonts w:cs="Calibri"/>
                <w:sz w:val="20"/>
                <w:szCs w:val="20"/>
              </w:rPr>
            </w:pPr>
            <w:r>
              <w:rPr>
                <w:rFonts w:cs="Calibri"/>
                <w:sz w:val="20"/>
                <w:szCs w:val="20"/>
              </w:rPr>
              <w:t>Zatrpani</w:t>
            </w:r>
          </w:p>
        </w:tc>
        <w:tc>
          <w:tcPr>
            <w:tcW w:w="10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0</w:t>
            </w:r>
          </w:p>
        </w:tc>
        <w:tc>
          <w:tcPr>
            <w:tcW w:w="111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0</w:t>
            </w:r>
          </w:p>
        </w:tc>
        <w:tc>
          <w:tcPr>
            <w:tcW w:w="11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11</w:t>
            </w:r>
          </w:p>
        </w:tc>
        <w:tc>
          <w:tcPr>
            <w:tcW w:w="12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32</w:t>
            </w:r>
          </w:p>
        </w:tc>
        <w:tc>
          <w:tcPr>
            <w:tcW w:w="121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52</w:t>
            </w:r>
          </w:p>
        </w:tc>
        <w:tc>
          <w:tcPr>
            <w:tcW w:w="18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sz w:val="20"/>
                <w:szCs w:val="20"/>
              </w:rPr>
            </w:pPr>
            <w:r>
              <w:rPr>
                <w:rFonts w:cs="Calibri"/>
                <w:sz w:val="20"/>
                <w:szCs w:val="20"/>
              </w:rPr>
              <w:t>95</w:t>
            </w:r>
          </w:p>
        </w:tc>
      </w:tr>
      <w:tr w:rsidR="008F0D85">
        <w:trPr>
          <w:jc w:val="center"/>
        </w:trPr>
        <w:tc>
          <w:tcPr>
            <w:tcW w:w="143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ind w:right="-108"/>
              <w:jc w:val="center"/>
              <w:rPr>
                <w:rFonts w:cs="Calibri"/>
                <w:b/>
                <w:sz w:val="20"/>
                <w:szCs w:val="20"/>
              </w:rPr>
            </w:pPr>
            <w:r>
              <w:rPr>
                <w:rFonts w:cs="Calibri"/>
                <w:b/>
                <w:sz w:val="20"/>
                <w:szCs w:val="20"/>
              </w:rPr>
              <w:t>UKUPNO:</w:t>
            </w:r>
          </w:p>
        </w:tc>
        <w:tc>
          <w:tcPr>
            <w:tcW w:w="109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b/>
                <w:sz w:val="20"/>
                <w:szCs w:val="20"/>
              </w:rPr>
            </w:pPr>
            <w:r>
              <w:rPr>
                <w:rFonts w:cs="Calibri"/>
                <w:b/>
                <w:sz w:val="20"/>
                <w:szCs w:val="20"/>
              </w:rPr>
              <w:t>0</w:t>
            </w:r>
          </w:p>
        </w:tc>
        <w:tc>
          <w:tcPr>
            <w:tcW w:w="111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b/>
                <w:sz w:val="20"/>
                <w:szCs w:val="20"/>
              </w:rPr>
            </w:pPr>
            <w:r>
              <w:rPr>
                <w:rFonts w:cs="Calibri"/>
                <w:b/>
                <w:sz w:val="20"/>
                <w:szCs w:val="20"/>
              </w:rPr>
              <w:t>0</w:t>
            </w:r>
          </w:p>
        </w:tc>
        <w:tc>
          <w:tcPr>
            <w:tcW w:w="11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b/>
                <w:sz w:val="20"/>
                <w:szCs w:val="20"/>
              </w:rPr>
            </w:pPr>
            <w:r>
              <w:rPr>
                <w:rFonts w:cs="Calibri"/>
                <w:b/>
                <w:sz w:val="20"/>
                <w:szCs w:val="20"/>
              </w:rPr>
              <w:t>19</w:t>
            </w:r>
          </w:p>
        </w:tc>
        <w:tc>
          <w:tcPr>
            <w:tcW w:w="12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b/>
                <w:sz w:val="20"/>
                <w:szCs w:val="20"/>
              </w:rPr>
            </w:pPr>
            <w:r>
              <w:rPr>
                <w:rFonts w:cs="Calibri"/>
                <w:b/>
                <w:sz w:val="20"/>
                <w:szCs w:val="20"/>
              </w:rPr>
              <w:t>50</w:t>
            </w:r>
          </w:p>
        </w:tc>
        <w:tc>
          <w:tcPr>
            <w:tcW w:w="121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b/>
                <w:sz w:val="20"/>
                <w:szCs w:val="20"/>
              </w:rPr>
            </w:pPr>
            <w:r>
              <w:rPr>
                <w:rFonts w:cs="Calibri"/>
                <w:b/>
                <w:sz w:val="20"/>
                <w:szCs w:val="20"/>
              </w:rPr>
              <w:t>115</w:t>
            </w:r>
          </w:p>
        </w:tc>
        <w:tc>
          <w:tcPr>
            <w:tcW w:w="18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ind w:right="-108"/>
              <w:jc w:val="center"/>
              <w:rPr>
                <w:rFonts w:cs="Calibri"/>
                <w:b/>
                <w:sz w:val="20"/>
                <w:szCs w:val="20"/>
              </w:rPr>
            </w:pPr>
            <w:bookmarkStart w:id="951" w:name="_Hlk512421923"/>
            <w:bookmarkEnd w:id="951"/>
            <w:r>
              <w:rPr>
                <w:rFonts w:cs="Calibri"/>
                <w:b/>
                <w:sz w:val="20"/>
                <w:szCs w:val="20"/>
              </w:rPr>
              <w:t>184</w:t>
            </w:r>
          </w:p>
        </w:tc>
      </w:tr>
    </w:tbl>
    <w:p w:rsidR="008F0D85" w:rsidRDefault="008F0D85"/>
    <w:p w:rsidR="008F0D85" w:rsidRDefault="00AE42A1">
      <w:pPr>
        <w:spacing w:after="0"/>
        <w:rPr>
          <w:rFonts w:cs="Calibri"/>
          <w:b/>
          <w:szCs w:val="24"/>
          <w:u w:val="single"/>
          <w:lang w:eastAsia="hr-HR"/>
        </w:rPr>
      </w:pPr>
      <w:r>
        <w:rPr>
          <w:rFonts w:cs="Calibri"/>
          <w:b/>
          <w:bCs/>
          <w:szCs w:val="24"/>
          <w:u w:val="single"/>
          <w:lang w:eastAsia="hr-HR"/>
        </w:rPr>
        <w:t xml:space="preserve">PROGNOZA BROJA </w:t>
      </w:r>
      <w:r>
        <w:rPr>
          <w:rFonts w:cs="Calibri"/>
          <w:b/>
          <w:bCs/>
          <w:szCs w:val="24"/>
          <w:u w:val="single"/>
          <w:lang w:eastAsia="hr-HR"/>
        </w:rPr>
        <w:t>ŽRTAVA (za potres jačine 8</w:t>
      </w:r>
      <w:r>
        <w:rPr>
          <w:rFonts w:cs="Calibri"/>
          <w:b/>
          <w:szCs w:val="24"/>
          <w:u w:val="single"/>
          <w:lang w:eastAsia="hr-HR"/>
        </w:rPr>
        <w:t>° MCS vršnog ubrzanja 2,94 m/s</w:t>
      </w:r>
      <w:r>
        <w:rPr>
          <w:rFonts w:cs="Calibri"/>
          <w:b/>
          <w:szCs w:val="24"/>
          <w:u w:val="single"/>
          <w:vertAlign w:val="superscript"/>
          <w:lang w:eastAsia="hr-HR"/>
        </w:rPr>
        <w:t>2</w:t>
      </w:r>
      <w:r>
        <w:rPr>
          <w:rFonts w:cs="Calibri"/>
          <w:b/>
          <w:szCs w:val="24"/>
          <w:u w:val="single"/>
          <w:lang w:eastAsia="hr-HR"/>
        </w:rPr>
        <w:t>)</w:t>
      </w:r>
    </w:p>
    <w:p w:rsidR="008F0D85" w:rsidRDefault="008F0D85">
      <w:pPr>
        <w:spacing w:after="0"/>
        <w:rPr>
          <w:rFonts w:cs="Calibri"/>
          <w:b/>
          <w:szCs w:val="24"/>
          <w:u w:val="single"/>
          <w:lang w:eastAsia="hr-HR"/>
        </w:rPr>
      </w:pPr>
    </w:p>
    <w:p w:rsidR="008F0D85" w:rsidRDefault="008F0D85">
      <w:pPr>
        <w:spacing w:after="0"/>
        <w:rPr>
          <w:rFonts w:cs="Arial"/>
          <w:bCs/>
          <w:szCs w:val="24"/>
        </w:rPr>
      </w:pPr>
    </w:p>
    <w:p w:rsidR="008F0D85" w:rsidRDefault="00AE42A1">
      <w:pPr>
        <w:spacing w:after="0"/>
      </w:pPr>
      <w:r>
        <w:rPr>
          <w:rFonts w:cs="Arial"/>
          <w:szCs w:val="24"/>
        </w:rPr>
        <w:t xml:space="preserve">U žrtve potresa ubrajamo </w:t>
      </w:r>
      <w:r>
        <w:rPr>
          <w:rFonts w:cs="Arial"/>
          <w:bCs/>
          <w:szCs w:val="24"/>
        </w:rPr>
        <w:t xml:space="preserve">plitko, srednje i duboko zatrpane </w:t>
      </w:r>
      <w:r>
        <w:rPr>
          <w:rFonts w:cs="Arial"/>
          <w:szCs w:val="24"/>
        </w:rPr>
        <w:t xml:space="preserve">osobe. Plitko zatrpane osobe - moguće spašavanje uporabom lake opreme za spašavanje bez specijalnih radova i građevinskih </w:t>
      </w:r>
      <w:r>
        <w:rPr>
          <w:rFonts w:cs="Arial"/>
          <w:szCs w:val="24"/>
        </w:rPr>
        <w:t>strojeva. Duboko zatrpane osobe - osobe koje je moguće spasiti unutar 20 sati specifičnim radovima, specijalnom opremom i građevinskim strojevima (specijalizirana jedinica za spašavanje iz ruševina). Broj plitko i srednje zatrpanih osoba izračunava se prem</w:t>
      </w:r>
      <w:r>
        <w:rPr>
          <w:rFonts w:cs="Arial"/>
          <w:szCs w:val="24"/>
        </w:rPr>
        <w:t>a formuli (1), a broj duboko zatrpanih osoba prema formuli (2).</w:t>
      </w:r>
    </w:p>
    <w:p w:rsidR="008F0D85" w:rsidRDefault="008F0D85">
      <w:pPr>
        <w:rPr>
          <w:szCs w:val="24"/>
        </w:rPr>
      </w:pPr>
    </w:p>
    <w:p w:rsidR="008F0D85" w:rsidRDefault="00AE42A1">
      <w:pPr>
        <w:numPr>
          <w:ilvl w:val="0"/>
          <w:numId w:val="73"/>
        </w:numPr>
        <w:spacing w:after="0" w:line="240" w:lineRule="auto"/>
      </w:pPr>
      <w:r>
        <w:rPr>
          <w:rFonts w:ascii="Arial" w:hAnsi="Arial" w:cs="Arial"/>
          <w:bCs/>
          <w:sz w:val="22"/>
        </w:rPr>
        <w:t xml:space="preserve">(BPSZ) = A </w:t>
      </w:r>
      <m:oMath>
        <m:nary>
          <m:naryPr>
            <m:chr m:val="∑"/>
            <m:ctrlPr>
              <w:rPr>
                <w:rFonts w:ascii="Cambria Math" w:hAnsi="Cambria Math"/>
              </w:rPr>
            </m:ctrlPr>
          </m:naryPr>
          <m:sub>
            <m:r>
              <w:rPr>
                <w:rFonts w:ascii="Cambria Math" w:hAnsi="Cambria Math"/>
              </w:rPr>
              <m:t>i</m:t>
            </m:r>
            <m:r>
              <w:rPr>
                <w:rFonts w:ascii="Cambria Math" w:hAnsi="Cambria Math"/>
              </w:rPr>
              <m:t>=1</m:t>
            </m:r>
          </m:sub>
          <m:sup>
            <m:r>
              <w:rPr>
                <w:rFonts w:ascii="Cambria Math" w:hAnsi="Cambria Math"/>
              </w:rPr>
              <m:t>n</m:t>
            </m:r>
          </m:sup>
          <m:e>
            <m:r>
              <w:rPr>
                <w:rFonts w:ascii="Cambria Math" w:hAnsi="Cambria Math"/>
              </w:rPr>
              <m:t>B</m:t>
            </m:r>
          </m:e>
        </m:nary>
      </m:oMath>
      <w:r>
        <w:rPr>
          <w:rFonts w:ascii="Arial" w:hAnsi="Arial" w:cs="Arial"/>
          <w:b/>
          <w:bCs/>
          <w:sz w:val="22"/>
        </w:rPr>
        <w:t xml:space="preserve"> </w:t>
      </w:r>
      <w:r>
        <w:rPr>
          <w:rFonts w:ascii="Arial" w:hAnsi="Arial" w:cs="Arial"/>
          <w:bCs/>
          <w:sz w:val="22"/>
        </w:rPr>
        <w:t xml:space="preserve">  </w:t>
      </w:r>
      <m:oMath>
        <m:nary>
          <m:naryPr>
            <m:chr m:val="∑"/>
            <m:ctrlPr>
              <w:rPr>
                <w:rFonts w:ascii="Cambria Math" w:hAnsi="Cambria Math"/>
              </w:rPr>
            </m:ctrlPr>
          </m:naryPr>
          <m:sub>
            <m:r>
              <w:rPr>
                <w:rFonts w:ascii="Cambria Math" w:hAnsi="Cambria Math"/>
              </w:rPr>
              <m:t>j</m:t>
            </m:r>
            <m:r>
              <w:rPr>
                <w:rFonts w:ascii="Cambria Math" w:hAnsi="Cambria Math"/>
              </w:rPr>
              <m:t>=1</m:t>
            </m:r>
          </m:sub>
          <m:sup>
            <m:r>
              <w:rPr>
                <w:rFonts w:ascii="Cambria Math" w:hAnsi="Cambria Math"/>
              </w:rPr>
              <m:t>m</m:t>
            </m:r>
          </m:sup>
          <m:e>
            <m:r>
              <m:rPr>
                <m:lit/>
                <m:nor/>
              </m:rPr>
              <w:rPr>
                <w:rFonts w:ascii="Cambria Math" w:hAnsi="Cambria Math"/>
              </w:rPr>
              <m:t>CD</m:t>
            </m:r>
          </m:e>
        </m:nary>
      </m:oMath>
    </w:p>
    <w:p w:rsidR="008F0D85" w:rsidRDefault="00AE42A1">
      <w:pPr>
        <w:numPr>
          <w:ilvl w:val="0"/>
          <w:numId w:val="73"/>
        </w:numPr>
        <w:tabs>
          <w:tab w:val="left" w:pos="-15414"/>
        </w:tabs>
        <w:spacing w:after="0" w:line="240" w:lineRule="auto"/>
      </w:pPr>
      <w:r>
        <w:rPr>
          <w:rFonts w:ascii="Arial" w:hAnsi="Arial" w:cs="Arial"/>
          <w:bCs/>
          <w:sz w:val="22"/>
        </w:rPr>
        <w:t xml:space="preserve"> (BDZ) = A </w:t>
      </w:r>
      <w:r>
        <w:rPr>
          <w:rFonts w:ascii="Arial" w:hAnsi="Arial" w:cs="Arial"/>
          <w:b/>
          <w:bCs/>
          <w:sz w:val="22"/>
        </w:rPr>
        <w:t xml:space="preserve"> </w:t>
      </w:r>
      <m:oMath>
        <m:nary>
          <m:naryPr>
            <m:chr m:val="∑"/>
            <m:ctrlPr>
              <w:rPr>
                <w:rFonts w:ascii="Cambria Math" w:hAnsi="Cambria Math"/>
              </w:rPr>
            </m:ctrlPr>
          </m:naryPr>
          <m:sub>
            <m:r>
              <w:rPr>
                <w:rFonts w:ascii="Cambria Math" w:hAnsi="Cambria Math"/>
              </w:rPr>
              <m:t>i</m:t>
            </m:r>
            <m:r>
              <w:rPr>
                <w:rFonts w:ascii="Cambria Math" w:hAnsi="Cambria Math"/>
              </w:rPr>
              <m:t>=1</m:t>
            </m:r>
          </m:sub>
          <m:sup>
            <m:r>
              <w:rPr>
                <w:rFonts w:ascii="Cambria Math" w:hAnsi="Cambria Math"/>
              </w:rPr>
              <m:t>n</m:t>
            </m:r>
          </m:sup>
          <m:e>
            <m:r>
              <w:rPr>
                <w:rFonts w:ascii="Cambria Math" w:hAnsi="Cambria Math"/>
              </w:rPr>
              <m:t>B</m:t>
            </m:r>
          </m:e>
        </m:nary>
      </m:oMath>
      <w:r>
        <w:rPr>
          <w:rFonts w:ascii="Arial" w:hAnsi="Arial" w:cs="Arial"/>
          <w:b/>
          <w:bCs/>
          <w:sz w:val="22"/>
        </w:rPr>
        <w:t xml:space="preserve"> </w:t>
      </w:r>
      <w:bookmarkStart w:id="952" w:name="_Hlk503442241"/>
      <w:bookmarkEnd w:id="952"/>
      <m:oMath>
        <m:nary>
          <m:naryPr>
            <m:chr m:val="∑"/>
            <m:ctrlPr>
              <w:rPr>
                <w:rFonts w:ascii="Cambria Math" w:hAnsi="Cambria Math"/>
              </w:rPr>
            </m:ctrlPr>
          </m:naryPr>
          <m:sub>
            <m:r>
              <w:rPr>
                <w:rFonts w:ascii="Cambria Math" w:hAnsi="Cambria Math"/>
              </w:rPr>
              <m:t>j</m:t>
            </m:r>
            <m:r>
              <w:rPr>
                <w:rFonts w:ascii="Cambria Math" w:hAnsi="Cambria Math"/>
              </w:rPr>
              <m:t>=1</m:t>
            </m:r>
          </m:sub>
          <m:sup>
            <m:r>
              <w:rPr>
                <w:rFonts w:ascii="Cambria Math" w:hAnsi="Cambria Math"/>
              </w:rPr>
              <m:t>m</m:t>
            </m:r>
          </m:sup>
          <m:e>
            <m:r>
              <m:rPr>
                <m:lit/>
                <m:nor/>
              </m:rPr>
              <w:rPr>
                <w:rFonts w:ascii="Cambria Math" w:hAnsi="Cambria Math"/>
              </w:rPr>
              <m:t>CE</m:t>
            </m:r>
          </m:e>
        </m:nary>
      </m:oMath>
    </w:p>
    <w:p w:rsidR="008F0D85" w:rsidRDefault="008F0D85"/>
    <w:p w:rsidR="008F0D85" w:rsidRDefault="00AE42A1">
      <w:pPr>
        <w:spacing w:after="120"/>
        <w:rPr>
          <w:rFonts w:cs="Arial"/>
          <w:bCs/>
          <w:szCs w:val="24"/>
        </w:rPr>
      </w:pPr>
      <w:r>
        <w:rPr>
          <w:rFonts w:cs="Arial"/>
          <w:bCs/>
          <w:szCs w:val="24"/>
        </w:rPr>
        <w:t>gdje je:</w:t>
      </w:r>
    </w:p>
    <w:p w:rsidR="008F0D85" w:rsidRDefault="00AE42A1">
      <w:pPr>
        <w:tabs>
          <w:tab w:val="left" w:pos="567"/>
          <w:tab w:val="left" w:pos="709"/>
        </w:tabs>
        <w:spacing w:after="0"/>
      </w:pPr>
      <w:r>
        <w:rPr>
          <w:rFonts w:cs="Arial"/>
          <w:bCs/>
          <w:szCs w:val="24"/>
        </w:rPr>
        <w:t xml:space="preserve">BPSZ - </w:t>
      </w:r>
      <w:r>
        <w:rPr>
          <w:rFonts w:cs="Arial"/>
          <w:szCs w:val="24"/>
        </w:rPr>
        <w:t>broj plitko i srednje zatrpanih osoba,</w:t>
      </w:r>
    </w:p>
    <w:p w:rsidR="008F0D85" w:rsidRDefault="00AE42A1">
      <w:pPr>
        <w:tabs>
          <w:tab w:val="left" w:pos="709"/>
        </w:tabs>
        <w:spacing w:after="0"/>
      </w:pPr>
      <w:r>
        <w:rPr>
          <w:rFonts w:cs="Arial"/>
          <w:szCs w:val="24"/>
        </w:rPr>
        <w:t xml:space="preserve"> BDZ - </w:t>
      </w:r>
      <w:r>
        <w:rPr>
          <w:rFonts w:cs="Arial"/>
          <w:bCs/>
          <w:szCs w:val="24"/>
        </w:rPr>
        <w:t xml:space="preserve">broj </w:t>
      </w:r>
      <w:r>
        <w:rPr>
          <w:rFonts w:cs="Arial"/>
          <w:szCs w:val="24"/>
        </w:rPr>
        <w:t>duboko zatrpanih</w:t>
      </w:r>
      <w:r>
        <w:rPr>
          <w:rFonts w:cs="Arial"/>
          <w:bCs/>
          <w:szCs w:val="24"/>
        </w:rPr>
        <w:t xml:space="preserve"> osoba,</w:t>
      </w:r>
    </w:p>
    <w:p w:rsidR="008F0D85" w:rsidRDefault="00AE42A1">
      <w:pPr>
        <w:tabs>
          <w:tab w:val="left" w:pos="709"/>
        </w:tabs>
        <w:spacing w:after="0"/>
        <w:rPr>
          <w:rFonts w:cs="Arial"/>
          <w:bCs/>
          <w:szCs w:val="24"/>
        </w:rPr>
      </w:pPr>
      <w:r>
        <w:rPr>
          <w:rFonts w:cs="Arial"/>
          <w:bCs/>
          <w:szCs w:val="24"/>
        </w:rPr>
        <w:t xml:space="preserve">     A - ukupan broj osoba koje žive n</w:t>
      </w:r>
      <w:r>
        <w:rPr>
          <w:rFonts w:cs="Arial"/>
          <w:bCs/>
          <w:szCs w:val="24"/>
        </w:rPr>
        <w:t>a nekom području,</w:t>
      </w:r>
    </w:p>
    <w:p w:rsidR="008F0D85" w:rsidRDefault="00AE42A1">
      <w:pPr>
        <w:tabs>
          <w:tab w:val="left" w:pos="709"/>
        </w:tabs>
        <w:spacing w:after="0"/>
        <w:ind w:left="709" w:hanging="709"/>
      </w:pPr>
      <w:r>
        <w:rPr>
          <w:rFonts w:cs="Arial"/>
          <w:bCs/>
          <w:szCs w:val="24"/>
        </w:rPr>
        <w:lastRenderedPageBreak/>
        <w:t xml:space="preserve">     B - </w:t>
      </w:r>
      <w:r>
        <w:rPr>
          <w:rFonts w:cs="Arial"/>
          <w:szCs w:val="24"/>
        </w:rPr>
        <w:t>postotak zastupljenosti zgrada određenog konstruktivnog sustava u ukupnom broj stambenih zgrada određene gradske zone,</w:t>
      </w:r>
    </w:p>
    <w:p w:rsidR="008F0D85" w:rsidRDefault="00AE42A1">
      <w:pPr>
        <w:tabs>
          <w:tab w:val="left" w:pos="0"/>
          <w:tab w:val="left" w:pos="567"/>
        </w:tabs>
        <w:spacing w:after="0"/>
        <w:ind w:left="709" w:hanging="709"/>
        <w:rPr>
          <w:rFonts w:cs="Arial"/>
          <w:szCs w:val="24"/>
        </w:rPr>
      </w:pPr>
      <w:r>
        <w:rPr>
          <w:rFonts w:cs="Arial"/>
          <w:szCs w:val="24"/>
        </w:rPr>
        <w:t xml:space="preserve">     C - postotak zastupljenosti zgrada određenog konstruktivnog sistema prema stupnjevima oštećenja za određe</w:t>
      </w:r>
      <w:r>
        <w:rPr>
          <w:rFonts w:cs="Arial"/>
          <w:szCs w:val="24"/>
        </w:rPr>
        <w:t xml:space="preserve">ni intenzitet procesa u donosu prema ukupnom broju zgrada tog sustava, </w:t>
      </w:r>
    </w:p>
    <w:p w:rsidR="008F0D85" w:rsidRDefault="00AE42A1">
      <w:pPr>
        <w:tabs>
          <w:tab w:val="left" w:pos="567"/>
        </w:tabs>
        <w:spacing w:after="0"/>
        <w:ind w:left="709" w:hanging="709"/>
        <w:rPr>
          <w:rFonts w:cs="Arial"/>
          <w:szCs w:val="24"/>
        </w:rPr>
      </w:pPr>
      <w:r>
        <w:rPr>
          <w:rFonts w:cs="Arial"/>
          <w:szCs w:val="24"/>
        </w:rPr>
        <w:t xml:space="preserve">     D - postotak plitko i srednje zatrpanih za j-to oštećenje u i-tom konstruktivnom sustavu,</w:t>
      </w:r>
    </w:p>
    <w:p w:rsidR="008F0D85" w:rsidRDefault="00AE42A1">
      <w:pPr>
        <w:tabs>
          <w:tab w:val="left" w:pos="567"/>
        </w:tabs>
        <w:spacing w:after="0"/>
        <w:ind w:left="709" w:hanging="709"/>
        <w:rPr>
          <w:rFonts w:cs="Arial"/>
          <w:szCs w:val="24"/>
        </w:rPr>
      </w:pPr>
      <w:r>
        <w:rPr>
          <w:rFonts w:cs="Arial"/>
          <w:szCs w:val="24"/>
        </w:rPr>
        <w:t xml:space="preserve">     E - postotak duboko zatrpanih za j-to oštećenje u i-tom konstruktivnom sustavu.</w:t>
      </w:r>
    </w:p>
    <w:p w:rsidR="008F0D85" w:rsidRDefault="008F0D85">
      <w:pPr>
        <w:rPr>
          <w:szCs w:val="24"/>
        </w:rPr>
      </w:pPr>
    </w:p>
    <w:p w:rsidR="008F0D85" w:rsidRDefault="00AE42A1">
      <w:pPr>
        <w:spacing w:after="0"/>
        <w:jc w:val="left"/>
        <w:rPr>
          <w:rFonts w:cs="Arial"/>
          <w:bCs/>
          <w:szCs w:val="24"/>
        </w:rPr>
      </w:pPr>
      <w:r>
        <w:rPr>
          <w:rFonts w:cs="Arial"/>
          <w:bCs/>
          <w:szCs w:val="24"/>
        </w:rPr>
        <w:t>Izr</w:t>
      </w:r>
      <w:r>
        <w:rPr>
          <w:rFonts w:cs="Arial"/>
          <w:bCs/>
          <w:szCs w:val="24"/>
        </w:rPr>
        <w:t>ačunom je dobiven ukupan broj plitko i srednje zatrpanih i duboko zatrpanih osoba:</w:t>
      </w:r>
    </w:p>
    <w:p w:rsidR="008F0D85" w:rsidRDefault="00AE42A1">
      <w:pPr>
        <w:numPr>
          <w:ilvl w:val="0"/>
          <w:numId w:val="74"/>
        </w:numPr>
        <w:spacing w:after="0" w:line="360" w:lineRule="auto"/>
      </w:pPr>
      <w:r>
        <w:rPr>
          <w:rFonts w:cs="Arial"/>
          <w:b/>
          <w:bCs/>
          <w:szCs w:val="24"/>
        </w:rPr>
        <w:t>11</w:t>
      </w:r>
      <w:r>
        <w:rPr>
          <w:rFonts w:cs="Arial"/>
          <w:bCs/>
          <w:szCs w:val="24"/>
        </w:rPr>
        <w:t xml:space="preserve"> plitko zatrpanih osoba, </w:t>
      </w:r>
    </w:p>
    <w:p w:rsidR="008F0D85" w:rsidRDefault="00AE42A1">
      <w:pPr>
        <w:numPr>
          <w:ilvl w:val="0"/>
          <w:numId w:val="74"/>
        </w:numPr>
        <w:spacing w:after="0" w:line="360" w:lineRule="auto"/>
      </w:pPr>
      <w:r>
        <w:rPr>
          <w:rFonts w:cs="Arial"/>
          <w:b/>
          <w:bCs/>
          <w:szCs w:val="24"/>
        </w:rPr>
        <w:t xml:space="preserve">32 </w:t>
      </w:r>
      <w:r>
        <w:rPr>
          <w:rFonts w:cs="Arial"/>
          <w:bCs/>
          <w:szCs w:val="24"/>
        </w:rPr>
        <w:t>srednje zatrpanih osoba,</w:t>
      </w:r>
    </w:p>
    <w:p w:rsidR="008F0D85" w:rsidRDefault="00AE42A1">
      <w:pPr>
        <w:numPr>
          <w:ilvl w:val="0"/>
          <w:numId w:val="74"/>
        </w:numPr>
        <w:spacing w:after="120" w:line="360" w:lineRule="auto"/>
      </w:pPr>
      <w:r>
        <w:rPr>
          <w:rFonts w:cs="Arial"/>
          <w:b/>
          <w:bCs/>
          <w:szCs w:val="24"/>
        </w:rPr>
        <w:t>52</w:t>
      </w:r>
      <w:r>
        <w:rPr>
          <w:rFonts w:cs="Arial"/>
          <w:bCs/>
          <w:szCs w:val="24"/>
        </w:rPr>
        <w:t xml:space="preserve"> duboko zatrpanih osoba.</w:t>
      </w:r>
    </w:p>
    <w:p w:rsidR="008F0D85" w:rsidRDefault="00AE42A1">
      <w:pPr>
        <w:spacing w:after="120" w:line="360" w:lineRule="auto"/>
        <w:ind w:left="360"/>
        <w:rPr>
          <w:rFonts w:cs="Arial"/>
          <w:b/>
          <w:bCs/>
          <w:szCs w:val="24"/>
        </w:rPr>
      </w:pPr>
      <w:r>
        <w:rPr>
          <w:rFonts w:cs="Arial"/>
          <w:b/>
          <w:bCs/>
          <w:szCs w:val="24"/>
        </w:rPr>
        <w:t>Od kojih:</w:t>
      </w:r>
    </w:p>
    <w:p w:rsidR="008F0D85" w:rsidRDefault="00AE42A1">
      <w:pPr>
        <w:numPr>
          <w:ilvl w:val="0"/>
          <w:numId w:val="74"/>
        </w:numPr>
        <w:spacing w:after="120" w:line="360" w:lineRule="auto"/>
        <w:contextualSpacing/>
        <w:jc w:val="left"/>
        <w:rPr>
          <w:szCs w:val="24"/>
          <w:lang w:val="en-US"/>
        </w:rPr>
      </w:pPr>
      <w:r>
        <w:rPr>
          <w:szCs w:val="24"/>
          <w:lang w:val="en-US"/>
        </w:rPr>
        <w:t xml:space="preserve">Ukupno ranjeno </w:t>
      </w:r>
      <w:r>
        <w:rPr>
          <w:b/>
          <w:szCs w:val="24"/>
          <w:lang w:val="en-US"/>
        </w:rPr>
        <w:t>77</w:t>
      </w:r>
      <w:r>
        <w:rPr>
          <w:szCs w:val="24"/>
          <w:lang w:val="en-US"/>
        </w:rPr>
        <w:t xml:space="preserve"> osoba,</w:t>
      </w:r>
    </w:p>
    <w:p w:rsidR="008F0D85" w:rsidRDefault="00AE42A1">
      <w:pPr>
        <w:numPr>
          <w:ilvl w:val="0"/>
          <w:numId w:val="74"/>
        </w:numPr>
        <w:spacing w:after="120" w:line="360" w:lineRule="auto"/>
        <w:contextualSpacing/>
        <w:jc w:val="left"/>
        <w:rPr>
          <w:szCs w:val="24"/>
          <w:lang w:val="en-US"/>
        </w:rPr>
      </w:pPr>
      <w:r>
        <w:rPr>
          <w:szCs w:val="24"/>
          <w:lang w:val="en-US"/>
        </w:rPr>
        <w:t xml:space="preserve">Ukupno poginulih </w:t>
      </w:r>
      <w:r>
        <w:rPr>
          <w:b/>
          <w:szCs w:val="24"/>
          <w:lang w:val="en-US"/>
        </w:rPr>
        <w:t>12</w:t>
      </w:r>
      <w:r>
        <w:rPr>
          <w:szCs w:val="24"/>
          <w:lang w:val="en-US"/>
        </w:rPr>
        <w:t xml:space="preserve"> osobe.</w:t>
      </w:r>
    </w:p>
    <w:p w:rsidR="008F0D85" w:rsidRDefault="008F0D85"/>
    <w:p w:rsidR="008F0D85" w:rsidRDefault="00AE42A1">
      <w:pPr>
        <w:spacing w:after="120" w:line="360" w:lineRule="auto"/>
        <w:rPr>
          <w:b/>
          <w:szCs w:val="24"/>
          <w:u w:val="single"/>
        </w:rPr>
      </w:pPr>
      <w:r>
        <w:rPr>
          <w:b/>
          <w:szCs w:val="24"/>
          <w:u w:val="single"/>
        </w:rPr>
        <w:t xml:space="preserve">PROCJENA KOLIČINE </w:t>
      </w:r>
      <w:r>
        <w:rPr>
          <w:b/>
          <w:szCs w:val="24"/>
          <w:u w:val="single"/>
        </w:rPr>
        <w:t>GRAĐEVINSKOG OTPADA</w:t>
      </w:r>
    </w:p>
    <w:p w:rsidR="008F0D85" w:rsidRDefault="00AE42A1">
      <w:pPr>
        <w:spacing w:after="120"/>
        <w:rPr>
          <w:rFonts w:cs="Arial"/>
          <w:szCs w:val="24"/>
        </w:rPr>
      </w:pPr>
      <w:r>
        <w:rPr>
          <w:rFonts w:cs="Arial"/>
          <w:szCs w:val="24"/>
        </w:rPr>
        <w:t>Količina građevinskog otpada nastalog urušavanjem važna je da bi se dimenzioniralo i odredilo područje gdje će taj građevinski otpad biti privremeno pohranjen. Količina otpada će se proračunati metodom koju upotrebljava US Army Corps of</w:t>
      </w:r>
      <w:r>
        <w:rPr>
          <w:rFonts w:cs="Arial"/>
          <w:szCs w:val="24"/>
        </w:rPr>
        <w:t xml:space="preserve"> Engineers (USACE)</w:t>
      </w:r>
      <w:r>
        <w:rPr>
          <w:rStyle w:val="Sidrofusnote"/>
          <w:rFonts w:cs="Arial"/>
          <w:szCs w:val="24"/>
        </w:rPr>
        <w:footnoteReference w:id="5"/>
      </w:r>
      <w:r>
        <w:rPr>
          <w:rFonts w:cs="Arial"/>
          <w:szCs w:val="24"/>
        </w:rPr>
        <w:t xml:space="preserve">. Proračunom je utvrđeno da će u Općini doći do </w:t>
      </w:r>
      <w:r>
        <w:rPr>
          <w:rFonts w:cs="Arial"/>
          <w:b/>
          <w:szCs w:val="24"/>
        </w:rPr>
        <w:t>potpunog rušenja i totalnog oštećenja 46 objekta</w:t>
      </w:r>
      <w:r>
        <w:rPr>
          <w:rFonts w:cs="Arial"/>
          <w:szCs w:val="24"/>
        </w:rPr>
        <w:t xml:space="preserve">. Uglavnom se radi o većim objektima stare jezgre, odnosno objektima sagrađenima do 1960-ih godina prošlog stoljeća. </w:t>
      </w:r>
    </w:p>
    <w:p w:rsidR="008F0D85" w:rsidRDefault="00AE42A1">
      <w:pPr>
        <w:spacing w:after="120"/>
        <w:rPr>
          <w:rFonts w:cs="Arial"/>
          <w:szCs w:val="24"/>
        </w:rPr>
      </w:pPr>
      <w:r>
        <w:rPr>
          <w:rFonts w:cs="Arial"/>
          <w:szCs w:val="24"/>
        </w:rPr>
        <w:t>Jedan objekt prosječni</w:t>
      </w:r>
      <w:r>
        <w:rPr>
          <w:rFonts w:cs="Arial"/>
          <w:szCs w:val="24"/>
        </w:rPr>
        <w:t>h gabarita 8 m L* 8 m W * 6 m H ima:</w:t>
      </w:r>
    </w:p>
    <w:p w:rsidR="008F0D85" w:rsidRDefault="00AE42A1">
      <w:pPr>
        <w:spacing w:after="0"/>
        <w:rPr>
          <w:rFonts w:cs="Arial"/>
          <w:szCs w:val="24"/>
        </w:rPr>
      </w:pPr>
      <w:r>
        <w:rPr>
          <w:rFonts w:cs="Arial"/>
          <w:szCs w:val="24"/>
        </w:rPr>
        <w:t>(L* W* H) / 0,02831685 / 27 = --------------  0,7645549 m</w:t>
      </w:r>
      <w:r>
        <w:rPr>
          <w:rFonts w:cs="Arial"/>
          <w:szCs w:val="24"/>
          <w:vertAlign w:val="superscript"/>
        </w:rPr>
        <w:t>3</w:t>
      </w:r>
      <w:r>
        <w:rPr>
          <w:rFonts w:cs="Arial"/>
          <w:szCs w:val="24"/>
        </w:rPr>
        <w:t xml:space="preserve"> * 0,33 = ------------- m</w:t>
      </w:r>
      <w:r>
        <w:rPr>
          <w:rFonts w:cs="Arial"/>
          <w:szCs w:val="24"/>
          <w:vertAlign w:val="superscript"/>
        </w:rPr>
        <w:t>3</w:t>
      </w:r>
      <w:r>
        <w:rPr>
          <w:rFonts w:cs="Arial"/>
          <w:szCs w:val="24"/>
        </w:rPr>
        <w:t xml:space="preserve"> građevinskog otpada</w:t>
      </w:r>
    </w:p>
    <w:p w:rsidR="008F0D85" w:rsidRDefault="008F0D85">
      <w:pPr>
        <w:spacing w:after="0"/>
        <w:rPr>
          <w:rFonts w:cs="Arial"/>
          <w:szCs w:val="24"/>
        </w:rPr>
      </w:pPr>
    </w:p>
    <w:p w:rsidR="008F0D85" w:rsidRDefault="00AE42A1">
      <w:pPr>
        <w:spacing w:after="0"/>
        <w:rPr>
          <w:rFonts w:cs="Arial"/>
          <w:szCs w:val="24"/>
        </w:rPr>
      </w:pPr>
      <w:r>
        <w:rPr>
          <w:rFonts w:cs="Arial"/>
          <w:szCs w:val="24"/>
        </w:rPr>
        <w:t>Prema izračunu proizlazi da jedan objekt ima:</w:t>
      </w:r>
    </w:p>
    <w:p w:rsidR="008F0D85" w:rsidRDefault="00AE42A1">
      <w:pPr>
        <w:spacing w:after="120"/>
        <w:rPr>
          <w:rFonts w:cs="Arial"/>
          <w:szCs w:val="24"/>
        </w:rPr>
      </w:pPr>
      <w:r>
        <w:rPr>
          <w:rFonts w:cs="Arial"/>
          <w:szCs w:val="24"/>
        </w:rPr>
        <w:t>(8*8*6 )/ 0,02831685 /27 = 502,25* 0,7645549* 0,33 = 126,72 m</w:t>
      </w:r>
      <w:r>
        <w:rPr>
          <w:rFonts w:cs="Arial"/>
          <w:szCs w:val="24"/>
          <w:vertAlign w:val="superscript"/>
        </w:rPr>
        <w:t>3</w:t>
      </w:r>
      <w:bookmarkStart w:id="955" w:name="_Hlk503442369"/>
      <w:bookmarkEnd w:id="955"/>
      <w:r>
        <w:rPr>
          <w:rFonts w:cs="Arial"/>
          <w:szCs w:val="24"/>
        </w:rPr>
        <w:t xml:space="preserve"> otpa</w:t>
      </w:r>
      <w:r>
        <w:rPr>
          <w:rFonts w:cs="Arial"/>
          <w:szCs w:val="24"/>
        </w:rPr>
        <w:t>da</w:t>
      </w:r>
    </w:p>
    <w:p w:rsidR="008F0D85" w:rsidRDefault="008F0D85">
      <w:pPr>
        <w:spacing w:after="120"/>
        <w:rPr>
          <w:rFonts w:cs="Arial"/>
          <w:szCs w:val="24"/>
        </w:rPr>
      </w:pPr>
    </w:p>
    <w:p w:rsidR="008F0D85" w:rsidRDefault="00AE42A1">
      <w:pPr>
        <w:spacing w:after="120"/>
        <w:rPr>
          <w:rFonts w:cs="Arial"/>
          <w:szCs w:val="24"/>
        </w:rPr>
      </w:pPr>
      <w:r>
        <w:rPr>
          <w:rFonts w:cs="Arial"/>
          <w:szCs w:val="24"/>
        </w:rPr>
        <w:t>Ukupna količina otpada za sve srušene objekte iznosi 18.677,85 m</w:t>
      </w:r>
      <w:r>
        <w:rPr>
          <w:rFonts w:cs="Arial"/>
          <w:szCs w:val="24"/>
          <w:vertAlign w:val="superscript"/>
        </w:rPr>
        <w:t>3</w:t>
      </w:r>
      <w:r>
        <w:rPr>
          <w:rFonts w:cs="Arial"/>
          <w:szCs w:val="24"/>
        </w:rPr>
        <w:t xml:space="preserve"> otpada.</w:t>
      </w:r>
    </w:p>
    <w:p w:rsidR="008F0D85" w:rsidRDefault="00AE42A1">
      <w:pPr>
        <w:rPr>
          <w:rFonts w:cs="Calibri"/>
        </w:rPr>
      </w:pPr>
      <w:r>
        <w:rPr>
          <w:rFonts w:cs="Calibri"/>
        </w:rPr>
        <w:lastRenderedPageBreak/>
        <w:t>Od ove količine USACE predviđa da će 30% biti drvena građa koja se kasnije može lako reciklirati. Od ostalih 70% predviđa se da je:</w:t>
      </w:r>
    </w:p>
    <w:p w:rsidR="008F0D85" w:rsidRDefault="00AE42A1">
      <w:pPr>
        <w:numPr>
          <w:ilvl w:val="0"/>
          <w:numId w:val="75"/>
        </w:numPr>
        <w:spacing w:after="0"/>
        <w:rPr>
          <w:rFonts w:cs="Calibri"/>
        </w:rPr>
      </w:pPr>
      <w:r>
        <w:rPr>
          <w:rFonts w:cs="Calibri"/>
        </w:rPr>
        <w:t>42% gorivi materijal koji zahtijeva sortiranje</w:t>
      </w:r>
      <w:r>
        <w:rPr>
          <w:rFonts w:cs="Calibri"/>
        </w:rPr>
        <w:t>,</w:t>
      </w:r>
    </w:p>
    <w:p w:rsidR="008F0D85" w:rsidRDefault="00AE42A1">
      <w:pPr>
        <w:numPr>
          <w:ilvl w:val="0"/>
          <w:numId w:val="75"/>
        </w:numPr>
        <w:spacing w:after="0"/>
        <w:rPr>
          <w:rFonts w:cs="Calibri"/>
        </w:rPr>
      </w:pPr>
      <w:r>
        <w:rPr>
          <w:rFonts w:cs="Calibri"/>
        </w:rPr>
        <w:t>43% građevinski otpad (kamen, beton, žbuka),</w:t>
      </w:r>
    </w:p>
    <w:p w:rsidR="008F0D85" w:rsidRDefault="00AE42A1">
      <w:pPr>
        <w:numPr>
          <w:ilvl w:val="0"/>
          <w:numId w:val="75"/>
        </w:numPr>
        <w:spacing w:after="0"/>
        <w:rPr>
          <w:rFonts w:cs="Calibri"/>
        </w:rPr>
      </w:pPr>
      <w:r>
        <w:rPr>
          <w:rFonts w:cs="Calibri"/>
        </w:rPr>
        <w:t>15% metal.</w:t>
      </w:r>
    </w:p>
    <w:p w:rsidR="008F0D85" w:rsidRDefault="008F0D85">
      <w:pPr>
        <w:spacing w:after="0"/>
        <w:ind w:left="720"/>
        <w:rPr>
          <w:rFonts w:cs="Calibri"/>
          <w:highlight w:val="yellow"/>
        </w:rPr>
      </w:pPr>
    </w:p>
    <w:p w:rsidR="008F0D85" w:rsidRDefault="00AE42A1">
      <w:pPr>
        <w:rPr>
          <w:rFonts w:cs="Calibri"/>
        </w:rPr>
      </w:pPr>
      <w:r>
        <w:rPr>
          <w:rFonts w:cs="Calibri"/>
        </w:rPr>
        <w:t>Prema tome, urušavanjem 30 zgrada starije gradnje, pri čemu će nastati ukupno 11.648,40 m</w:t>
      </w:r>
      <w:r>
        <w:rPr>
          <w:rFonts w:cs="Calibri"/>
          <w:vertAlign w:val="superscript"/>
        </w:rPr>
        <w:t>3</w:t>
      </w:r>
      <w:r>
        <w:rPr>
          <w:rFonts w:cs="Calibri"/>
          <w:color w:val="993300"/>
        </w:rPr>
        <w:t xml:space="preserve"> </w:t>
      </w:r>
      <w:r>
        <w:rPr>
          <w:rFonts w:cs="Calibri"/>
        </w:rPr>
        <w:t xml:space="preserve">građevinskog otpada, nastaje: </w:t>
      </w:r>
    </w:p>
    <w:p w:rsidR="008F0D85" w:rsidRDefault="00AE42A1">
      <w:pPr>
        <w:numPr>
          <w:ilvl w:val="0"/>
          <w:numId w:val="75"/>
        </w:numPr>
        <w:contextualSpacing/>
        <w:jc w:val="left"/>
        <w:rPr>
          <w:rFonts w:cs="Calibri"/>
          <w:szCs w:val="24"/>
          <w:lang w:val="en-US"/>
        </w:rPr>
      </w:pPr>
      <w:r>
        <w:rPr>
          <w:rFonts w:cs="Calibri"/>
          <w:szCs w:val="24"/>
          <w:lang w:val="en-US"/>
        </w:rPr>
        <w:t>5.603,36 m</w:t>
      </w:r>
      <w:r>
        <w:rPr>
          <w:rFonts w:cs="Calibri"/>
          <w:szCs w:val="24"/>
          <w:vertAlign w:val="superscript"/>
          <w:lang w:val="en-US"/>
        </w:rPr>
        <w:t>3</w:t>
      </w:r>
      <w:r>
        <w:rPr>
          <w:rFonts w:cs="Calibri"/>
          <w:szCs w:val="24"/>
          <w:lang w:val="en-US"/>
        </w:rPr>
        <w:t xml:space="preserve"> otpada drvene građe,</w:t>
      </w:r>
    </w:p>
    <w:p w:rsidR="008F0D85" w:rsidRDefault="00AE42A1">
      <w:pPr>
        <w:numPr>
          <w:ilvl w:val="0"/>
          <w:numId w:val="75"/>
        </w:numPr>
        <w:contextualSpacing/>
        <w:jc w:val="left"/>
        <w:rPr>
          <w:rFonts w:cs="Calibri"/>
          <w:szCs w:val="24"/>
          <w:lang w:val="en-US"/>
        </w:rPr>
      </w:pPr>
      <w:r>
        <w:rPr>
          <w:rFonts w:cs="Calibri"/>
          <w:szCs w:val="24"/>
          <w:lang w:val="en-US"/>
        </w:rPr>
        <w:t>5.491,29 m</w:t>
      </w:r>
      <w:r>
        <w:rPr>
          <w:rFonts w:cs="Calibri"/>
          <w:szCs w:val="24"/>
          <w:vertAlign w:val="superscript"/>
          <w:lang w:val="en-US"/>
        </w:rPr>
        <w:t>3</w:t>
      </w:r>
      <w:r>
        <w:rPr>
          <w:rFonts w:cs="Calibri"/>
          <w:szCs w:val="24"/>
          <w:lang w:val="en-US"/>
        </w:rPr>
        <w:t xml:space="preserve"> otpada gorivog materijala,</w:t>
      </w:r>
    </w:p>
    <w:p w:rsidR="008F0D85" w:rsidRDefault="00AE42A1">
      <w:pPr>
        <w:numPr>
          <w:ilvl w:val="0"/>
          <w:numId w:val="75"/>
        </w:numPr>
        <w:contextualSpacing/>
        <w:jc w:val="left"/>
        <w:rPr>
          <w:rFonts w:cs="Calibri"/>
          <w:szCs w:val="24"/>
          <w:lang w:val="en-US"/>
        </w:rPr>
      </w:pPr>
      <w:r>
        <w:rPr>
          <w:rFonts w:cs="Calibri"/>
          <w:szCs w:val="24"/>
          <w:lang w:val="en-US"/>
        </w:rPr>
        <w:t>5.622,03 m</w:t>
      </w:r>
      <w:r>
        <w:rPr>
          <w:rFonts w:cs="Calibri"/>
          <w:szCs w:val="24"/>
          <w:vertAlign w:val="superscript"/>
          <w:lang w:val="en-US"/>
        </w:rPr>
        <w:t>3</w:t>
      </w:r>
      <w:r>
        <w:rPr>
          <w:rFonts w:cs="Calibri"/>
          <w:szCs w:val="24"/>
          <w:lang w:val="en-US"/>
        </w:rPr>
        <w:t xml:space="preserve"> građevinskog otpada,</w:t>
      </w:r>
    </w:p>
    <w:p w:rsidR="008F0D85" w:rsidRDefault="00AE42A1">
      <w:pPr>
        <w:numPr>
          <w:ilvl w:val="0"/>
          <w:numId w:val="75"/>
        </w:numPr>
        <w:contextualSpacing/>
        <w:jc w:val="left"/>
        <w:rPr>
          <w:rFonts w:cs="Calibri"/>
          <w:szCs w:val="24"/>
          <w:lang w:val="en-US"/>
        </w:rPr>
      </w:pPr>
      <w:r>
        <w:rPr>
          <w:rFonts w:cs="Calibri"/>
          <w:szCs w:val="24"/>
          <w:lang w:val="en-US"/>
        </w:rPr>
        <w:t>1.961,17 m</w:t>
      </w:r>
      <w:r>
        <w:rPr>
          <w:rFonts w:cs="Calibri"/>
          <w:szCs w:val="24"/>
          <w:vertAlign w:val="superscript"/>
          <w:lang w:val="en-US"/>
        </w:rPr>
        <w:t>3</w:t>
      </w:r>
      <w:r>
        <w:rPr>
          <w:rFonts w:cs="Calibri"/>
          <w:szCs w:val="24"/>
          <w:lang w:val="en-US"/>
        </w:rPr>
        <w:t xml:space="preserve"> metalnog otpada. </w:t>
      </w:r>
    </w:p>
    <w:p w:rsidR="008F0D85" w:rsidRDefault="008F0D85">
      <w:pPr>
        <w:ind w:left="720"/>
        <w:contextualSpacing/>
        <w:jc w:val="left"/>
        <w:rPr>
          <w:rFonts w:cs="Calibri"/>
          <w:szCs w:val="24"/>
          <w:lang w:val="en-US"/>
        </w:rPr>
      </w:pPr>
    </w:p>
    <w:p w:rsidR="008F0D85" w:rsidRDefault="00AE42A1">
      <w:pPr>
        <w:rPr>
          <w:rFonts w:cs="Calibri"/>
        </w:rPr>
      </w:pPr>
      <w:r>
        <w:rPr>
          <w:rFonts w:cs="Calibri"/>
        </w:rPr>
        <w:t>Za sav gore navedeni otpad potrebno je predvidjeti područje za privremeno deponiranje veličine 7.558,65 m</w:t>
      </w:r>
      <w:r>
        <w:rPr>
          <w:rFonts w:cs="Calibri"/>
          <w:vertAlign w:val="superscript"/>
        </w:rPr>
        <w:t>2</w:t>
      </w:r>
      <w:r>
        <w:rPr>
          <w:rFonts w:cs="Calibri"/>
        </w:rPr>
        <w:t>. Područje treba odrediti te u sljedećoj reviziji Prostorn</w:t>
      </w:r>
      <w:r>
        <w:rPr>
          <w:rFonts w:cs="Calibri"/>
        </w:rPr>
        <w:t>og plana ucrtati u kartografe.</w:t>
      </w:r>
    </w:p>
    <w:p w:rsidR="008F0D85" w:rsidRDefault="00AE42A1">
      <w:pPr>
        <w:spacing w:after="0"/>
        <w:rPr>
          <w:rFonts w:cs="Arial"/>
          <w:b/>
          <w:szCs w:val="24"/>
          <w:u w:val="single"/>
          <w:lang w:eastAsia="hr-HR"/>
        </w:rPr>
      </w:pPr>
      <w:r>
        <w:rPr>
          <w:rFonts w:cs="Arial"/>
          <w:b/>
          <w:szCs w:val="24"/>
          <w:u w:val="single"/>
          <w:lang w:eastAsia="hr-HR"/>
        </w:rPr>
        <w:t>PROCJENA GRAĐEVINSKE MEHANIZACIJE I BROJA LJUDSTVA</w:t>
      </w:r>
    </w:p>
    <w:p w:rsidR="008F0D85" w:rsidRDefault="008F0D85">
      <w:pPr>
        <w:rPr>
          <w:rFonts w:cs="Calibri"/>
        </w:rPr>
      </w:pPr>
    </w:p>
    <w:p w:rsidR="008F0D85" w:rsidRDefault="00AE42A1">
      <w:pPr>
        <w:spacing w:after="0"/>
      </w:pPr>
      <w:r>
        <w:t>Procjena građevinske mehanizacije i broja ljudstva potrebnog za uklanjanje dijela ruševina u prva dva dana spašavanja nakon potresa:</w:t>
      </w:r>
    </w:p>
    <w:p w:rsidR="008F0D85" w:rsidRDefault="00AE42A1">
      <w:pPr>
        <w:numPr>
          <w:ilvl w:val="0"/>
          <w:numId w:val="65"/>
        </w:numPr>
        <w:spacing w:after="0"/>
      </w:pPr>
      <w:r>
        <w:rPr>
          <w:szCs w:val="24"/>
        </w:rPr>
        <w:t>nakon katastrofalnog potresa potrebno je</w:t>
      </w:r>
      <w:r>
        <w:rPr>
          <w:szCs w:val="24"/>
        </w:rPr>
        <w:t xml:space="preserve"> u vrlo kratkom roku reagirati kako bi se spasili ljudski životi, iz spasilačke prakse</w:t>
      </w:r>
      <w:r>
        <w:rPr>
          <w:rStyle w:val="Sidrofusnote"/>
          <w:szCs w:val="24"/>
        </w:rPr>
        <w:footnoteReference w:id="6"/>
      </w:r>
      <w:r>
        <w:rPr>
          <w:szCs w:val="24"/>
          <w:vertAlign w:val="superscript"/>
        </w:rPr>
        <w:t xml:space="preserve"> </w:t>
      </w:r>
      <w:r>
        <w:rPr>
          <w:szCs w:val="24"/>
        </w:rPr>
        <w:t>poznato je da se najviše života spasi u prvih šest sati nakon potresa, dok se još uvijek ljudski životi mogu spasiti unutar 48 sati nakon potresa, zbog toga se i procj</w:t>
      </w:r>
      <w:r>
        <w:rPr>
          <w:szCs w:val="24"/>
        </w:rPr>
        <w:t>ena potrebne mehanizacije i broja spasitelja računa za ovaj period</w:t>
      </w:r>
    </w:p>
    <w:p w:rsidR="008F0D85" w:rsidRDefault="00AE42A1">
      <w:pPr>
        <w:numPr>
          <w:ilvl w:val="0"/>
          <w:numId w:val="65"/>
        </w:numPr>
        <w:spacing w:after="0"/>
      </w:pPr>
      <w:r>
        <w:rPr>
          <w:szCs w:val="24"/>
        </w:rPr>
        <w:t>u prvih 24 sata ukloni se približno 20% građevinskog otpada ( 1.120,67 m</w:t>
      </w:r>
      <w:r>
        <w:rPr>
          <w:szCs w:val="24"/>
          <w:vertAlign w:val="superscript"/>
        </w:rPr>
        <w:t>3</w:t>
      </w:r>
      <w:r>
        <w:rPr>
          <w:szCs w:val="24"/>
        </w:rPr>
        <w:t>) od ukupne količine otpada koji je nastao rušenjem (tih 20% otpada odnosi se na otpad koji se uklanja zbog spašavan</w:t>
      </w:r>
      <w:r>
        <w:rPr>
          <w:szCs w:val="24"/>
        </w:rPr>
        <w:t>ja zatrpanih)</w:t>
      </w:r>
    </w:p>
    <w:p w:rsidR="008F0D85" w:rsidRDefault="00AE42A1">
      <w:pPr>
        <w:numPr>
          <w:ilvl w:val="0"/>
          <w:numId w:val="65"/>
        </w:numPr>
        <w:spacing w:after="0"/>
      </w:pPr>
      <w:r>
        <w:rPr>
          <w:szCs w:val="24"/>
        </w:rPr>
        <w:t>svaki kamion kiper kapaciteta 10 m</w:t>
      </w:r>
      <w:r>
        <w:rPr>
          <w:szCs w:val="24"/>
          <w:vertAlign w:val="superscript"/>
        </w:rPr>
        <w:t>3</w:t>
      </w:r>
      <w:r>
        <w:rPr>
          <w:szCs w:val="24"/>
        </w:rPr>
        <w:t xml:space="preserve"> može u 24 sata prosječno napraviti 20 prijevoza na odlagalište otpada, odnosno na područje za privremeno deponiranje veličine 7.558,65 m</w:t>
      </w:r>
      <w:r>
        <w:rPr>
          <w:szCs w:val="24"/>
          <w:vertAlign w:val="superscript"/>
        </w:rPr>
        <w:t>2</w:t>
      </w:r>
    </w:p>
    <w:p w:rsidR="008F0D85" w:rsidRDefault="00AE42A1">
      <w:pPr>
        <w:numPr>
          <w:ilvl w:val="0"/>
          <w:numId w:val="65"/>
        </w:numPr>
        <w:spacing w:after="0"/>
        <w:rPr>
          <w:szCs w:val="24"/>
        </w:rPr>
      </w:pPr>
      <w:r>
        <w:rPr>
          <w:szCs w:val="24"/>
        </w:rPr>
        <w:t>za opsluživanje građevinske mehanizacije i spašavanje u prva 24 sata</w:t>
      </w:r>
      <w:r>
        <w:rPr>
          <w:szCs w:val="24"/>
        </w:rPr>
        <w:t xml:space="preserve"> predviđa se da je potrebno oko 142 ljudi odnosno spasitelja, a u 48 sati 71 spasitelja, a spašavanje i sanacija će trajati približno 1.136 sati.</w:t>
      </w:r>
    </w:p>
    <w:p w:rsidR="008F0D85" w:rsidRDefault="008F0D85">
      <w:pPr>
        <w:spacing w:after="0"/>
        <w:rPr>
          <w:szCs w:val="24"/>
        </w:rPr>
      </w:pPr>
    </w:p>
    <w:p w:rsidR="008F0D85" w:rsidRDefault="008F0D85">
      <w:pPr>
        <w:rPr>
          <w:rFonts w:cs="Calibri"/>
        </w:rPr>
      </w:pPr>
    </w:p>
    <w:p w:rsidR="008F0D85" w:rsidRDefault="00AE42A1">
      <w:pPr>
        <w:spacing w:after="0"/>
        <w:jc w:val="left"/>
        <w:rPr>
          <w:b/>
          <w:szCs w:val="24"/>
          <w:u w:val="single"/>
        </w:rPr>
      </w:pPr>
      <w:r>
        <w:rPr>
          <w:b/>
          <w:szCs w:val="24"/>
          <w:u w:val="single"/>
        </w:rPr>
        <w:lastRenderedPageBreak/>
        <w:t>PRIBLIŽNI TROŠKOVI IZGRADNJE RAZLIČITIH KATEGORIJA GRAĐEVINA</w:t>
      </w:r>
    </w:p>
    <w:p w:rsidR="008F0D85" w:rsidRDefault="008F0D85">
      <w:pPr>
        <w:spacing w:after="0"/>
        <w:rPr>
          <w:rFonts w:cs="Calibri"/>
          <w:color w:val="000000"/>
        </w:rPr>
      </w:pPr>
    </w:p>
    <w:p w:rsidR="008F0D85" w:rsidRDefault="00AE42A1">
      <w:pPr>
        <w:spacing w:after="0"/>
        <w:rPr>
          <w:szCs w:val="24"/>
        </w:rPr>
      </w:pPr>
      <w:r>
        <w:rPr>
          <w:szCs w:val="24"/>
        </w:rPr>
        <w:t>Troškovi sanacije građevina, uklanjanja ruševi</w:t>
      </w:r>
      <w:r>
        <w:rPr>
          <w:szCs w:val="24"/>
        </w:rPr>
        <w:t xml:space="preserve">na i ponovne izgradnje ovise o stupnju oštećenja nakon potresa te se mogu izraziti omjerom troškova potrebnih popravaka ili troškova izgradnje novog objekta, dođe li do potpunog rušenja, a primjenjuju se na postotak građevina u svakoj pojedinoj kategoriji </w:t>
      </w:r>
      <w:r>
        <w:rPr>
          <w:szCs w:val="24"/>
        </w:rPr>
        <w:t>oštećenja.  Procjena ukupnih ekonomskih gubitaka može se izračunati pomoću srednje vrijednosti omjera troškova oštećenja i poznate vrijednosti pogođenog fonda građevina. Za izračun ekonomskih gubitaka na građevinskom fondu koristi se pomoću standardizirane</w:t>
      </w:r>
      <w:r>
        <w:rPr>
          <w:szCs w:val="24"/>
        </w:rPr>
        <w:t xml:space="preserve"> američke metodologije za procjenu gubitaka od potresa, poplava i orkanskog vjetra. Vrijednosti koje se koriste u izračunu štete po stambenom fondu prikazane su u tablici. Trošak izgradnje je pretvoren iz eura  u kune prema tečajnoj listi Hrvatske narodne </w:t>
      </w:r>
      <w:r>
        <w:rPr>
          <w:szCs w:val="24"/>
        </w:rPr>
        <w:t>banke na dan 18. lipanj 2018. godine.</w:t>
      </w:r>
    </w:p>
    <w:p w:rsidR="008F0D85" w:rsidRDefault="008F0D85">
      <w:pPr>
        <w:spacing w:after="0"/>
        <w:jc w:val="center"/>
        <w:rPr>
          <w:szCs w:val="24"/>
        </w:rPr>
      </w:pPr>
    </w:p>
    <w:p w:rsidR="008F0D85" w:rsidRDefault="00AE42A1">
      <w:pPr>
        <w:spacing w:after="0" w:line="360" w:lineRule="auto"/>
        <w:jc w:val="center"/>
        <w:rPr>
          <w:rFonts w:cs="Arial"/>
          <w:b/>
          <w:bCs/>
          <w:sz w:val="20"/>
          <w:szCs w:val="24"/>
        </w:rPr>
      </w:pPr>
      <w:bookmarkStart w:id="957" w:name="_Toc514142957"/>
      <w:bookmarkStart w:id="958" w:name="_Toc516128441"/>
      <w:bookmarkStart w:id="959" w:name="_Toc527969538"/>
      <w:r>
        <w:rPr>
          <w:rFonts w:cs="Arial"/>
          <w:b/>
          <w:bCs/>
          <w:sz w:val="20"/>
          <w:szCs w:val="20"/>
        </w:rPr>
        <w:t xml:space="preserve">Tablica </w:t>
      </w:r>
      <w:r>
        <w:rPr>
          <w:rFonts w:cs="Arial"/>
          <w:b/>
          <w:bCs/>
          <w:sz w:val="20"/>
          <w:szCs w:val="20"/>
        </w:rPr>
        <w:fldChar w:fldCharType="begin"/>
      </w:r>
      <w:r>
        <w:instrText>SEQ Tablica \* ARABIC</w:instrText>
      </w:r>
      <w:r>
        <w:fldChar w:fldCharType="separate"/>
      </w:r>
      <w:r>
        <w:t>56</w:t>
      </w:r>
      <w:r>
        <w:fldChar w:fldCharType="end"/>
      </w:r>
      <w:bookmarkEnd w:id="957"/>
      <w:bookmarkEnd w:id="958"/>
      <w:bookmarkEnd w:id="959"/>
      <w:r>
        <w:rPr>
          <w:rFonts w:cs="Arial"/>
          <w:b/>
          <w:bCs/>
          <w:sz w:val="20"/>
          <w:szCs w:val="20"/>
        </w:rPr>
        <w:t>: Približni jedinični troškovi izgradnje raznih kategorija građevina</w:t>
      </w:r>
    </w:p>
    <w:tbl>
      <w:tblPr>
        <w:tblW w:w="906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988"/>
        <w:gridCol w:w="6097"/>
        <w:gridCol w:w="983"/>
        <w:gridCol w:w="992"/>
      </w:tblGrid>
      <w:tr w:rsidR="008F0D85">
        <w:tc>
          <w:tcPr>
            <w:tcW w:w="98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Klasa</w:t>
            </w:r>
          </w:p>
        </w:tc>
        <w:tc>
          <w:tcPr>
            <w:tcW w:w="609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Opis</w:t>
            </w:r>
          </w:p>
        </w:tc>
        <w:tc>
          <w:tcPr>
            <w:tcW w:w="98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pPr>
            <w:r>
              <w:rPr>
                <w:b/>
                <w:sz w:val="20"/>
                <w:szCs w:val="20"/>
              </w:rPr>
              <w:t>Trošak (</w:t>
            </w:r>
            <w:r>
              <w:rPr>
                <w:rFonts w:cs="Calibri"/>
                <w:b/>
                <w:sz w:val="20"/>
                <w:szCs w:val="20"/>
              </w:rPr>
              <w:t>€</w:t>
            </w:r>
            <w:r>
              <w:rPr>
                <w:b/>
                <w:sz w:val="20"/>
                <w:szCs w:val="20"/>
              </w:rPr>
              <w:t>/m</w:t>
            </w:r>
            <w:r>
              <w:rPr>
                <w:b/>
                <w:sz w:val="20"/>
                <w:szCs w:val="20"/>
                <w:vertAlign w:val="superscript"/>
              </w:rPr>
              <w:t>2</w:t>
            </w:r>
            <w:r>
              <w:rPr>
                <w:b/>
                <w:sz w:val="20"/>
                <w:szCs w:val="20"/>
              </w:rPr>
              <w:t>)</w:t>
            </w:r>
          </w:p>
        </w:tc>
        <w:tc>
          <w:tcPr>
            <w:tcW w:w="99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pPr>
            <w:r>
              <w:rPr>
                <w:b/>
                <w:sz w:val="20"/>
                <w:szCs w:val="20"/>
              </w:rPr>
              <w:t>Trošak (kn/m</w:t>
            </w:r>
            <w:r>
              <w:rPr>
                <w:b/>
                <w:sz w:val="20"/>
                <w:szCs w:val="20"/>
                <w:vertAlign w:val="superscript"/>
              </w:rPr>
              <w:t>2</w:t>
            </w:r>
            <w:r>
              <w:rPr>
                <w:b/>
                <w:sz w:val="20"/>
                <w:szCs w:val="20"/>
              </w:rPr>
              <w:t>)</w:t>
            </w:r>
          </w:p>
        </w:tc>
      </w:tr>
      <w:tr w:rsidR="008F0D85">
        <w:tc>
          <w:tcPr>
            <w:tcW w:w="98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Ia</w:t>
            </w:r>
          </w:p>
        </w:tc>
        <w:tc>
          <w:tcPr>
            <w:tcW w:w="609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Jednostavne poljoprivredne građevine, pomoćne građevine i slično</w:t>
            </w:r>
          </w:p>
        </w:tc>
        <w:tc>
          <w:tcPr>
            <w:tcW w:w="98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28,4</w:t>
            </w:r>
          </w:p>
        </w:tc>
        <w:tc>
          <w:tcPr>
            <w:tcW w:w="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209,61</w:t>
            </w:r>
          </w:p>
        </w:tc>
      </w:tr>
      <w:tr w:rsidR="008F0D85">
        <w:tc>
          <w:tcPr>
            <w:tcW w:w="98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Ib</w:t>
            </w:r>
          </w:p>
        </w:tc>
        <w:tc>
          <w:tcPr>
            <w:tcW w:w="609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Spremišta (rezervoari) vode, trgovačka skladišta, štale i slično</w:t>
            </w:r>
          </w:p>
        </w:tc>
        <w:tc>
          <w:tcPr>
            <w:tcW w:w="98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49,5</w:t>
            </w:r>
          </w:p>
        </w:tc>
        <w:tc>
          <w:tcPr>
            <w:tcW w:w="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365,34</w:t>
            </w:r>
          </w:p>
        </w:tc>
      </w:tr>
      <w:tr w:rsidR="008F0D85">
        <w:tc>
          <w:tcPr>
            <w:tcW w:w="98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IIa</w:t>
            </w:r>
          </w:p>
        </w:tc>
        <w:tc>
          <w:tcPr>
            <w:tcW w:w="609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Tornjevi, vodotornjevi, ostala spremišta</w:t>
            </w:r>
          </w:p>
        </w:tc>
        <w:tc>
          <w:tcPr>
            <w:tcW w:w="98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78,4</w:t>
            </w:r>
          </w:p>
        </w:tc>
        <w:tc>
          <w:tcPr>
            <w:tcW w:w="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578,63</w:t>
            </w:r>
          </w:p>
        </w:tc>
      </w:tr>
      <w:tr w:rsidR="008F0D85">
        <w:tc>
          <w:tcPr>
            <w:tcW w:w="98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IIb</w:t>
            </w:r>
          </w:p>
        </w:tc>
        <w:tc>
          <w:tcPr>
            <w:tcW w:w="609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 xml:space="preserve">Uredi, trgovine, poljoprivredne građevine do visine jednog kata, jednostavna </w:t>
            </w:r>
            <w:r>
              <w:rPr>
                <w:sz w:val="20"/>
                <w:szCs w:val="20"/>
              </w:rPr>
              <w:t>industrijska postrojenja i slično</w:t>
            </w:r>
          </w:p>
        </w:tc>
        <w:tc>
          <w:tcPr>
            <w:tcW w:w="98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146,4</w:t>
            </w:r>
          </w:p>
        </w:tc>
        <w:tc>
          <w:tcPr>
            <w:tcW w:w="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1.080,51</w:t>
            </w:r>
          </w:p>
        </w:tc>
      </w:tr>
      <w:tr w:rsidR="008F0D85">
        <w:tc>
          <w:tcPr>
            <w:tcW w:w="98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IIIa</w:t>
            </w:r>
          </w:p>
        </w:tc>
        <w:tc>
          <w:tcPr>
            <w:tcW w:w="609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Stambene zgrade do četiri kata, lokalne sportske građevine, parkirališta na kat, poslovne građevine i slično</w:t>
            </w:r>
          </w:p>
        </w:tc>
        <w:tc>
          <w:tcPr>
            <w:tcW w:w="98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175,8</w:t>
            </w:r>
          </w:p>
        </w:tc>
        <w:tc>
          <w:tcPr>
            <w:tcW w:w="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1.297,49</w:t>
            </w:r>
          </w:p>
        </w:tc>
      </w:tr>
      <w:tr w:rsidR="008F0D85">
        <w:tc>
          <w:tcPr>
            <w:tcW w:w="98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IIIb</w:t>
            </w:r>
          </w:p>
        </w:tc>
        <w:tc>
          <w:tcPr>
            <w:tcW w:w="609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 xml:space="preserve">Stambene i poslovne građevine, složenije poljoprivredne i </w:t>
            </w:r>
            <w:r>
              <w:rPr>
                <w:sz w:val="20"/>
                <w:szCs w:val="20"/>
              </w:rPr>
              <w:t>industrijske građevine, građevine javnih institucija, domovi zdravlja, hoteli niže kategorije i slično</w:t>
            </w:r>
          </w:p>
        </w:tc>
        <w:tc>
          <w:tcPr>
            <w:tcW w:w="98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200,5</w:t>
            </w:r>
          </w:p>
        </w:tc>
        <w:tc>
          <w:tcPr>
            <w:tcW w:w="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1.479,79</w:t>
            </w:r>
          </w:p>
        </w:tc>
      </w:tr>
      <w:tr w:rsidR="008F0D85">
        <w:tc>
          <w:tcPr>
            <w:tcW w:w="98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IVa</w:t>
            </w:r>
          </w:p>
        </w:tc>
        <w:tc>
          <w:tcPr>
            <w:tcW w:w="609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Privatne kuće, uredske zgrade, veliki trgovački centri</w:t>
            </w:r>
          </w:p>
        </w:tc>
        <w:tc>
          <w:tcPr>
            <w:tcW w:w="98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226,3</w:t>
            </w:r>
          </w:p>
        </w:tc>
        <w:tc>
          <w:tcPr>
            <w:tcW w:w="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1.670,21</w:t>
            </w:r>
          </w:p>
        </w:tc>
      </w:tr>
      <w:tr w:rsidR="008F0D85">
        <w:tc>
          <w:tcPr>
            <w:tcW w:w="98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IVb</w:t>
            </w:r>
          </w:p>
        </w:tc>
        <w:tc>
          <w:tcPr>
            <w:tcW w:w="609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Trgovački centri i hoteli viših kategorija</w:t>
            </w:r>
          </w:p>
        </w:tc>
        <w:tc>
          <w:tcPr>
            <w:tcW w:w="98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250,0</w:t>
            </w:r>
          </w:p>
        </w:tc>
        <w:tc>
          <w:tcPr>
            <w:tcW w:w="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1.845,13</w:t>
            </w:r>
          </w:p>
        </w:tc>
      </w:tr>
      <w:tr w:rsidR="008F0D85">
        <w:tc>
          <w:tcPr>
            <w:tcW w:w="98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IVc</w:t>
            </w:r>
          </w:p>
        </w:tc>
        <w:tc>
          <w:tcPr>
            <w:tcW w:w="609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Bolnice, knjižnice i kulturne građevine</w:t>
            </w:r>
          </w:p>
        </w:tc>
        <w:tc>
          <w:tcPr>
            <w:tcW w:w="98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300,5</w:t>
            </w:r>
          </w:p>
        </w:tc>
        <w:tc>
          <w:tcPr>
            <w:tcW w:w="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2.217,85</w:t>
            </w:r>
          </w:p>
        </w:tc>
      </w:tr>
      <w:tr w:rsidR="008F0D85">
        <w:tc>
          <w:tcPr>
            <w:tcW w:w="98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Va</w:t>
            </w:r>
          </w:p>
        </w:tc>
        <w:tc>
          <w:tcPr>
            <w:tcW w:w="609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Radio i TV postaje, obrazovne institucije, trgovački centri s dodatnim sadržajem</w:t>
            </w:r>
          </w:p>
        </w:tc>
        <w:tc>
          <w:tcPr>
            <w:tcW w:w="98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372,6</w:t>
            </w:r>
          </w:p>
        </w:tc>
        <w:tc>
          <w:tcPr>
            <w:tcW w:w="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2.749,98</w:t>
            </w:r>
          </w:p>
        </w:tc>
      </w:tr>
      <w:tr w:rsidR="008F0D85">
        <w:tc>
          <w:tcPr>
            <w:tcW w:w="98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Vb</w:t>
            </w:r>
          </w:p>
        </w:tc>
        <w:tc>
          <w:tcPr>
            <w:tcW w:w="609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Kongresni centri, zračne luke</w:t>
            </w:r>
          </w:p>
        </w:tc>
        <w:tc>
          <w:tcPr>
            <w:tcW w:w="98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451,6</w:t>
            </w:r>
          </w:p>
        </w:tc>
        <w:tc>
          <w:tcPr>
            <w:tcW w:w="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3.333,04</w:t>
            </w:r>
          </w:p>
        </w:tc>
      </w:tr>
      <w:tr w:rsidR="008F0D85">
        <w:tc>
          <w:tcPr>
            <w:tcW w:w="98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Vc</w:t>
            </w:r>
          </w:p>
        </w:tc>
        <w:tc>
          <w:tcPr>
            <w:tcW w:w="609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 xml:space="preserve">Kliničko – bolnički centri, </w:t>
            </w:r>
            <w:r>
              <w:rPr>
                <w:sz w:val="20"/>
                <w:szCs w:val="20"/>
              </w:rPr>
              <w:t>hoteli najviših kategorija</w:t>
            </w:r>
          </w:p>
        </w:tc>
        <w:tc>
          <w:tcPr>
            <w:tcW w:w="98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513,3</w:t>
            </w:r>
          </w:p>
        </w:tc>
        <w:tc>
          <w:tcPr>
            <w:tcW w:w="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3.788,42</w:t>
            </w:r>
          </w:p>
        </w:tc>
      </w:tr>
      <w:tr w:rsidR="008F0D85">
        <w:tc>
          <w:tcPr>
            <w:tcW w:w="98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Vd</w:t>
            </w:r>
          </w:p>
        </w:tc>
        <w:tc>
          <w:tcPr>
            <w:tcW w:w="609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Kazališta, operne i koncertne dvorane</w:t>
            </w:r>
          </w:p>
        </w:tc>
        <w:tc>
          <w:tcPr>
            <w:tcW w:w="98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615,3</w:t>
            </w:r>
          </w:p>
        </w:tc>
        <w:tc>
          <w:tcPr>
            <w:tcW w:w="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sz w:val="20"/>
                <w:szCs w:val="20"/>
              </w:rPr>
            </w:pPr>
            <w:r>
              <w:rPr>
                <w:sz w:val="20"/>
                <w:szCs w:val="20"/>
              </w:rPr>
              <w:t>4.541,23</w:t>
            </w:r>
          </w:p>
        </w:tc>
      </w:tr>
    </w:tbl>
    <w:p w:rsidR="008F0D85" w:rsidRDefault="00AE42A1">
      <w:pPr>
        <w:spacing w:after="0"/>
        <w:jc w:val="center"/>
        <w:rPr>
          <w:sz w:val="20"/>
          <w:szCs w:val="20"/>
        </w:rPr>
      </w:pPr>
      <w:bookmarkStart w:id="960" w:name="_Hlk512422864"/>
      <w:bookmarkStart w:id="961" w:name="_Hlk503443972"/>
      <w:bookmarkEnd w:id="960"/>
      <w:bookmarkEnd w:id="961"/>
      <w:r>
        <w:rPr>
          <w:sz w:val="20"/>
          <w:szCs w:val="20"/>
        </w:rPr>
        <w:t>Izvor: Procjena rizika od katastrofa za Republiku Hrvatsku, 2016.god.</w:t>
      </w:r>
    </w:p>
    <w:p w:rsidR="008F0D85" w:rsidRDefault="008F0D85">
      <w:pPr>
        <w:rPr>
          <w:rFonts w:cs="Calibri"/>
        </w:rPr>
      </w:pPr>
      <w:bookmarkStart w:id="962" w:name="_Hlk512422440"/>
      <w:bookmarkEnd w:id="962"/>
    </w:p>
    <w:p w:rsidR="008F0D85" w:rsidRDefault="008F0D85"/>
    <w:p w:rsidR="008F0D85" w:rsidRDefault="008F0D85"/>
    <w:p w:rsidR="008F0D85" w:rsidRDefault="008F0D85"/>
    <w:p w:rsidR="008F0D85" w:rsidRDefault="008F0D85"/>
    <w:p w:rsidR="008F0D85" w:rsidRDefault="008F0D85"/>
    <w:p w:rsidR="008F0D85" w:rsidRDefault="00AE42A1">
      <w:pPr>
        <w:pStyle w:val="Naslov5"/>
      </w:pPr>
      <w:bookmarkStart w:id="963" w:name="_Toc514142874"/>
      <w:bookmarkStart w:id="964" w:name="_Toc516128344"/>
      <w:bookmarkStart w:id="965" w:name="_Toc527969439"/>
      <w:bookmarkEnd w:id="963"/>
      <w:bookmarkEnd w:id="964"/>
      <w:bookmarkEnd w:id="965"/>
      <w:r>
        <w:lastRenderedPageBreak/>
        <w:t>6.5.2.1.1. Posljedice – Potres</w:t>
      </w:r>
    </w:p>
    <w:p w:rsidR="008F0D85" w:rsidRDefault="00AE42A1">
      <w:pPr>
        <w:pStyle w:val="Naslov6"/>
      </w:pPr>
      <w:r>
        <w:t xml:space="preserve">6.5.2.1.1.1. Procjena posljedica potresa na </w:t>
      </w:r>
      <w:r>
        <w:t>život i zdravlje ljudi</w:t>
      </w:r>
    </w:p>
    <w:p w:rsidR="008F0D85" w:rsidRDefault="008F0D85"/>
    <w:p w:rsidR="008F0D85" w:rsidRDefault="00AE42A1">
      <w:pPr>
        <w:spacing w:after="0"/>
        <w:rPr>
          <w:rFonts w:cs="Arial"/>
          <w:bCs/>
          <w:szCs w:val="24"/>
        </w:rPr>
      </w:pPr>
      <w:r>
        <w:t>Posljedice po život i zdravlje ljudi prikazuju se ukupnim brojem ljudi za koje se procjenjuje da bi mogli biti na području prijetnje, odnosno u sastavu nekog od procesa nastalih kao rezultat/posljedica događaja opisanih scenarijem (</w:t>
      </w:r>
      <w:r>
        <w:t xml:space="preserve">poginuli, ozlijeđeni, oboljeli, evakuirani, zbrinuti i sklonjeni). </w:t>
      </w:r>
      <w:r>
        <w:rPr>
          <w:szCs w:val="24"/>
        </w:rPr>
        <w:t>Procjena posljedica na život i zdravlje ljudi vezana za stupanj oštećenja građevina jer bez detaljnih istraživanja nije moguće precizno procijeniti broj poginulih te duboko, srednje i plitk</w:t>
      </w:r>
      <w:r>
        <w:rPr>
          <w:szCs w:val="24"/>
        </w:rPr>
        <w:t xml:space="preserve">o zatrpanih. Prema prognozi broja žrtava </w:t>
      </w:r>
      <w:r>
        <w:rPr>
          <w:rFonts w:cs="Arial"/>
          <w:bCs/>
          <w:szCs w:val="24"/>
        </w:rPr>
        <w:t>izračunom je  dobiven ukupan broj plitko i srednje zatrpanih i duboko zatrpanih osoba: 11 plitko, 32 srednje zatrpanih osoba te 46 duboko zatrpanih osoba, točnije 78 ukupno ranjenih te 12 poginulih osobe.</w:t>
      </w:r>
    </w:p>
    <w:p w:rsidR="008F0D85" w:rsidRDefault="008F0D85">
      <w:pPr>
        <w:jc w:val="center"/>
      </w:pPr>
    </w:p>
    <w:p w:rsidR="008F0D85" w:rsidRDefault="00AE42A1">
      <w:pPr>
        <w:spacing w:after="0" w:line="360" w:lineRule="auto"/>
        <w:jc w:val="center"/>
        <w:rPr>
          <w:rFonts w:cs="Arial"/>
          <w:b/>
          <w:bCs/>
          <w:sz w:val="20"/>
          <w:szCs w:val="20"/>
        </w:rPr>
      </w:pPr>
      <w:bookmarkStart w:id="966" w:name="_Toc514142958"/>
      <w:bookmarkStart w:id="967" w:name="_Toc516128442"/>
      <w:bookmarkStart w:id="968" w:name="_Toc527969539"/>
      <w:r>
        <w:rPr>
          <w:rFonts w:cs="Arial"/>
          <w:b/>
          <w:bCs/>
          <w:sz w:val="20"/>
          <w:szCs w:val="20"/>
        </w:rPr>
        <w:t xml:space="preserve">Tablica </w:t>
      </w:r>
      <w:r>
        <w:rPr>
          <w:rFonts w:cs="Arial"/>
          <w:b/>
          <w:bCs/>
          <w:sz w:val="20"/>
          <w:szCs w:val="20"/>
        </w:rPr>
        <w:fldChar w:fldCharType="begin"/>
      </w:r>
      <w:r>
        <w:instrText>SEQ Tablica \* ARABIC</w:instrText>
      </w:r>
      <w:r>
        <w:fldChar w:fldCharType="separate"/>
      </w:r>
      <w:r>
        <w:t>57</w:t>
      </w:r>
      <w:r>
        <w:fldChar w:fldCharType="end"/>
      </w:r>
      <w:bookmarkEnd w:id="966"/>
      <w:bookmarkEnd w:id="967"/>
      <w:bookmarkEnd w:id="968"/>
      <w:r>
        <w:rPr>
          <w:rFonts w:cs="Arial"/>
          <w:b/>
          <w:bCs/>
          <w:sz w:val="20"/>
          <w:szCs w:val="20"/>
        </w:rPr>
        <w:t>: Prikaz prijetnjom nastalih posljedica na život i zdravlje ljudi - Potres</w:t>
      </w:r>
    </w:p>
    <w:tbl>
      <w:tblPr>
        <w:tblW w:w="7471"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752"/>
        <w:gridCol w:w="2153"/>
        <w:gridCol w:w="2021"/>
        <w:gridCol w:w="1545"/>
      </w:tblGrid>
      <w:tr w:rsidR="008F0D85">
        <w:trPr>
          <w:trHeight w:val="173"/>
          <w:jc w:val="center"/>
        </w:trPr>
        <w:tc>
          <w:tcPr>
            <w:tcW w:w="7470"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Život i zdravlje ljudi</w:t>
            </w: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215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Posljedice</w:t>
            </w:r>
          </w:p>
        </w:tc>
        <w:tc>
          <w:tcPr>
            <w:tcW w:w="202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Broj stanovnika</w:t>
            </w:r>
          </w:p>
        </w:tc>
        <w:tc>
          <w:tcPr>
            <w:tcW w:w="154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Odabrano</w:t>
            </w: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Neznatne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&lt; 0,033</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b/>
                <w:sz w:val="20"/>
                <w:szCs w:val="20"/>
              </w:rPr>
            </w:pP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Malene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0,033 – 0,152</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0,155 – 0,364</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181"/>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Značajne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0,397 – 1,157</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4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Katastrofalne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1,19</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b/>
                <w:sz w:val="20"/>
                <w:szCs w:val="20"/>
              </w:rPr>
            </w:pPr>
            <w:r>
              <w:rPr>
                <w:b/>
                <w:sz w:val="20"/>
                <w:szCs w:val="20"/>
              </w:rPr>
              <w:t>X</w:t>
            </w:r>
          </w:p>
        </w:tc>
      </w:tr>
    </w:tbl>
    <w:p w:rsidR="008F0D85" w:rsidRDefault="008F0D85"/>
    <w:p w:rsidR="008F0D85" w:rsidRDefault="00AE42A1">
      <w:pPr>
        <w:pStyle w:val="Naslov6"/>
      </w:pPr>
      <w:r>
        <w:t>6.5.2.1.1.2. Procjena posljedica potresa na gospodarstvo</w:t>
      </w:r>
    </w:p>
    <w:p w:rsidR="008F0D85" w:rsidRDefault="008F0D85"/>
    <w:p w:rsidR="008F0D85" w:rsidRDefault="00AE42A1">
      <w:pPr>
        <w:spacing w:after="0"/>
        <w:rPr>
          <w:szCs w:val="24"/>
        </w:rPr>
      </w:pPr>
      <w:r>
        <w:rPr>
          <w:szCs w:val="24"/>
        </w:rPr>
        <w:t>Procjena posljedica na gospodarstvo vezana je na direktne (izravne) i indirektne (neizravne) gubitke. Direktne posljedice su također vezane na oštećenja građevina odnosno nesigurnosti u procjeni su vezane za nesigurnosti u procjeni oštećenih zgrada. Vrijed</w:t>
      </w:r>
      <w:r>
        <w:rPr>
          <w:szCs w:val="24"/>
        </w:rPr>
        <w:t xml:space="preserve">nosti su orijentacijske odnosno ne mogu predstavljati realne troškove potrebe za popravak zgrada jer isti odstupaju i ovise o mnoštvu parametara (starost građevine, vrsta materijala itd.). Indirektne posljedice je vrlo teško procijeniti. </w:t>
      </w:r>
    </w:p>
    <w:p w:rsidR="008F0D85" w:rsidRDefault="00AE42A1">
      <w:r>
        <w:t>Odnosi se na ukup</w:t>
      </w:r>
      <w:r>
        <w:t>nu materijalnu i financijsku štetu u gospodarstvu. Šteta se prikazuje u odnosu na proračun Općine.</w:t>
      </w:r>
    </w:p>
    <w:p w:rsidR="008F0D85" w:rsidRDefault="00AE42A1">
      <w:r>
        <w:t xml:space="preserve">Također, uslijed razornog potresa javljaju se velike štete na poljoprivredi, vodnom gospodarstvu te okolišu. </w:t>
      </w:r>
    </w:p>
    <w:p w:rsidR="008F0D85" w:rsidRDefault="00AE42A1">
      <w:pPr>
        <w:rPr>
          <w:iCs/>
        </w:rPr>
      </w:pPr>
      <w:r>
        <w:t>Navedena materijalna šteta ne odnosi se na mate</w:t>
      </w:r>
      <w:r>
        <w:t xml:space="preserve">rijalnu štetu koja treba biti iskazana u kategoriji </w:t>
      </w:r>
      <w:r>
        <w:rPr>
          <w:iCs/>
        </w:rPr>
        <w:t>Društvena stabilnost i politika.</w:t>
      </w:r>
    </w:p>
    <w:p w:rsidR="008F0D85" w:rsidRDefault="008F0D85">
      <w:pPr>
        <w:rPr>
          <w:iCs/>
        </w:rPr>
      </w:pPr>
    </w:p>
    <w:p w:rsidR="008F0D85" w:rsidRDefault="008F0D85">
      <w:pPr>
        <w:rPr>
          <w:iCs/>
        </w:rPr>
      </w:pPr>
    </w:p>
    <w:p w:rsidR="008F0D85" w:rsidRDefault="00AE42A1">
      <w:pPr>
        <w:spacing w:after="0" w:line="360" w:lineRule="auto"/>
        <w:jc w:val="center"/>
        <w:rPr>
          <w:rFonts w:cs="Arial"/>
          <w:b/>
          <w:bCs/>
          <w:sz w:val="20"/>
          <w:szCs w:val="20"/>
        </w:rPr>
      </w:pPr>
      <w:bookmarkStart w:id="969" w:name="_Toc514142959"/>
      <w:bookmarkStart w:id="970" w:name="_Toc516128443"/>
      <w:bookmarkStart w:id="971" w:name="_Toc527969540"/>
      <w:r>
        <w:rPr>
          <w:rFonts w:cs="Arial"/>
          <w:b/>
          <w:bCs/>
          <w:sz w:val="20"/>
          <w:szCs w:val="20"/>
        </w:rPr>
        <w:t xml:space="preserve">Tablica </w:t>
      </w:r>
      <w:r>
        <w:rPr>
          <w:rFonts w:cs="Arial"/>
          <w:b/>
          <w:bCs/>
          <w:sz w:val="20"/>
          <w:szCs w:val="20"/>
        </w:rPr>
        <w:fldChar w:fldCharType="begin"/>
      </w:r>
      <w:r>
        <w:instrText>SEQ Tablica \* ARABIC</w:instrText>
      </w:r>
      <w:r>
        <w:fldChar w:fldCharType="separate"/>
      </w:r>
      <w:r>
        <w:t>58</w:t>
      </w:r>
      <w:r>
        <w:fldChar w:fldCharType="end"/>
      </w:r>
      <w:bookmarkEnd w:id="969"/>
      <w:bookmarkEnd w:id="970"/>
      <w:bookmarkEnd w:id="971"/>
      <w:r>
        <w:rPr>
          <w:rFonts w:cs="Arial"/>
          <w:b/>
          <w:bCs/>
          <w:sz w:val="20"/>
          <w:szCs w:val="20"/>
        </w:rPr>
        <w:t>: Prikaz prijetnjom nastalih posljedica na gospodarstvo - Potres</w:t>
      </w:r>
    </w:p>
    <w:tbl>
      <w:tblPr>
        <w:tblW w:w="7100"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477"/>
        <w:gridCol w:w="1781"/>
        <w:gridCol w:w="2693"/>
        <w:gridCol w:w="1149"/>
      </w:tblGrid>
      <w:tr w:rsidR="008F0D85">
        <w:trPr>
          <w:trHeight w:val="302"/>
          <w:jc w:val="center"/>
        </w:trPr>
        <w:tc>
          <w:tcPr>
            <w:tcW w:w="7099"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Gospodarstvo</w:t>
            </w: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Kategorija</w:t>
            </w:r>
          </w:p>
        </w:tc>
        <w:tc>
          <w:tcPr>
            <w:tcW w:w="178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Posljedica</w:t>
            </w:r>
          </w:p>
        </w:tc>
        <w:tc>
          <w:tcPr>
            <w:tcW w:w="269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 xml:space="preserve">U kunama (% obzirom na </w:t>
            </w:r>
            <w:r>
              <w:rPr>
                <w:b/>
                <w:sz w:val="20"/>
                <w:szCs w:val="20"/>
              </w:rPr>
              <w:t>proračun)</w:t>
            </w:r>
          </w:p>
        </w:tc>
        <w:tc>
          <w:tcPr>
            <w:tcW w:w="114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Odabrano</w:t>
            </w: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1</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Neznatne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 – 208.060,00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2</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Malene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208.060,00 – 1.040.300,00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3</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Umjerene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1.040.300,00 – 3.120.900,00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19"/>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4</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Značajne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3.120.900,00 – 5.201.500,00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5</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Katastrofalne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5.201.500,00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b/>
                <w:sz w:val="20"/>
                <w:szCs w:val="20"/>
              </w:rPr>
            </w:pPr>
            <w:bookmarkStart w:id="972" w:name="_Hlk514065055"/>
            <w:bookmarkStart w:id="973" w:name="_Hlk514749632"/>
            <w:bookmarkEnd w:id="972"/>
            <w:bookmarkEnd w:id="973"/>
            <w:r>
              <w:rPr>
                <w:b/>
                <w:sz w:val="20"/>
                <w:szCs w:val="20"/>
              </w:rPr>
              <w:t>X</w:t>
            </w:r>
          </w:p>
        </w:tc>
      </w:tr>
    </w:tbl>
    <w:p w:rsidR="008F0D85" w:rsidRDefault="008F0D85"/>
    <w:p w:rsidR="008F0D85" w:rsidRDefault="00AE42A1">
      <w:pPr>
        <w:pStyle w:val="Naslov6"/>
      </w:pPr>
      <w:r>
        <w:t xml:space="preserve">6.5.2.1.1.3. Procjena posljedica </w:t>
      </w:r>
      <w:r>
        <w:t>potresa na društvenu stabilnost i politiku</w:t>
      </w:r>
    </w:p>
    <w:p w:rsidR="008F0D85" w:rsidRDefault="008F0D85"/>
    <w:p w:rsidR="008F0D85" w:rsidRDefault="00AE42A1">
      <w:r>
        <w:t xml:space="preserve">Procjena posljedica na društvenu stabilnosti i politiku vezana je na oštećenja zgrada u kojima su smještene ključne institucije i oštećenje kritične infrastrukture. </w:t>
      </w:r>
    </w:p>
    <w:p w:rsidR="008F0D85" w:rsidRDefault="00AE42A1">
      <w:r>
        <w:t xml:space="preserve">Posljedice za Društvenu stabilnost i politiku </w:t>
      </w:r>
      <w:r>
        <w:t>iskazuju se u materijalnoj šteti i to za štetu na kritičnoj infrastrukturi i šteti na građevinama od društvenog značaja. Kategorija Društvene stabilnosti i politike dobiva se srednjom vrijednosti kategorija Kritične infrastrukture (KI) i Ustanova/građevina</w:t>
      </w:r>
      <w:r>
        <w:t xml:space="preserve"> javnog i društvenog značaja.</w:t>
      </w:r>
    </w:p>
    <w:p w:rsidR="008F0D85" w:rsidRDefault="00AE42A1">
      <w:r>
        <w:rPr>
          <w:b/>
        </w:rPr>
        <w:lastRenderedPageBreak/>
        <w:t xml:space="preserve">Društvena stabilnost = </w:t>
      </w:r>
      <w:r>
        <w:fldChar w:fldCharType="begin"/>
      </w:r>
      <w:r>
        <w:instrText>QUOTE</w:instrText>
      </w:r>
      <w:r>
        <w:fldChar w:fldCharType="end"/>
      </w:r>
      <w:bookmarkStart w:id="974" w:name="__Fieldmark__13586_1406329701"/>
      <w:bookmarkStart w:id="975" w:name="__Fieldmark__14871_1185846484"/>
      <w:bookmarkStart w:id="976" w:name="__Fieldmark__14295_1935607046"/>
      <w:bookmarkStart w:id="977" w:name="__Fieldmark__85711_3653056331"/>
      <w:bookmarkEnd w:id="974"/>
      <w:bookmarkEnd w:id="975"/>
      <w:bookmarkEnd w:id="976"/>
      <w:bookmarkEnd w:id="977"/>
      <w:r>
        <w:rPr>
          <w:b/>
          <w:noProof/>
        </w:rPr>
        <w:drawing>
          <wp:inline distT="0" distB="0" distL="0" distR="0">
            <wp:extent cx="448310" cy="19526885"/>
            <wp:effectExtent l="0" t="0" r="0" b="0"/>
            <wp:docPr id="89" name="Slika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lika19"/>
                    <pic:cNvPicPr>
                      <a:picLocks noChangeAspect="1" noChangeArrowheads="1"/>
                    </pic:cNvPicPr>
                  </pic:nvPicPr>
                  <pic:blipFill>
                    <a:blip r:embed="rId63"/>
                    <a:stretch>
                      <a:fillRect/>
                    </a:stretch>
                  </pic:blipFill>
                  <pic:spPr bwMode="auto">
                    <a:xfrm>
                      <a:off x="0" y="0"/>
                      <a:ext cx="448310" cy="19526885"/>
                    </a:xfrm>
                    <a:prstGeom prst="rect">
                      <a:avLst/>
                    </a:prstGeom>
                  </pic:spPr>
                </pic:pic>
              </a:graphicData>
            </a:graphic>
          </wp:inline>
        </w:drawing>
      </w:r>
      <w:r>
        <w:rPr>
          <w:b/>
          <w:noProof/>
        </w:rPr>
        <w:drawing>
          <wp:inline distT="0" distB="0" distL="0" distR="0">
            <wp:extent cx="448310" cy="19526885"/>
            <wp:effectExtent l="0" t="0" r="0" b="0"/>
            <wp:docPr id="90" name="Slik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lika20"/>
                    <pic:cNvPicPr>
                      <a:picLocks noChangeAspect="1" noChangeArrowheads="1"/>
                    </pic:cNvPicPr>
                  </pic:nvPicPr>
                  <pic:blipFill>
                    <a:blip r:embed="rId63"/>
                    <a:stretch>
                      <a:fillRect/>
                    </a:stretch>
                  </pic:blipFill>
                  <pic:spPr bwMode="auto">
                    <a:xfrm>
                      <a:off x="0" y="0"/>
                      <a:ext cx="448310" cy="19526885"/>
                    </a:xfrm>
                    <a:prstGeom prst="rect">
                      <a:avLst/>
                    </a:prstGeom>
                  </pic:spPr>
                </pic:pic>
              </a:graphicData>
            </a:graphic>
          </wp:inline>
        </w:drawing>
      </w:r>
    </w:p>
    <w:p w:rsidR="008F0D85" w:rsidRDefault="00AE42A1">
      <w:r>
        <w:lastRenderedPageBreak/>
        <w:t>Ukupna materijalna šteta prikazana je u odnosu na proračun Općine, ako je ukupna šteta na kritičnoj infrastrukturi od značaja za funkcioniranje društva, točnije lokalne samouprave u cjelini.</w:t>
      </w:r>
    </w:p>
    <w:p w:rsidR="008F0D85" w:rsidRDefault="00AE42A1">
      <w:pPr>
        <w:spacing w:after="0" w:line="360" w:lineRule="auto"/>
        <w:jc w:val="center"/>
        <w:rPr>
          <w:rFonts w:cs="Arial"/>
          <w:b/>
          <w:bCs/>
          <w:sz w:val="20"/>
          <w:szCs w:val="24"/>
        </w:rPr>
      </w:pPr>
      <w:bookmarkStart w:id="978" w:name="_Toc514142960"/>
      <w:bookmarkStart w:id="979" w:name="_Toc516128444"/>
      <w:bookmarkStart w:id="980" w:name="_Toc527969541"/>
      <w:r>
        <w:rPr>
          <w:rFonts w:cs="Arial"/>
          <w:b/>
          <w:bCs/>
          <w:sz w:val="20"/>
          <w:szCs w:val="20"/>
        </w:rPr>
        <w:t>Ta</w:t>
      </w:r>
      <w:r>
        <w:rPr>
          <w:rFonts w:cs="Arial"/>
          <w:b/>
          <w:bCs/>
          <w:sz w:val="20"/>
          <w:szCs w:val="20"/>
        </w:rPr>
        <w:t xml:space="preserve">blica </w:t>
      </w:r>
      <w:r>
        <w:rPr>
          <w:rFonts w:cs="Arial"/>
          <w:b/>
          <w:bCs/>
          <w:sz w:val="20"/>
          <w:szCs w:val="20"/>
        </w:rPr>
        <w:fldChar w:fldCharType="begin"/>
      </w:r>
      <w:r>
        <w:instrText>SEQ Tablica \* ARABIC</w:instrText>
      </w:r>
      <w:r>
        <w:fldChar w:fldCharType="separate"/>
      </w:r>
      <w:r>
        <w:t>59</w:t>
      </w:r>
      <w:r>
        <w:fldChar w:fldCharType="end"/>
      </w:r>
      <w:bookmarkEnd w:id="978"/>
      <w:bookmarkEnd w:id="979"/>
      <w:bookmarkEnd w:id="980"/>
      <w:r>
        <w:rPr>
          <w:rFonts w:cs="Arial"/>
          <w:b/>
          <w:bCs/>
          <w:sz w:val="20"/>
          <w:szCs w:val="20"/>
        </w:rPr>
        <w:t>: Prikaz prijetnjom nastalih posljedica na kritičnu infrastrukturu - Potres</w:t>
      </w:r>
    </w:p>
    <w:tbl>
      <w:tblPr>
        <w:tblW w:w="7182"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1588"/>
        <w:gridCol w:w="1542"/>
        <w:gridCol w:w="2641"/>
        <w:gridCol w:w="1411"/>
      </w:tblGrid>
      <w:tr w:rsidR="008F0D85">
        <w:trPr>
          <w:trHeight w:val="298"/>
          <w:jc w:val="center"/>
        </w:trPr>
        <w:tc>
          <w:tcPr>
            <w:tcW w:w="7181"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Društvena stabilnost i politika</w:t>
            </w:r>
          </w:p>
        </w:tc>
      </w:tr>
      <w:tr w:rsidR="008F0D85">
        <w:trPr>
          <w:trHeight w:val="298"/>
          <w:jc w:val="center"/>
        </w:trPr>
        <w:tc>
          <w:tcPr>
            <w:tcW w:w="7181"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Štete/gubici na kritičnoj infrastrukturi</w:t>
            </w:r>
          </w:p>
        </w:tc>
      </w:tr>
      <w:tr w:rsidR="008F0D85">
        <w:trPr>
          <w:trHeight w:val="298"/>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154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Posljedice</w:t>
            </w:r>
          </w:p>
        </w:tc>
        <w:tc>
          <w:tcPr>
            <w:tcW w:w="264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 xml:space="preserve">U kn </w:t>
            </w:r>
          </w:p>
        </w:tc>
        <w:tc>
          <w:tcPr>
            <w:tcW w:w="141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Odabrano</w:t>
            </w:r>
          </w:p>
        </w:tc>
      </w:tr>
      <w:tr w:rsidR="008F0D85">
        <w:trPr>
          <w:trHeight w:val="298"/>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 xml:space="preserve">Neznatne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 xml:space="preserve">104.030,00 – </w:t>
            </w:r>
            <w:r>
              <w:rPr>
                <w:sz w:val="20"/>
                <w:szCs w:val="20"/>
              </w:rPr>
              <w:t>208.060,00</w:t>
            </w:r>
          </w:p>
        </w:tc>
        <w:tc>
          <w:tcPr>
            <w:tcW w:w="14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b/>
                <w:sz w:val="20"/>
                <w:szCs w:val="20"/>
              </w:rPr>
            </w:pPr>
          </w:p>
        </w:tc>
      </w:tr>
      <w:tr w:rsidR="008F0D85">
        <w:trPr>
          <w:trHeight w:val="298"/>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Malene</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208.060,00 – 1.040.300,00</w:t>
            </w:r>
          </w:p>
        </w:tc>
        <w:tc>
          <w:tcPr>
            <w:tcW w:w="14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left"/>
              <w:rPr>
                <w:sz w:val="20"/>
                <w:szCs w:val="20"/>
              </w:rPr>
            </w:pPr>
          </w:p>
        </w:tc>
      </w:tr>
      <w:tr w:rsidR="008F0D85">
        <w:trPr>
          <w:trHeight w:val="298"/>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Umjerene</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1.040.300,00 – 3.120.900,00</w:t>
            </w:r>
          </w:p>
        </w:tc>
        <w:tc>
          <w:tcPr>
            <w:tcW w:w="14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left"/>
              <w:rPr>
                <w:sz w:val="20"/>
                <w:szCs w:val="20"/>
              </w:rPr>
            </w:pPr>
          </w:p>
        </w:tc>
      </w:tr>
      <w:tr w:rsidR="008F0D85">
        <w:trPr>
          <w:trHeight w:val="315"/>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Značajne</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3.120.900,00 – 5.201.500,00</w:t>
            </w:r>
          </w:p>
        </w:tc>
        <w:tc>
          <w:tcPr>
            <w:tcW w:w="14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b/>
                <w:sz w:val="20"/>
                <w:szCs w:val="20"/>
              </w:rPr>
            </w:pPr>
          </w:p>
        </w:tc>
      </w:tr>
      <w:tr w:rsidR="008F0D85">
        <w:trPr>
          <w:trHeight w:val="298"/>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Katastrofalne</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5.201.500,00</w:t>
            </w:r>
          </w:p>
        </w:tc>
        <w:tc>
          <w:tcPr>
            <w:tcW w:w="14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b/>
                <w:sz w:val="20"/>
                <w:szCs w:val="20"/>
              </w:rPr>
            </w:pPr>
            <w:r>
              <w:rPr>
                <w:b/>
                <w:sz w:val="20"/>
                <w:szCs w:val="20"/>
              </w:rPr>
              <w:t>X</w:t>
            </w:r>
          </w:p>
        </w:tc>
      </w:tr>
    </w:tbl>
    <w:p w:rsidR="008F0D85" w:rsidRDefault="008F0D85">
      <w:pPr>
        <w:spacing w:after="0"/>
        <w:jc w:val="center"/>
        <w:rPr>
          <w:szCs w:val="24"/>
        </w:rPr>
      </w:pPr>
    </w:p>
    <w:p w:rsidR="008F0D85" w:rsidRDefault="008F0D85">
      <w:pPr>
        <w:spacing w:after="0"/>
        <w:jc w:val="center"/>
        <w:rPr>
          <w:szCs w:val="24"/>
        </w:rPr>
      </w:pPr>
    </w:p>
    <w:p w:rsidR="008F0D85" w:rsidRDefault="008F0D85">
      <w:pPr>
        <w:spacing w:after="0"/>
        <w:jc w:val="center"/>
        <w:rPr>
          <w:szCs w:val="24"/>
        </w:rPr>
      </w:pPr>
    </w:p>
    <w:p w:rsidR="008F0D85" w:rsidRDefault="008F0D85">
      <w:pPr>
        <w:spacing w:after="0"/>
        <w:jc w:val="center"/>
        <w:rPr>
          <w:szCs w:val="24"/>
        </w:rPr>
      </w:pPr>
    </w:p>
    <w:p w:rsidR="008F0D85" w:rsidRDefault="008F0D85">
      <w:pPr>
        <w:spacing w:after="0"/>
        <w:jc w:val="center"/>
        <w:rPr>
          <w:szCs w:val="24"/>
        </w:rPr>
      </w:pPr>
    </w:p>
    <w:p w:rsidR="008F0D85" w:rsidRDefault="008F0D85">
      <w:pPr>
        <w:spacing w:after="0"/>
        <w:jc w:val="center"/>
        <w:rPr>
          <w:szCs w:val="24"/>
        </w:rPr>
      </w:pPr>
    </w:p>
    <w:p w:rsidR="008F0D85" w:rsidRDefault="00AE42A1">
      <w:pPr>
        <w:spacing w:after="0" w:line="360" w:lineRule="auto"/>
        <w:jc w:val="center"/>
        <w:rPr>
          <w:rFonts w:cs="Arial"/>
          <w:b/>
          <w:bCs/>
          <w:sz w:val="20"/>
          <w:szCs w:val="24"/>
        </w:rPr>
      </w:pPr>
      <w:bookmarkStart w:id="981" w:name="_Toc516128445"/>
      <w:bookmarkStart w:id="982" w:name="_Toc527969542"/>
      <w:r>
        <w:rPr>
          <w:rFonts w:cs="Arial"/>
          <w:b/>
          <w:bCs/>
          <w:sz w:val="20"/>
          <w:szCs w:val="20"/>
        </w:rPr>
        <w:t xml:space="preserve">Tablica </w:t>
      </w:r>
      <w:r>
        <w:rPr>
          <w:rFonts w:cs="Arial"/>
          <w:b/>
          <w:bCs/>
          <w:sz w:val="20"/>
          <w:szCs w:val="20"/>
        </w:rPr>
        <w:fldChar w:fldCharType="begin"/>
      </w:r>
      <w:r>
        <w:instrText>SEQ Tablica \* ARABIC</w:instrText>
      </w:r>
      <w:r>
        <w:fldChar w:fldCharType="separate"/>
      </w:r>
      <w:r>
        <w:t>60</w:t>
      </w:r>
      <w:r>
        <w:fldChar w:fldCharType="end"/>
      </w:r>
      <w:bookmarkEnd w:id="981"/>
      <w:bookmarkEnd w:id="982"/>
      <w:r>
        <w:rPr>
          <w:rFonts w:cs="Arial"/>
          <w:b/>
          <w:bCs/>
          <w:sz w:val="20"/>
          <w:szCs w:val="20"/>
        </w:rPr>
        <w:t xml:space="preserve">: Prikaz prijetnjom nastalih posljedica na </w:t>
      </w:r>
      <w:r>
        <w:rPr>
          <w:rFonts w:cs="Arial"/>
          <w:b/>
          <w:bCs/>
          <w:sz w:val="20"/>
          <w:szCs w:val="20"/>
        </w:rPr>
        <w:t>ustanove i građevine od javnog i društvenog značaja - Potres</w:t>
      </w:r>
    </w:p>
    <w:tbl>
      <w:tblPr>
        <w:tblW w:w="7374"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2003"/>
        <w:gridCol w:w="1477"/>
        <w:gridCol w:w="2534"/>
        <w:gridCol w:w="1360"/>
      </w:tblGrid>
      <w:tr w:rsidR="008F0D85">
        <w:trPr>
          <w:trHeight w:val="310"/>
          <w:jc w:val="center"/>
        </w:trPr>
        <w:tc>
          <w:tcPr>
            <w:tcW w:w="7373"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Društvena stabilnost i politika</w:t>
            </w:r>
          </w:p>
        </w:tc>
      </w:tr>
      <w:tr w:rsidR="008F0D85">
        <w:trPr>
          <w:trHeight w:val="310"/>
          <w:jc w:val="center"/>
        </w:trPr>
        <w:tc>
          <w:tcPr>
            <w:tcW w:w="7373"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Štete/gubici na ustanovama/građevinama javnog društvenog značaja</w:t>
            </w:r>
          </w:p>
        </w:tc>
      </w:tr>
      <w:tr w:rsidR="008F0D85">
        <w:trPr>
          <w:trHeight w:val="310"/>
          <w:jc w:val="center"/>
        </w:trPr>
        <w:tc>
          <w:tcPr>
            <w:tcW w:w="200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147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Posljedice</w:t>
            </w:r>
          </w:p>
        </w:tc>
        <w:tc>
          <w:tcPr>
            <w:tcW w:w="2534"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U kn</w:t>
            </w:r>
          </w:p>
        </w:tc>
        <w:tc>
          <w:tcPr>
            <w:tcW w:w="1360"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Odabrano</w:t>
            </w:r>
          </w:p>
        </w:tc>
      </w:tr>
      <w:tr w:rsidR="008F0D85">
        <w:trPr>
          <w:trHeight w:val="310"/>
          <w:jc w:val="center"/>
        </w:trPr>
        <w:tc>
          <w:tcPr>
            <w:tcW w:w="200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147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Neznatne</w:t>
            </w:r>
          </w:p>
        </w:tc>
        <w:tc>
          <w:tcPr>
            <w:tcW w:w="253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 – 208.060,00</w:t>
            </w:r>
          </w:p>
        </w:tc>
        <w:tc>
          <w:tcPr>
            <w:tcW w:w="13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left"/>
              <w:rPr>
                <w:sz w:val="20"/>
                <w:szCs w:val="20"/>
              </w:rPr>
            </w:pPr>
          </w:p>
        </w:tc>
      </w:tr>
      <w:tr w:rsidR="008F0D85">
        <w:trPr>
          <w:trHeight w:val="310"/>
          <w:jc w:val="center"/>
        </w:trPr>
        <w:tc>
          <w:tcPr>
            <w:tcW w:w="200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147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Malene</w:t>
            </w:r>
          </w:p>
        </w:tc>
        <w:tc>
          <w:tcPr>
            <w:tcW w:w="253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208.060,00 – 1.040.300,00</w:t>
            </w:r>
          </w:p>
        </w:tc>
        <w:tc>
          <w:tcPr>
            <w:tcW w:w="13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left"/>
              <w:rPr>
                <w:sz w:val="20"/>
                <w:szCs w:val="20"/>
              </w:rPr>
            </w:pPr>
          </w:p>
        </w:tc>
      </w:tr>
      <w:tr w:rsidR="008F0D85">
        <w:trPr>
          <w:trHeight w:val="310"/>
          <w:jc w:val="center"/>
        </w:trPr>
        <w:tc>
          <w:tcPr>
            <w:tcW w:w="200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147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Umjerene</w:t>
            </w:r>
          </w:p>
        </w:tc>
        <w:tc>
          <w:tcPr>
            <w:tcW w:w="253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1.040.300,00 – 3.120.900,00</w:t>
            </w:r>
          </w:p>
        </w:tc>
        <w:tc>
          <w:tcPr>
            <w:tcW w:w="13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left"/>
              <w:rPr>
                <w:sz w:val="20"/>
                <w:szCs w:val="20"/>
              </w:rPr>
            </w:pPr>
          </w:p>
        </w:tc>
      </w:tr>
      <w:tr w:rsidR="008F0D85">
        <w:trPr>
          <w:trHeight w:val="325"/>
          <w:jc w:val="center"/>
        </w:trPr>
        <w:tc>
          <w:tcPr>
            <w:tcW w:w="200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147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Značajne</w:t>
            </w:r>
          </w:p>
        </w:tc>
        <w:tc>
          <w:tcPr>
            <w:tcW w:w="253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3.120.900,00 – 5.201.500,00</w:t>
            </w:r>
          </w:p>
        </w:tc>
        <w:tc>
          <w:tcPr>
            <w:tcW w:w="13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10"/>
          <w:jc w:val="center"/>
        </w:trPr>
        <w:tc>
          <w:tcPr>
            <w:tcW w:w="200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147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Katastrofalne</w:t>
            </w:r>
          </w:p>
        </w:tc>
        <w:tc>
          <w:tcPr>
            <w:tcW w:w="253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5.201.500,00</w:t>
            </w:r>
          </w:p>
        </w:tc>
        <w:tc>
          <w:tcPr>
            <w:tcW w:w="13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b/>
                <w:sz w:val="20"/>
                <w:szCs w:val="20"/>
              </w:rPr>
            </w:pPr>
            <w:r>
              <w:rPr>
                <w:b/>
                <w:sz w:val="20"/>
                <w:szCs w:val="20"/>
              </w:rPr>
              <w:t>X</w:t>
            </w:r>
          </w:p>
        </w:tc>
      </w:tr>
    </w:tbl>
    <w:p w:rsidR="008F0D85" w:rsidRDefault="008F0D85">
      <w:pPr>
        <w:spacing w:after="0"/>
        <w:jc w:val="center"/>
        <w:rPr>
          <w:szCs w:val="24"/>
        </w:rPr>
      </w:pPr>
    </w:p>
    <w:p w:rsidR="008F0D85" w:rsidRDefault="00AE42A1">
      <w:pPr>
        <w:spacing w:after="0" w:line="360" w:lineRule="auto"/>
        <w:jc w:val="center"/>
        <w:rPr>
          <w:rFonts w:cs="Arial"/>
          <w:b/>
          <w:bCs/>
          <w:sz w:val="20"/>
          <w:szCs w:val="24"/>
        </w:rPr>
      </w:pPr>
      <w:bookmarkStart w:id="983" w:name="_Toc514142962"/>
      <w:bookmarkStart w:id="984" w:name="_Toc516128446"/>
      <w:bookmarkStart w:id="985" w:name="_Toc527969543"/>
      <w:r>
        <w:rPr>
          <w:rFonts w:cs="Arial"/>
          <w:b/>
          <w:bCs/>
          <w:sz w:val="20"/>
          <w:szCs w:val="20"/>
        </w:rPr>
        <w:t xml:space="preserve">Tablica </w:t>
      </w:r>
      <w:r>
        <w:rPr>
          <w:rFonts w:cs="Arial"/>
          <w:b/>
          <w:bCs/>
          <w:sz w:val="20"/>
          <w:szCs w:val="20"/>
        </w:rPr>
        <w:fldChar w:fldCharType="begin"/>
      </w:r>
      <w:r>
        <w:instrText>SEQ Tablica \* ARABIC</w:instrText>
      </w:r>
      <w:r>
        <w:fldChar w:fldCharType="separate"/>
      </w:r>
      <w:r>
        <w:t>61</w:t>
      </w:r>
      <w:r>
        <w:fldChar w:fldCharType="end"/>
      </w:r>
      <w:bookmarkEnd w:id="983"/>
      <w:bookmarkEnd w:id="984"/>
      <w:bookmarkEnd w:id="985"/>
      <w:r>
        <w:rPr>
          <w:rFonts w:cs="Arial"/>
          <w:b/>
          <w:bCs/>
          <w:sz w:val="20"/>
          <w:szCs w:val="20"/>
        </w:rPr>
        <w:t xml:space="preserve">: Prikaz prijetnjom nastalih posljedica na društvenu stabilnost i </w:t>
      </w:r>
      <w:r>
        <w:rPr>
          <w:rFonts w:cs="Arial"/>
          <w:b/>
          <w:bCs/>
          <w:sz w:val="20"/>
          <w:szCs w:val="20"/>
        </w:rPr>
        <w:t>politiku - Potres</w:t>
      </w:r>
    </w:p>
    <w:tbl>
      <w:tblPr>
        <w:tblW w:w="906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1697"/>
        <w:gridCol w:w="1700"/>
        <w:gridCol w:w="2410"/>
        <w:gridCol w:w="3253"/>
      </w:tblGrid>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Kategorija</w:t>
            </w:r>
          </w:p>
        </w:tc>
        <w:tc>
          <w:tcPr>
            <w:tcW w:w="1700"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Ukupno</w:t>
            </w:r>
          </w:p>
        </w:tc>
        <w:tc>
          <w:tcPr>
            <w:tcW w:w="2410"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Kritična infrastruktura</w:t>
            </w:r>
          </w:p>
        </w:tc>
        <w:tc>
          <w:tcPr>
            <w:tcW w:w="3253"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Ustanove/građevine javnog, društvenog interesa</w:t>
            </w:r>
          </w:p>
        </w:tc>
      </w:tr>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1</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sz w:val="20"/>
                <w:szCs w:val="20"/>
              </w:rPr>
            </w:pP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sz w:val="20"/>
                <w:szCs w:val="20"/>
              </w:rPr>
            </w:pPr>
          </w:p>
        </w:tc>
        <w:tc>
          <w:tcPr>
            <w:tcW w:w="32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sz w:val="20"/>
                <w:szCs w:val="20"/>
              </w:rPr>
            </w:pPr>
          </w:p>
        </w:tc>
      </w:tr>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2</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32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sz w:val="20"/>
                <w:szCs w:val="20"/>
              </w:rPr>
            </w:pPr>
          </w:p>
        </w:tc>
      </w:tr>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3</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32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sz w:val="20"/>
                <w:szCs w:val="20"/>
              </w:rPr>
            </w:pPr>
          </w:p>
        </w:tc>
      </w:tr>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4</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sz w:val="20"/>
                <w:szCs w:val="20"/>
              </w:rPr>
            </w:pP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sz w:val="20"/>
                <w:szCs w:val="20"/>
              </w:rPr>
            </w:pPr>
          </w:p>
        </w:tc>
        <w:tc>
          <w:tcPr>
            <w:tcW w:w="32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sz w:val="20"/>
                <w:szCs w:val="20"/>
              </w:rPr>
            </w:pPr>
          </w:p>
        </w:tc>
      </w:tr>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5</w:t>
            </w:r>
          </w:p>
        </w:tc>
        <w:tc>
          <w:tcPr>
            <w:tcW w:w="1700"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b/>
                <w:sz w:val="20"/>
                <w:szCs w:val="20"/>
              </w:rPr>
            </w:pPr>
            <w:r>
              <w:rPr>
                <w:rFonts w:cs="Calibri"/>
                <w:b/>
                <w:sz w:val="20"/>
                <w:szCs w:val="20"/>
              </w:rPr>
              <w:t>X</w:t>
            </w:r>
          </w:p>
        </w:tc>
        <w:tc>
          <w:tcPr>
            <w:tcW w:w="2410"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b/>
                <w:sz w:val="20"/>
                <w:szCs w:val="20"/>
              </w:rPr>
            </w:pPr>
            <w:r>
              <w:rPr>
                <w:rFonts w:cs="Calibri"/>
                <w:b/>
                <w:sz w:val="20"/>
                <w:szCs w:val="20"/>
              </w:rPr>
              <w:t>X</w:t>
            </w:r>
          </w:p>
        </w:tc>
        <w:tc>
          <w:tcPr>
            <w:tcW w:w="325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b/>
                <w:sz w:val="20"/>
                <w:szCs w:val="20"/>
              </w:rPr>
            </w:pPr>
            <w:r>
              <w:rPr>
                <w:rFonts w:cs="Calibri"/>
                <w:b/>
                <w:sz w:val="20"/>
                <w:szCs w:val="20"/>
              </w:rPr>
              <w:t>X</w:t>
            </w:r>
          </w:p>
        </w:tc>
      </w:tr>
    </w:tbl>
    <w:p w:rsidR="008F0D85" w:rsidRDefault="008F0D85"/>
    <w:p w:rsidR="008F0D85" w:rsidRDefault="00AE42A1">
      <w:pPr>
        <w:pStyle w:val="Naslov5"/>
      </w:pPr>
      <w:bookmarkStart w:id="986" w:name="_Toc514142875"/>
      <w:bookmarkStart w:id="987" w:name="_Toc516128345"/>
      <w:bookmarkStart w:id="988" w:name="_Toc527969440"/>
      <w:bookmarkEnd w:id="986"/>
      <w:bookmarkEnd w:id="987"/>
      <w:bookmarkEnd w:id="988"/>
      <w:r>
        <w:t>6.5.2.1.2. Vjerojatnost nastanka događaja s najgorim mogućim posljedicama uslijed potresa</w:t>
      </w:r>
    </w:p>
    <w:p w:rsidR="008F0D85" w:rsidRDefault="008F0D85">
      <w:pPr>
        <w:spacing w:after="0"/>
        <w:rPr>
          <w:szCs w:val="24"/>
        </w:rPr>
      </w:pPr>
    </w:p>
    <w:p w:rsidR="008F0D85" w:rsidRDefault="00AE42A1">
      <w:pPr>
        <w:rPr>
          <w:rFonts w:cs="Arial"/>
          <w:bCs/>
        </w:rPr>
      </w:pPr>
      <w:bookmarkStart w:id="989" w:name="_Hlk503511429"/>
      <w:bookmarkEnd w:id="989"/>
      <w:r>
        <w:rPr>
          <w:rFonts w:cs="Arial"/>
          <w:bCs/>
        </w:rPr>
        <w:lastRenderedPageBreak/>
        <w:t xml:space="preserve">Intenziteti </w:t>
      </w:r>
      <w:r>
        <w:rPr>
          <w:rFonts w:cs="Arial"/>
          <w:bCs/>
        </w:rPr>
        <w:t>potresa za odabrani scenarij usklađeni su s razinom mogućih seizmičkih opasnosti, tj. seizmičkom razinom opasnosti koja je prihvaćena sukladno popisima za projektiranje potresne otpornosti te je vjerojatnost događaja određena odgovarajućim povratnim razdob</w:t>
      </w:r>
      <w:r>
        <w:rPr>
          <w:rFonts w:cs="Arial"/>
          <w:bCs/>
        </w:rPr>
        <w:t>ljem. Za događaj s najgorim mogućim posljedicama uzima se u obzir poredbeno povratno razdoblje od 475 godina, a vjerojatnost premašaja iznosi 10% na 50 godina.</w:t>
      </w:r>
    </w:p>
    <w:p w:rsidR="008F0D85" w:rsidRDefault="008F0D85">
      <w:pPr>
        <w:jc w:val="center"/>
        <w:rPr>
          <w:rFonts w:cs="Arial"/>
          <w:bCs/>
        </w:rPr>
      </w:pPr>
    </w:p>
    <w:p w:rsidR="008F0D85" w:rsidRDefault="00AE42A1">
      <w:pPr>
        <w:jc w:val="center"/>
        <w:rPr>
          <w:rFonts w:cs="Arial"/>
          <w:bCs/>
        </w:rPr>
      </w:pPr>
      <w:r>
        <w:rPr>
          <w:noProof/>
        </w:rPr>
        <w:drawing>
          <wp:inline distT="0" distB="0" distL="0" distR="0">
            <wp:extent cx="5734685" cy="2820035"/>
            <wp:effectExtent l="0" t="0" r="0" b="0"/>
            <wp:docPr id="91"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lika 30"/>
                    <pic:cNvPicPr>
                      <a:picLocks noChangeAspect="1" noChangeArrowheads="1"/>
                    </pic:cNvPicPr>
                  </pic:nvPicPr>
                  <pic:blipFill>
                    <a:blip r:embed="rId97"/>
                    <a:stretch>
                      <a:fillRect/>
                    </a:stretch>
                  </pic:blipFill>
                  <pic:spPr bwMode="auto">
                    <a:xfrm>
                      <a:off x="0" y="0"/>
                      <a:ext cx="5734685" cy="2820035"/>
                    </a:xfrm>
                    <a:prstGeom prst="rect">
                      <a:avLst/>
                    </a:prstGeom>
                  </pic:spPr>
                </pic:pic>
              </a:graphicData>
            </a:graphic>
          </wp:inline>
        </w:drawing>
      </w:r>
    </w:p>
    <w:p w:rsidR="008F0D85" w:rsidRDefault="00AE42A1">
      <w:pPr>
        <w:spacing w:after="0" w:line="240" w:lineRule="auto"/>
        <w:rPr>
          <w:rFonts w:cs="Arial"/>
          <w:b/>
          <w:bCs/>
          <w:sz w:val="20"/>
          <w:szCs w:val="20"/>
        </w:rPr>
      </w:pPr>
      <w:bookmarkStart w:id="990" w:name="_Toc514143010"/>
      <w:bookmarkStart w:id="991" w:name="_Toc516128505"/>
      <w:bookmarkStart w:id="992" w:name="_Toc527969598"/>
      <w:r>
        <w:rPr>
          <w:rFonts w:cs="Arial"/>
          <w:b/>
          <w:bCs/>
          <w:sz w:val="20"/>
          <w:szCs w:val="20"/>
        </w:rPr>
        <w:t xml:space="preserve">Slika </w:t>
      </w:r>
      <w:r>
        <w:rPr>
          <w:rFonts w:cs="Arial"/>
          <w:b/>
          <w:bCs/>
          <w:sz w:val="20"/>
          <w:szCs w:val="20"/>
        </w:rPr>
        <w:fldChar w:fldCharType="begin"/>
      </w:r>
      <w:r>
        <w:instrText>SEQ Slika \* ARABIC</w:instrText>
      </w:r>
      <w:r>
        <w:fldChar w:fldCharType="separate"/>
      </w:r>
      <w:r>
        <w:t>26</w:t>
      </w:r>
      <w:r>
        <w:fldChar w:fldCharType="end"/>
      </w:r>
      <w:bookmarkEnd w:id="990"/>
      <w:bookmarkEnd w:id="991"/>
      <w:bookmarkEnd w:id="992"/>
      <w:r>
        <w:rPr>
          <w:rFonts w:cs="Arial"/>
          <w:b/>
          <w:bCs/>
          <w:sz w:val="20"/>
          <w:szCs w:val="20"/>
        </w:rPr>
        <w:t>: Karta potresnog područja s povratnim periodom od 475 godina z</w:t>
      </w:r>
      <w:r>
        <w:rPr>
          <w:rFonts w:cs="Arial"/>
          <w:b/>
          <w:bCs/>
          <w:sz w:val="20"/>
          <w:szCs w:val="20"/>
        </w:rPr>
        <w:t>a područje Općine</w:t>
      </w:r>
    </w:p>
    <w:p w:rsidR="008F0D85" w:rsidRDefault="00AE42A1">
      <w:pPr>
        <w:spacing w:line="240" w:lineRule="auto"/>
        <w:rPr>
          <w:sz w:val="20"/>
          <w:szCs w:val="20"/>
        </w:rPr>
      </w:pPr>
      <w:r>
        <w:rPr>
          <w:sz w:val="20"/>
          <w:szCs w:val="20"/>
        </w:rPr>
        <w:t>Izvor: PMF Zagreb – geofizički odsjek, 2012.god.</w:t>
      </w:r>
    </w:p>
    <w:p w:rsidR="008F0D85" w:rsidRDefault="00AE42A1">
      <w:pPr>
        <w:spacing w:line="240" w:lineRule="auto"/>
        <w:rPr>
          <w:sz w:val="20"/>
          <w:szCs w:val="20"/>
        </w:rPr>
      </w:pPr>
      <w:r>
        <w:rPr>
          <w:noProof/>
        </w:rPr>
        <w:drawing>
          <wp:inline distT="0" distB="0" distL="0" distR="0">
            <wp:extent cx="5706110" cy="2810510"/>
            <wp:effectExtent l="0" t="0" r="0" b="0"/>
            <wp:docPr id="92" name="Slik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lika21"/>
                    <pic:cNvPicPr>
                      <a:picLocks noChangeAspect="1" noChangeArrowheads="1"/>
                    </pic:cNvPicPr>
                  </pic:nvPicPr>
                  <pic:blipFill>
                    <a:blip r:embed="rId98"/>
                    <a:stretch>
                      <a:fillRect/>
                    </a:stretch>
                  </pic:blipFill>
                  <pic:spPr bwMode="auto">
                    <a:xfrm>
                      <a:off x="0" y="0"/>
                      <a:ext cx="5706110" cy="2810510"/>
                    </a:xfrm>
                    <a:prstGeom prst="rect">
                      <a:avLst/>
                    </a:prstGeom>
                  </pic:spPr>
                </pic:pic>
              </a:graphicData>
            </a:graphic>
          </wp:inline>
        </w:drawing>
      </w:r>
    </w:p>
    <w:p w:rsidR="008F0D85" w:rsidRDefault="00AE42A1">
      <w:pPr>
        <w:spacing w:after="0" w:line="240" w:lineRule="auto"/>
        <w:rPr>
          <w:rFonts w:cs="Arial"/>
          <w:b/>
          <w:bCs/>
          <w:sz w:val="20"/>
          <w:szCs w:val="20"/>
        </w:rPr>
      </w:pPr>
      <w:bookmarkStart w:id="993" w:name="_Toc514143011"/>
      <w:bookmarkStart w:id="994" w:name="_Toc516128506"/>
      <w:bookmarkStart w:id="995" w:name="_Toc527969599"/>
      <w:r>
        <w:rPr>
          <w:rFonts w:cs="Arial"/>
          <w:b/>
          <w:bCs/>
          <w:sz w:val="20"/>
          <w:szCs w:val="20"/>
        </w:rPr>
        <w:t xml:space="preserve">Slika </w:t>
      </w:r>
      <w:r>
        <w:rPr>
          <w:rFonts w:cs="Arial"/>
          <w:b/>
          <w:bCs/>
          <w:sz w:val="20"/>
          <w:szCs w:val="20"/>
        </w:rPr>
        <w:fldChar w:fldCharType="begin"/>
      </w:r>
      <w:r>
        <w:instrText>SEQ Slika \* ARABIC</w:instrText>
      </w:r>
      <w:r>
        <w:fldChar w:fldCharType="separate"/>
      </w:r>
      <w:r>
        <w:t>27</w:t>
      </w:r>
      <w:r>
        <w:fldChar w:fldCharType="end"/>
      </w:r>
      <w:bookmarkEnd w:id="993"/>
      <w:bookmarkEnd w:id="994"/>
      <w:bookmarkEnd w:id="995"/>
      <w:r>
        <w:rPr>
          <w:rFonts w:cs="Arial"/>
          <w:b/>
          <w:bCs/>
          <w:sz w:val="20"/>
          <w:szCs w:val="20"/>
        </w:rPr>
        <w:t>: Karta potresnog područja s povratnim razdobljem od 95 godina za područje Općine</w:t>
      </w:r>
    </w:p>
    <w:p w:rsidR="008F0D85" w:rsidRDefault="00AE42A1">
      <w:pPr>
        <w:spacing w:after="0" w:line="240" w:lineRule="auto"/>
        <w:rPr>
          <w:sz w:val="20"/>
          <w:szCs w:val="20"/>
        </w:rPr>
      </w:pPr>
      <w:r>
        <w:rPr>
          <w:sz w:val="20"/>
          <w:szCs w:val="20"/>
        </w:rPr>
        <w:t>Izvor: PMF Zagreb – geofizički odsjek, 2012.god.</w:t>
      </w:r>
    </w:p>
    <w:p w:rsidR="008F0D85" w:rsidRDefault="008F0D85">
      <w:pPr>
        <w:spacing w:after="0" w:line="240" w:lineRule="auto"/>
        <w:rPr>
          <w:sz w:val="20"/>
          <w:szCs w:val="20"/>
        </w:rPr>
      </w:pPr>
    </w:p>
    <w:p w:rsidR="008F0D85" w:rsidRDefault="00AE42A1">
      <w:pPr>
        <w:spacing w:after="0" w:line="360" w:lineRule="auto"/>
        <w:jc w:val="center"/>
        <w:rPr>
          <w:rFonts w:cs="Arial"/>
          <w:b/>
          <w:bCs/>
          <w:sz w:val="20"/>
          <w:szCs w:val="20"/>
        </w:rPr>
      </w:pPr>
      <w:bookmarkStart w:id="996" w:name="_Toc514142963"/>
      <w:bookmarkStart w:id="997" w:name="_Toc516128447"/>
      <w:bookmarkStart w:id="998" w:name="_Toc527969544"/>
      <w:r>
        <w:rPr>
          <w:rFonts w:cs="Arial"/>
          <w:b/>
          <w:bCs/>
          <w:sz w:val="20"/>
          <w:szCs w:val="20"/>
        </w:rPr>
        <w:t xml:space="preserve">Tablica </w:t>
      </w:r>
      <w:r>
        <w:rPr>
          <w:rFonts w:cs="Arial"/>
          <w:b/>
          <w:bCs/>
          <w:sz w:val="20"/>
          <w:szCs w:val="20"/>
        </w:rPr>
        <w:fldChar w:fldCharType="begin"/>
      </w:r>
      <w:r>
        <w:instrText xml:space="preserve">SEQ </w:instrText>
      </w:r>
      <w:r>
        <w:instrText>Tablica \* ARABIC</w:instrText>
      </w:r>
      <w:r>
        <w:fldChar w:fldCharType="separate"/>
      </w:r>
      <w:r>
        <w:t>62</w:t>
      </w:r>
      <w:r>
        <w:fldChar w:fldCharType="end"/>
      </w:r>
      <w:bookmarkEnd w:id="996"/>
      <w:bookmarkEnd w:id="997"/>
      <w:bookmarkEnd w:id="998"/>
      <w:r>
        <w:rPr>
          <w:rFonts w:cs="Arial"/>
          <w:b/>
          <w:bCs/>
          <w:sz w:val="20"/>
          <w:szCs w:val="20"/>
        </w:rPr>
        <w:t>: Prikaz vjerojatnosti nastanka događaja s najgorim mogućim posljedicama uslijed potresa</w:t>
      </w:r>
    </w:p>
    <w:tbl>
      <w:tblPr>
        <w:tblW w:w="9214" w:type="dxa"/>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277"/>
        <w:gridCol w:w="1418"/>
        <w:gridCol w:w="1417"/>
        <w:gridCol w:w="1559"/>
        <w:gridCol w:w="2835"/>
        <w:gridCol w:w="708"/>
      </w:tblGrid>
      <w:tr w:rsidR="008F0D85">
        <w:trPr>
          <w:trHeight w:val="257"/>
        </w:trPr>
        <w:tc>
          <w:tcPr>
            <w:tcW w:w="1276"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1418"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Posljedice</w:t>
            </w:r>
          </w:p>
        </w:tc>
        <w:tc>
          <w:tcPr>
            <w:tcW w:w="6519"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Vjerojatnost/frekvencija</w:t>
            </w:r>
          </w:p>
        </w:tc>
      </w:tr>
      <w:tr w:rsidR="008F0D85">
        <w:trPr>
          <w:trHeight w:val="154"/>
        </w:trPr>
        <w:tc>
          <w:tcPr>
            <w:tcW w:w="1276"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rPr>
                <w:b/>
                <w:sz w:val="20"/>
                <w:szCs w:val="20"/>
              </w:rPr>
            </w:pPr>
          </w:p>
        </w:tc>
        <w:tc>
          <w:tcPr>
            <w:tcW w:w="1418"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rPr>
                <w:b/>
                <w:sz w:val="20"/>
                <w:szCs w:val="20"/>
              </w:rPr>
            </w:pPr>
          </w:p>
        </w:tc>
        <w:tc>
          <w:tcPr>
            <w:tcW w:w="141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Kvalitativno</w:t>
            </w:r>
          </w:p>
        </w:tc>
        <w:tc>
          <w:tcPr>
            <w:tcW w:w="155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Vjerojatnost</w:t>
            </w:r>
          </w:p>
        </w:tc>
        <w:tc>
          <w:tcPr>
            <w:tcW w:w="283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Frekvencija</w:t>
            </w:r>
          </w:p>
        </w:tc>
        <w:tc>
          <w:tcPr>
            <w:tcW w:w="70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spacing w:after="0" w:line="240" w:lineRule="auto"/>
              <w:jc w:val="center"/>
              <w:rPr>
                <w:b/>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Neznatne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Iznimno mala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&lt;1 %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 xml:space="preserve">1 događaj u 100 </w:t>
            </w:r>
            <w:r>
              <w:rPr>
                <w:sz w:val="20"/>
                <w:szCs w:val="20"/>
              </w:rPr>
              <w:t>godina i rjeđe</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b/>
                <w:sz w:val="20"/>
                <w:szCs w:val="20"/>
              </w:rPr>
            </w:pPr>
            <w:r>
              <w:rPr>
                <w:b/>
                <w:sz w:val="20"/>
                <w:szCs w:val="20"/>
              </w:rPr>
              <w:t>X</w:t>
            </w: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Malene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 5 %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u 20 do 100 godina</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 – 50 %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u 2 do 20 godina</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Značajne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Velika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51 – 98 %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1 do 2 godine</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273"/>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Katastrofalne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Iznimno velika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&gt; 98 %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godišnje ili češće</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sz w:val="20"/>
                <w:szCs w:val="20"/>
              </w:rPr>
            </w:pPr>
          </w:p>
        </w:tc>
      </w:tr>
    </w:tbl>
    <w:p w:rsidR="008F0D85" w:rsidRDefault="008F0D85"/>
    <w:p w:rsidR="008F0D85" w:rsidRDefault="00AE42A1">
      <w:pPr>
        <w:pStyle w:val="Naslov3"/>
      </w:pPr>
      <w:bookmarkStart w:id="999" w:name="_Toc514142876"/>
      <w:bookmarkStart w:id="1000" w:name="_Toc516128346"/>
      <w:bookmarkStart w:id="1001" w:name="_Toc527969441"/>
      <w:bookmarkStart w:id="1002" w:name="_Hlk512423579"/>
      <w:bookmarkEnd w:id="999"/>
      <w:bookmarkEnd w:id="1000"/>
      <w:bookmarkEnd w:id="1001"/>
      <w:bookmarkEnd w:id="1002"/>
      <w:r>
        <w:t>6.5.3. Matrice rizika – Potres</w:t>
      </w:r>
    </w:p>
    <w:p w:rsidR="008F0D85" w:rsidRDefault="00AE42A1">
      <w:pPr>
        <w:spacing w:after="0"/>
        <w:rPr>
          <w:rFonts w:cs="Calibri"/>
          <w:b/>
        </w:rPr>
      </w:pPr>
      <w:r>
        <w:rPr>
          <w:rFonts w:cs="Calibri"/>
          <w:b/>
        </w:rPr>
        <w:t>RIZIK – Potres</w:t>
      </w:r>
    </w:p>
    <w:p w:rsidR="008F0D85" w:rsidRDefault="00AE42A1">
      <w:pPr>
        <w:spacing w:after="0"/>
        <w:rPr>
          <w:b/>
          <w:szCs w:val="24"/>
        </w:rPr>
      </w:pPr>
      <w:r>
        <w:rPr>
          <w:rFonts w:cs="Calibri"/>
          <w:b/>
        </w:rPr>
        <w:t xml:space="preserve">NAZIV SCENARIJA – Podrhtavanje tla na području Općine uzrokovano potresom jačine </w:t>
      </w:r>
      <w:r>
        <w:rPr>
          <w:b/>
        </w:rPr>
        <w:t>8</w:t>
      </w:r>
      <w:r>
        <w:rPr>
          <w:rFonts w:cs="Calibri"/>
          <w:b/>
        </w:rPr>
        <w:t>°</w:t>
      </w:r>
      <w:r>
        <w:rPr>
          <w:b/>
        </w:rPr>
        <w:t xml:space="preserve"> MCS</w:t>
      </w:r>
    </w:p>
    <w:p w:rsidR="008F0D85" w:rsidRDefault="008F0D85">
      <w:pPr>
        <w:rPr>
          <w:rFonts w:cs="Calibri"/>
        </w:rPr>
      </w:pPr>
    </w:p>
    <w:p w:rsidR="008F0D85" w:rsidRDefault="00AE42A1">
      <w:pPr>
        <w:rPr>
          <w:u w:val="single"/>
        </w:rPr>
      </w:pPr>
      <w:r>
        <w:rPr>
          <w:u w:val="single"/>
        </w:rPr>
        <w:t>DOGAĐAJ S NAJGORIM MOGUĆIM POSLJEDICAMA – Podrhtavanje tla na području Općine uzrokovano potresom jačine 8</w:t>
      </w:r>
      <w:r>
        <w:rPr>
          <w:rFonts w:cs="Calibri"/>
          <w:u w:val="single"/>
        </w:rPr>
        <w:t>°</w:t>
      </w:r>
      <w:r>
        <w:rPr>
          <w:u w:val="single"/>
        </w:rPr>
        <w:t xml:space="preserve"> MCS</w:t>
      </w:r>
    </w:p>
    <w:p w:rsidR="008F0D85" w:rsidRDefault="008F0D85">
      <w:pPr>
        <w:rPr>
          <w:rFonts w:cs="Calibri"/>
        </w:rPr>
      </w:pPr>
      <w:bookmarkStart w:id="1003" w:name="_Hlk5124235791"/>
      <w:bookmarkEnd w:id="1003"/>
    </w:p>
    <w:p w:rsidR="008F0D85" w:rsidRDefault="008F0D85">
      <w:pPr>
        <w:rPr>
          <w:u w:val="single"/>
        </w:rPr>
      </w:pPr>
    </w:p>
    <w:p w:rsidR="008F0D85" w:rsidRDefault="00AE42A1">
      <w:pPr>
        <w:rPr>
          <w:sz w:val="18"/>
          <w:szCs w:val="18"/>
        </w:rPr>
      </w:pPr>
      <w:r>
        <w:rPr>
          <w:sz w:val="18"/>
          <w:szCs w:val="18"/>
        </w:rPr>
        <w:t xml:space="preserve">                   Život i zdravlje ljudi                                               Gospodarstvo                                     Društvena stabilnost i politika</w:t>
      </w:r>
    </w:p>
    <w:p w:rsidR="008F0D85" w:rsidRDefault="00AE42A1">
      <w:r>
        <w:rPr>
          <w:noProof/>
        </w:rPr>
        <mc:AlternateContent>
          <mc:Choice Requires="wps">
            <w:drawing>
              <wp:anchor distT="0" distB="0" distL="114300" distR="114300" simplePos="0" relativeHeight="236" behindDoc="0" locked="0" layoutInCell="1" allowOverlap="1">
                <wp:simplePos x="0" y="0"/>
                <wp:positionH relativeFrom="column">
                  <wp:posOffset>433070</wp:posOffset>
                </wp:positionH>
                <wp:positionV relativeFrom="paragraph">
                  <wp:posOffset>209550</wp:posOffset>
                </wp:positionV>
                <wp:extent cx="2540" cy="2540"/>
                <wp:effectExtent l="0" t="0" r="0" b="0"/>
                <wp:wrapNone/>
                <wp:docPr id="93" name="Slika14"/>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61D6797E" id="Slika14" o:spid="_x0000_s1026" style="position:absolute;margin-left:34.1pt;margin-top:16.5pt;width:.2pt;height:.2pt;z-index:2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" fillcolor="#4472c4" strokecolor="#2f528f" strokeweight=".35mm"/>
            </w:pict>
          </mc:Fallback>
        </mc:AlternateContent>
      </w:r>
      <w:r>
        <w:rPr>
          <w:noProof/>
        </w:rPr>
        <mc:AlternateContent>
          <mc:Choice Requires="wps">
            <w:drawing>
              <wp:anchor distT="0" distB="0" distL="114300" distR="114300" simplePos="0" relativeHeight="237" behindDoc="0" locked="0" layoutInCell="1" allowOverlap="1">
                <wp:simplePos x="0" y="0"/>
                <wp:positionH relativeFrom="column">
                  <wp:posOffset>2414270</wp:posOffset>
                </wp:positionH>
                <wp:positionV relativeFrom="paragraph">
                  <wp:posOffset>228600</wp:posOffset>
                </wp:positionV>
                <wp:extent cx="2540" cy="2540"/>
                <wp:effectExtent l="0" t="0" r="0" b="0"/>
                <wp:wrapNone/>
                <wp:docPr id="94" name="Slika15"/>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6C90418B" id="Slika15" o:spid="_x0000_s1026" style="position:absolute;margin-left:190.1pt;margin-top:18pt;width:.2pt;height:.2pt;z-index:2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" fillcolor="#4472c4" strokecolor="#2f528f" strokeweight=".35mm"/>
            </w:pict>
          </mc:Fallback>
        </mc:AlternateContent>
      </w:r>
      <w:r>
        <w:rPr>
          <w:noProof/>
        </w:rPr>
        <mc:AlternateContent>
          <mc:Choice Requires="wps">
            <w:drawing>
              <wp:anchor distT="0" distB="0" distL="114300" distR="114300" simplePos="0" relativeHeight="238" behindDoc="0" locked="0" layoutInCell="1" allowOverlap="1">
                <wp:simplePos x="0" y="0"/>
                <wp:positionH relativeFrom="column">
                  <wp:posOffset>4376420</wp:posOffset>
                </wp:positionH>
                <wp:positionV relativeFrom="paragraph">
                  <wp:posOffset>228600</wp:posOffset>
                </wp:positionV>
                <wp:extent cx="2540" cy="2540"/>
                <wp:effectExtent l="0" t="0" r="0" b="0"/>
                <wp:wrapNone/>
                <wp:docPr id="95" name="Slika16"/>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5C9B6E42" id="Slika16" o:spid="_x0000_s1026" style="position:absolute;margin-left:344.6pt;margin-top:18pt;width:.2pt;height:.2pt;z-index:2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" fillcolor="#4472c4" strokecolor="#2f528f" strokeweight=".35mm"/>
            </w:pict>
          </mc:Fallback>
        </mc:AlternateContent>
      </w:r>
      <w:r>
        <w:rPr>
          <w:noProof/>
        </w:rPr>
        <w:drawing>
          <wp:inline distT="0" distB="0" distL="0" distR="0">
            <wp:extent cx="1762760" cy="1629410"/>
            <wp:effectExtent l="0" t="0" r="0" b="0"/>
            <wp:docPr id="96" name="Slik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lika22"/>
                    <pic:cNvPicPr>
                      <a:picLocks noChangeAspect="1" noChangeArrowheads="1"/>
                    </pic:cNvPicPr>
                  </pic:nvPicPr>
                  <pic:blipFill>
                    <a:blip r:embed="rId37"/>
                    <a:stretch>
                      <a:fillRect/>
                    </a:stretch>
                  </pic:blipFill>
                  <pic:spPr bwMode="auto">
                    <a:xfrm>
                      <a:off x="0" y="0"/>
                      <a:ext cx="1762760" cy="1629410"/>
                    </a:xfrm>
                    <a:prstGeom prst="rect">
                      <a:avLst/>
                    </a:prstGeom>
                  </pic:spPr>
                </pic:pic>
              </a:graphicData>
            </a:graphic>
          </wp:inline>
        </w:drawing>
      </w:r>
      <w:r>
        <w:t xml:space="preserve">      </w:t>
      </w:r>
      <w:r>
        <w:rPr>
          <w:noProof/>
        </w:rPr>
        <w:drawing>
          <wp:inline distT="0" distB="0" distL="0" distR="0">
            <wp:extent cx="1762760" cy="1629410"/>
            <wp:effectExtent l="0" t="0" r="0" b="0"/>
            <wp:docPr id="97" name="Slika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lika23"/>
                    <pic:cNvPicPr>
                      <a:picLocks noChangeAspect="1" noChangeArrowheads="1"/>
                    </pic:cNvPicPr>
                  </pic:nvPicPr>
                  <pic:blipFill>
                    <a:blip r:embed="rId37"/>
                    <a:stretch>
                      <a:fillRect/>
                    </a:stretch>
                  </pic:blipFill>
                  <pic:spPr bwMode="auto">
                    <a:xfrm>
                      <a:off x="0" y="0"/>
                      <a:ext cx="1762760" cy="1629410"/>
                    </a:xfrm>
                    <a:prstGeom prst="rect">
                      <a:avLst/>
                    </a:prstGeom>
                  </pic:spPr>
                </pic:pic>
              </a:graphicData>
            </a:graphic>
          </wp:inline>
        </w:drawing>
      </w:r>
      <w:r>
        <w:t xml:space="preserve">      </w:t>
      </w:r>
      <w:r>
        <w:rPr>
          <w:noProof/>
        </w:rPr>
        <w:drawing>
          <wp:inline distT="0" distB="0" distL="0" distR="0">
            <wp:extent cx="1762760" cy="1629410"/>
            <wp:effectExtent l="0" t="0" r="0" b="0"/>
            <wp:docPr id="98" name="Slika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lika24"/>
                    <pic:cNvPicPr>
                      <a:picLocks noChangeAspect="1" noChangeArrowheads="1"/>
                    </pic:cNvPicPr>
                  </pic:nvPicPr>
                  <pic:blipFill>
                    <a:blip r:embed="rId37"/>
                    <a:stretch>
                      <a:fillRect/>
                    </a:stretch>
                  </pic:blipFill>
                  <pic:spPr bwMode="auto">
                    <a:xfrm>
                      <a:off x="0" y="0"/>
                      <a:ext cx="1762760" cy="1629410"/>
                    </a:xfrm>
                    <a:prstGeom prst="rect">
                      <a:avLst/>
                    </a:prstGeom>
                  </pic:spPr>
                </pic:pic>
              </a:graphicData>
            </a:graphic>
          </wp:inline>
        </w:drawing>
      </w:r>
    </w:p>
    <w:p w:rsidR="008F0D85" w:rsidRDefault="00AE42A1">
      <w:r>
        <w:t xml:space="preserve">                                                                    </w:t>
      </w:r>
      <w:r>
        <w:t xml:space="preserve">                          Matrica ukupnog rizika</w:t>
      </w:r>
    </w:p>
    <w:p w:rsidR="008F0D85" w:rsidRDefault="00AE42A1">
      <w:r>
        <w:rPr>
          <w:noProof/>
        </w:rPr>
        <w:lastRenderedPageBreak/>
        <mc:AlternateContent>
          <mc:Choice Requires="wps">
            <w:drawing>
              <wp:anchor distT="0" distB="0" distL="114300" distR="114300" simplePos="0" relativeHeight="239" behindDoc="0" locked="0" layoutInCell="1" allowOverlap="1">
                <wp:simplePos x="0" y="0"/>
                <wp:positionH relativeFrom="column">
                  <wp:posOffset>3138170</wp:posOffset>
                </wp:positionH>
                <wp:positionV relativeFrom="paragraph">
                  <wp:posOffset>335280</wp:posOffset>
                </wp:positionV>
                <wp:extent cx="2540" cy="2540"/>
                <wp:effectExtent l="0" t="0" r="0" b="0"/>
                <wp:wrapNone/>
                <wp:docPr id="99" name="Slika17"/>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78C18C36" id="Slika17" o:spid="_x0000_s1026" style="position:absolute;margin-left:247.1pt;margin-top:26.4pt;width:.2pt;height:.2pt;z-index:2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" fillcolor="#4472c4" strokecolor="#2f528f" strokeweight=".35mm"/>
            </w:pict>
          </mc:Fallback>
        </mc:AlternateContent>
      </w:r>
      <w:r>
        <w:rPr>
          <w:noProof/>
        </w:rPr>
        <w:drawing>
          <wp:inline distT="0" distB="0" distL="0" distR="0">
            <wp:extent cx="2324735" cy="924560"/>
            <wp:effectExtent l="0" t="0" r="0" b="0"/>
            <wp:docPr id="100" name="Slika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lika 113"/>
                    <pic:cNvPicPr>
                      <a:picLocks noChangeAspect="1" noChangeArrowheads="1"/>
                    </pic:cNvPicPr>
                  </pic:nvPicPr>
                  <pic:blipFill>
                    <a:blip r:embed="rId38"/>
                    <a:stretch>
                      <a:fillRect/>
                    </a:stretch>
                  </pic:blipFill>
                  <pic:spPr bwMode="auto">
                    <a:xfrm>
                      <a:off x="0" y="0"/>
                      <a:ext cx="2324735" cy="924560"/>
                    </a:xfrm>
                    <a:prstGeom prst="rect">
                      <a:avLst/>
                    </a:prstGeom>
                  </pic:spPr>
                </pic:pic>
              </a:graphicData>
            </a:graphic>
          </wp:inline>
        </w:drawing>
      </w:r>
      <w:r>
        <w:t xml:space="preserve"> </w:t>
      </w:r>
      <w:bookmarkStart w:id="1004" w:name="_Hlk512423594"/>
      <w:bookmarkEnd w:id="1004"/>
      <w:r>
        <w:rPr>
          <w:noProof/>
        </w:rPr>
        <w:drawing>
          <wp:inline distT="0" distB="0" distL="0" distR="0">
            <wp:extent cx="3229610" cy="2762885"/>
            <wp:effectExtent l="0" t="0" r="0" b="0"/>
            <wp:docPr id="101" name="Slik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lika25"/>
                    <pic:cNvPicPr>
                      <a:picLocks noChangeAspect="1" noChangeArrowheads="1"/>
                    </pic:cNvPicPr>
                  </pic:nvPicPr>
                  <pic:blipFill>
                    <a:blip r:embed="rId37"/>
                    <a:stretch>
                      <a:fillRect/>
                    </a:stretch>
                  </pic:blipFill>
                  <pic:spPr bwMode="auto">
                    <a:xfrm>
                      <a:off x="0" y="0"/>
                      <a:ext cx="3229610" cy="2762885"/>
                    </a:xfrm>
                    <a:prstGeom prst="rect">
                      <a:avLst/>
                    </a:prstGeom>
                  </pic:spPr>
                </pic:pic>
              </a:graphicData>
            </a:graphic>
          </wp:inline>
        </w:drawing>
      </w:r>
    </w:p>
    <w:p w:rsidR="008F0D85" w:rsidRDefault="008F0D85">
      <w:pPr>
        <w:spacing w:after="0" w:line="240" w:lineRule="auto"/>
        <w:rPr>
          <w:sz w:val="20"/>
          <w:szCs w:val="20"/>
        </w:rPr>
      </w:pPr>
    </w:p>
    <w:p w:rsidR="008F0D85" w:rsidRDefault="008F0D85">
      <w:pPr>
        <w:spacing w:line="240" w:lineRule="auto"/>
        <w:rPr>
          <w:sz w:val="20"/>
          <w:szCs w:val="20"/>
        </w:rPr>
      </w:pPr>
    </w:p>
    <w:p w:rsidR="008F0D85" w:rsidRDefault="008F0D85">
      <w:pPr>
        <w:rPr>
          <w:rFonts w:cs="Arial"/>
          <w:bCs/>
        </w:rPr>
      </w:pPr>
    </w:p>
    <w:p w:rsidR="008F0D85" w:rsidRDefault="008F0D85">
      <w:pPr>
        <w:rPr>
          <w:rFonts w:cs="Arial"/>
          <w:bCs/>
        </w:rPr>
      </w:pPr>
    </w:p>
    <w:p w:rsidR="008F0D85" w:rsidRDefault="00AE42A1">
      <w:pPr>
        <w:pStyle w:val="Naslov3"/>
      </w:pPr>
      <w:bookmarkStart w:id="1005" w:name="_Toc514142877"/>
      <w:bookmarkStart w:id="1006" w:name="_Toc516128347"/>
      <w:bookmarkStart w:id="1007" w:name="_Toc527969442"/>
      <w:bookmarkEnd w:id="1005"/>
      <w:bookmarkEnd w:id="1006"/>
      <w:bookmarkEnd w:id="1007"/>
      <w:r>
        <w:t>6.5.4. Izvor podataka</w:t>
      </w:r>
    </w:p>
    <w:p w:rsidR="008F0D85" w:rsidRDefault="008F0D85"/>
    <w:p w:rsidR="008F0D85" w:rsidRDefault="00AE42A1">
      <w:pPr>
        <w:numPr>
          <w:ilvl w:val="0"/>
          <w:numId w:val="76"/>
        </w:numPr>
        <w:contextualSpacing/>
        <w:jc w:val="left"/>
        <w:rPr>
          <w:sz w:val="20"/>
          <w:szCs w:val="20"/>
          <w:lang w:val="en-US"/>
        </w:rPr>
      </w:pPr>
      <w:r>
        <w:rPr>
          <w:sz w:val="20"/>
          <w:szCs w:val="20"/>
          <w:lang w:val="en-US"/>
        </w:rPr>
        <w:t>Državni zavod za statistiku, Popis stanovništva 2011.god.</w:t>
      </w:r>
    </w:p>
    <w:p w:rsidR="008F0D85" w:rsidRDefault="00AE42A1">
      <w:pPr>
        <w:numPr>
          <w:ilvl w:val="0"/>
          <w:numId w:val="76"/>
        </w:numPr>
        <w:contextualSpacing/>
        <w:jc w:val="left"/>
        <w:rPr>
          <w:sz w:val="20"/>
          <w:szCs w:val="20"/>
          <w:lang w:val="en-US"/>
        </w:rPr>
      </w:pPr>
      <w:r>
        <w:rPr>
          <w:sz w:val="20"/>
          <w:szCs w:val="20"/>
          <w:lang w:val="en-US"/>
        </w:rPr>
        <w:t>Geološki odsjek PMF-a, Zagreb</w:t>
      </w:r>
    </w:p>
    <w:p w:rsidR="008F0D85" w:rsidRDefault="00AE42A1">
      <w:pPr>
        <w:numPr>
          <w:ilvl w:val="0"/>
          <w:numId w:val="76"/>
        </w:numPr>
        <w:contextualSpacing/>
        <w:jc w:val="left"/>
        <w:rPr>
          <w:sz w:val="20"/>
          <w:szCs w:val="20"/>
          <w:lang w:val="en-US"/>
        </w:rPr>
      </w:pPr>
      <w:r>
        <w:rPr>
          <w:sz w:val="20"/>
          <w:szCs w:val="20"/>
          <w:lang w:val="en-US"/>
        </w:rPr>
        <w:t>Odluka o određivanju sektora iz kojih središnja tijela Državne uprave identificiraju na</w:t>
      </w:r>
      <w:r>
        <w:rPr>
          <w:sz w:val="20"/>
          <w:szCs w:val="20"/>
          <w:lang w:val="en-US"/>
        </w:rPr>
        <w:t>cionalne kritične infrastrukture te liste redoslijeda sektora infrastruktura („Narodne Novine“, br. 108/13)</w:t>
      </w:r>
    </w:p>
    <w:p w:rsidR="008F0D85" w:rsidRDefault="00AE42A1">
      <w:pPr>
        <w:numPr>
          <w:ilvl w:val="0"/>
          <w:numId w:val="76"/>
        </w:numPr>
        <w:contextualSpacing/>
        <w:jc w:val="left"/>
        <w:rPr>
          <w:sz w:val="20"/>
          <w:szCs w:val="20"/>
          <w:lang w:val="en-US"/>
        </w:rPr>
      </w:pPr>
      <w:r>
        <w:rPr>
          <w:sz w:val="20"/>
          <w:szCs w:val="20"/>
          <w:lang w:val="en-US"/>
        </w:rPr>
        <w:t>Plan gospodarenja otpadom Općine za razdoblje 2018. – 2023. godine</w:t>
      </w:r>
    </w:p>
    <w:p w:rsidR="008F0D85" w:rsidRDefault="00AE42A1">
      <w:pPr>
        <w:numPr>
          <w:ilvl w:val="0"/>
          <w:numId w:val="76"/>
        </w:numPr>
        <w:contextualSpacing/>
        <w:jc w:val="left"/>
        <w:rPr>
          <w:sz w:val="20"/>
          <w:szCs w:val="20"/>
          <w:lang w:val="en-US"/>
        </w:rPr>
      </w:pPr>
      <w:r>
        <w:rPr>
          <w:sz w:val="20"/>
          <w:szCs w:val="20"/>
          <w:lang w:val="en-US"/>
        </w:rPr>
        <w:t>Procjena rizika od katastrofa za Republiku Hrvatsku, 2016.god.</w:t>
      </w:r>
    </w:p>
    <w:p w:rsidR="008F0D85" w:rsidRDefault="00AE42A1">
      <w:pPr>
        <w:numPr>
          <w:ilvl w:val="0"/>
          <w:numId w:val="76"/>
        </w:numPr>
        <w:contextualSpacing/>
        <w:jc w:val="left"/>
        <w:rPr>
          <w:sz w:val="20"/>
          <w:szCs w:val="20"/>
          <w:lang w:val="en-US"/>
        </w:rPr>
      </w:pPr>
      <w:r>
        <w:rPr>
          <w:sz w:val="20"/>
          <w:szCs w:val="20"/>
          <w:lang w:val="en-US"/>
        </w:rPr>
        <w:t>Procjena ugroženos</w:t>
      </w:r>
      <w:r>
        <w:rPr>
          <w:sz w:val="20"/>
          <w:szCs w:val="20"/>
          <w:lang w:val="en-US"/>
        </w:rPr>
        <w:t>ti stanovništva, materijalnih i kulturnih dobara i okoliša Općine Kloštar Podravski, 2015.god.</w:t>
      </w:r>
    </w:p>
    <w:p w:rsidR="008F0D85" w:rsidRDefault="00AE42A1">
      <w:pPr>
        <w:numPr>
          <w:ilvl w:val="0"/>
          <w:numId w:val="76"/>
        </w:numPr>
        <w:contextualSpacing/>
        <w:jc w:val="left"/>
        <w:rPr>
          <w:sz w:val="20"/>
          <w:szCs w:val="20"/>
          <w:lang w:val="en-US"/>
        </w:rPr>
      </w:pPr>
      <w:r>
        <w:rPr>
          <w:sz w:val="20"/>
          <w:szCs w:val="20"/>
          <w:lang w:val="en-US"/>
        </w:rPr>
        <w:t xml:space="preserve">Procjena ugroženosti stanovništva, materijalnih i kulturnih dobara i okoliša za Koprivničko – križevačku županiju, 2015.god. </w:t>
      </w:r>
    </w:p>
    <w:p w:rsidR="008F0D85" w:rsidRDefault="00AE42A1">
      <w:pPr>
        <w:numPr>
          <w:ilvl w:val="0"/>
          <w:numId w:val="76"/>
        </w:numPr>
        <w:contextualSpacing/>
        <w:jc w:val="left"/>
        <w:rPr>
          <w:sz w:val="20"/>
          <w:szCs w:val="20"/>
          <w:lang w:val="en-US"/>
        </w:rPr>
      </w:pPr>
      <w:r>
        <w:rPr>
          <w:sz w:val="20"/>
          <w:szCs w:val="20"/>
          <w:lang w:val="en-US"/>
        </w:rPr>
        <w:t>Smjernice za izradu Procjene rizika</w:t>
      </w:r>
      <w:r>
        <w:rPr>
          <w:sz w:val="20"/>
          <w:szCs w:val="20"/>
          <w:lang w:val="en-US"/>
        </w:rPr>
        <w:t xml:space="preserve"> od velikih nesreća na području Koprivničko - križevačke županije, 2017.god.</w:t>
      </w:r>
    </w:p>
    <w:p w:rsidR="008F0D85" w:rsidRDefault="00AE42A1">
      <w:pPr>
        <w:numPr>
          <w:ilvl w:val="0"/>
          <w:numId w:val="76"/>
        </w:numPr>
        <w:contextualSpacing/>
        <w:jc w:val="left"/>
        <w:rPr>
          <w:sz w:val="20"/>
          <w:szCs w:val="20"/>
          <w:lang w:val="en-US"/>
        </w:rPr>
      </w:pPr>
      <w:r>
        <w:rPr>
          <w:sz w:val="20"/>
          <w:szCs w:val="20"/>
          <w:lang w:val="en-US"/>
        </w:rPr>
        <w:t>Zakon o kritičnim infrastrukturama (“Narodne Novine” br. 56/13)</w:t>
      </w:r>
    </w:p>
    <w:p w:rsidR="008F0D85" w:rsidRDefault="00AE42A1">
      <w:pPr>
        <w:numPr>
          <w:ilvl w:val="0"/>
          <w:numId w:val="76"/>
        </w:numPr>
        <w:contextualSpacing/>
        <w:jc w:val="left"/>
        <w:rPr>
          <w:sz w:val="20"/>
          <w:szCs w:val="20"/>
          <w:lang w:val="en-US"/>
        </w:rPr>
      </w:pPr>
      <w:bookmarkStart w:id="1008" w:name="_Hlk514065431"/>
      <w:bookmarkStart w:id="1009" w:name="_Hlk503512087"/>
      <w:bookmarkEnd w:id="1008"/>
      <w:bookmarkEnd w:id="1009"/>
      <w:r>
        <w:rPr>
          <w:sz w:val="20"/>
          <w:szCs w:val="20"/>
          <w:lang w:val="en-US"/>
        </w:rPr>
        <w:t>Zakon o sustavu civilne zaštite („Narodne Novine“ br. 82/15)</w:t>
      </w:r>
    </w:p>
    <w:p w:rsidR="008F0D85" w:rsidRDefault="008F0D85">
      <w:pPr>
        <w:rPr>
          <w:sz w:val="20"/>
          <w:szCs w:val="20"/>
          <w:lang w:val="en-US"/>
        </w:rPr>
      </w:pPr>
    </w:p>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AE42A1">
      <w:pPr>
        <w:pStyle w:val="Naslov2"/>
      </w:pPr>
      <w:bookmarkStart w:id="1010" w:name="_Toc510774837"/>
      <w:bookmarkStart w:id="1011" w:name="_Toc527969443"/>
      <w:bookmarkEnd w:id="1010"/>
      <w:bookmarkEnd w:id="1011"/>
      <w:r>
        <w:t xml:space="preserve">6.6. Tehničko – tehnološke </w:t>
      </w:r>
      <w:r>
        <w:t>nesreće s opasnim tvarima</w:t>
      </w:r>
    </w:p>
    <w:p w:rsidR="008F0D85" w:rsidRDefault="00AE42A1">
      <w:pPr>
        <w:pStyle w:val="Naslov3"/>
      </w:pPr>
      <w:bookmarkStart w:id="1012" w:name="_Toc510774838"/>
      <w:bookmarkStart w:id="1013" w:name="_Toc527969444"/>
      <w:bookmarkEnd w:id="1012"/>
      <w:bookmarkEnd w:id="1013"/>
      <w:r>
        <w:t>6.6.1. RIZIK – Industrijske nesreće</w:t>
      </w:r>
    </w:p>
    <w:p w:rsidR="008F0D85" w:rsidRDefault="00AE42A1">
      <w:pPr>
        <w:pStyle w:val="Naslov4"/>
      </w:pPr>
      <w:bookmarkStart w:id="1014" w:name="_Toc510774839"/>
      <w:bookmarkStart w:id="1015" w:name="_Toc527969445"/>
      <w:bookmarkEnd w:id="1014"/>
      <w:bookmarkEnd w:id="1015"/>
      <w:r>
        <w:t>6.6.1.1. NAZIV SCENARIJA - Istjecanje sadržaja autocisterne na površinu i njezino zapaljenje s opasnošću od eksplozije</w:t>
      </w:r>
    </w:p>
    <w:p w:rsidR="008F0D85" w:rsidRDefault="008F0D85"/>
    <w:tbl>
      <w:tblPr>
        <w:tblW w:w="9097"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9097"/>
      </w:tblGrid>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Naziv scenarija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szCs w:val="20"/>
              </w:rPr>
            </w:pPr>
            <w:r>
              <w:rPr>
                <w:i/>
                <w:sz w:val="20"/>
                <w:szCs w:val="20"/>
              </w:rPr>
              <w:t xml:space="preserve">Istjecanje sadržaja autocisterne na površinu i njezino zapaljenje s opasnošću od eksplozije </w:t>
            </w:r>
          </w:p>
        </w:tc>
      </w:tr>
      <w:tr w:rsidR="008F0D85">
        <w:trPr>
          <w:trHeight w:val="248"/>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Grupa rizika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i/>
                <w:sz w:val="20"/>
              </w:rPr>
              <w:t>Tehničko – tehnološke nesreće s opasnim tvarima</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Rizik</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i/>
                <w:sz w:val="20"/>
              </w:rPr>
              <w:t>Industrijske nesreće</w:t>
            </w:r>
          </w:p>
        </w:tc>
      </w:tr>
      <w:tr w:rsidR="008F0D85">
        <w:trPr>
          <w:trHeight w:val="242"/>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b/>
                <w:sz w:val="20"/>
              </w:rPr>
            </w:pPr>
            <w:r>
              <w:rPr>
                <w:b/>
                <w:sz w:val="20"/>
              </w:rPr>
              <w:t>Radna skupina</w:t>
            </w:r>
          </w:p>
        </w:tc>
      </w:tr>
      <w:tr w:rsidR="008F0D85">
        <w:trPr>
          <w:trHeight w:val="248"/>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rPr>
            </w:pPr>
            <w:r>
              <w:rPr>
                <w:b/>
                <w:sz w:val="20"/>
              </w:rPr>
              <w:t xml:space="preserve">Koordinator: </w:t>
            </w:r>
            <w:r>
              <w:rPr>
                <w:i/>
                <w:sz w:val="20"/>
              </w:rPr>
              <w:t xml:space="preserve">Ivan Čupen, načelnik Stožera </w:t>
            </w:r>
            <w:r>
              <w:rPr>
                <w:i/>
                <w:sz w:val="20"/>
              </w:rPr>
              <w:t>civilne zaštite Općine Kloštar Podravski</w:t>
            </w:r>
          </w:p>
        </w:tc>
      </w:tr>
      <w:tr w:rsidR="008F0D85">
        <w:trPr>
          <w:trHeight w:val="248"/>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tabs>
                <w:tab w:val="left" w:pos="1380"/>
              </w:tabs>
              <w:spacing w:after="0"/>
              <w:rPr>
                <w:i/>
                <w:sz w:val="20"/>
              </w:rPr>
            </w:pPr>
            <w:r>
              <w:rPr>
                <w:b/>
                <w:sz w:val="20"/>
              </w:rPr>
              <w:t xml:space="preserve">Nositelj: </w:t>
            </w:r>
            <w:r>
              <w:rPr>
                <w:i/>
                <w:sz w:val="20"/>
              </w:rPr>
              <w:t>Krunoslav Karas, načelnik kadrovske Policijske uprave</w:t>
            </w:r>
          </w:p>
        </w:tc>
      </w:tr>
      <w:tr w:rsidR="008F0D85">
        <w:trPr>
          <w:trHeight w:val="248"/>
          <w:jc w:val="center"/>
        </w:trPr>
        <w:tc>
          <w:tcPr>
            <w:tcW w:w="909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i/>
                <w:sz w:val="20"/>
              </w:rPr>
            </w:pPr>
            <w:r>
              <w:rPr>
                <w:b/>
                <w:sz w:val="20"/>
              </w:rPr>
              <w:t xml:space="preserve">Izvršitelj: </w:t>
            </w:r>
            <w:r>
              <w:rPr>
                <w:i/>
                <w:sz w:val="20"/>
              </w:rPr>
              <w:t>Renata Imbrišić, član DVD-a</w:t>
            </w:r>
          </w:p>
        </w:tc>
      </w:tr>
    </w:tbl>
    <w:p w:rsidR="008F0D85" w:rsidRDefault="008F0D85"/>
    <w:p w:rsidR="008F0D85" w:rsidRDefault="00AE42A1">
      <w:pPr>
        <w:pStyle w:val="Naslov4"/>
      </w:pPr>
      <w:bookmarkStart w:id="1016" w:name="_Toc510774840"/>
      <w:bookmarkStart w:id="1017" w:name="_Toc527969446"/>
      <w:bookmarkEnd w:id="1016"/>
      <w:bookmarkEnd w:id="1017"/>
      <w:r>
        <w:t>6.6.1.2. Uvod – Industrijske nesreće</w:t>
      </w:r>
    </w:p>
    <w:p w:rsidR="008F0D85" w:rsidRDefault="008F0D85"/>
    <w:p w:rsidR="008F0D85" w:rsidRDefault="00AE42A1">
      <w:r>
        <w:t>Tehničko-tehnološke katastrofe većinom nastaju djelovanjem čovjeka, odnosno izaziva ih neposredno čovjek svojim ponašanjem i propustima u oblasti rukovanja tehnološkim procesima i općenito tehnikom i njezinim (ne)održavanjem. Kako su na području Općine, od</w:t>
      </w:r>
      <w:r>
        <w:t xml:space="preserve"> </w:t>
      </w:r>
      <w:r>
        <w:lastRenderedPageBreak/>
        <w:t>tehničko-tehnoloških nesreća iste moguće u prometu te spremnicima za tekuća goriva, većih oštećenja materijalnih i kulturnih dobara ne bi bilo. Rjeđe su nesreće takvih razmjera koje bi predstavljale pojavu koja bi po posljedicama bila ravna prirodnoj elem</w:t>
      </w:r>
      <w:r>
        <w:t>entarnoj nepogodi, pri čemu bi se posljedice odnosile na život i zdravlje ljudi te materijalna i kulturna dobra. Međutim, ukoliko bi, na području Općine došlo do sudara, iskliznuća, prevrtanja bilo kojeg transportnog sredstva, posljedice nesreće (osim ošte</w:t>
      </w:r>
      <w:r>
        <w:t>ćenja ili uništenja samog prometala) došlo bi oštećenja okolnih objekata i instalacija te ispuštanje transportiranog materijala. U takvim slučajevima dolazi do kontaminacije okoline te požara i eksplozija koji bi doveli do oštećenja materijalnih i kulturni</w:t>
      </w:r>
      <w:r>
        <w:t xml:space="preserve">h dobara te ugroze građana od opasnih tvari u blizini akcidenta. </w:t>
      </w:r>
    </w:p>
    <w:p w:rsidR="008F0D85" w:rsidRDefault="008F0D85"/>
    <w:p w:rsidR="008F0D85" w:rsidRDefault="008F0D85"/>
    <w:p w:rsidR="008F0D85" w:rsidRDefault="008F0D85"/>
    <w:p w:rsidR="008F0D85" w:rsidRDefault="008F0D85"/>
    <w:p w:rsidR="008F0D85" w:rsidRDefault="008F0D85"/>
    <w:p w:rsidR="008F0D85" w:rsidRDefault="00AE42A1">
      <w:pPr>
        <w:pStyle w:val="Naslov4"/>
      </w:pPr>
      <w:bookmarkStart w:id="1018" w:name="_Toc510774841"/>
      <w:bookmarkStart w:id="1019" w:name="_Toc527969447"/>
      <w:bookmarkEnd w:id="1018"/>
      <w:bookmarkEnd w:id="1019"/>
      <w:r>
        <w:t>6.6.1.3. Prikaz utjecaja industrijske nesreće na kritičnu infrastrukturu (KI)</w:t>
      </w:r>
    </w:p>
    <w:p w:rsidR="008F0D85" w:rsidRDefault="008F0D85"/>
    <w:p w:rsidR="008F0D85" w:rsidRDefault="00AE42A1">
      <w:pPr>
        <w:rPr>
          <w:rFonts w:cs="Calibri"/>
          <w:szCs w:val="24"/>
          <w:highlight w:val="white"/>
        </w:rPr>
      </w:pPr>
      <w:r>
        <w:rPr>
          <w:rFonts w:cs="Calibri"/>
          <w:szCs w:val="24"/>
          <w:shd w:val="clear" w:color="auto" w:fill="FFFFFF"/>
        </w:rPr>
        <w:t xml:space="preserve">Benzinska postaja s obzirom na Odluku o određivanju sektora iz kojih središnja tijela državne uprave </w:t>
      </w:r>
      <w:r>
        <w:rPr>
          <w:rFonts w:cs="Calibri"/>
          <w:szCs w:val="24"/>
          <w:shd w:val="clear" w:color="auto" w:fill="FFFFFF"/>
        </w:rPr>
        <w:t>identificiraju nacionalne kritične infrastrukture te liste redoslijeda sektora kritičnih infrastruktura, benzinske postaje svrstane su u kritičnu infrastrukturu značajnu za Republiku Hrvatsku s obzirom na sektor energetike, no s obzirom na poziciju same be</w:t>
      </w:r>
      <w:r>
        <w:rPr>
          <w:rFonts w:cs="Calibri"/>
          <w:szCs w:val="24"/>
          <w:shd w:val="clear" w:color="auto" w:fill="FFFFFF"/>
        </w:rPr>
        <w:t>nzinske postaje u Općini može se zaključiti da u slučaju prestanka rada promatrane benzinske postaje ne bi došlo do značajnijih problema u opskrbi stanovništva gorivom.</w:t>
      </w:r>
    </w:p>
    <w:tbl>
      <w:tblPr>
        <w:tblW w:w="9107"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958"/>
        <w:gridCol w:w="8149"/>
      </w:tblGrid>
      <w:tr w:rsidR="008F0D85">
        <w:trPr>
          <w:trHeight w:val="384"/>
          <w:tblHeader/>
          <w:jc w:val="center"/>
        </w:trPr>
        <w:tc>
          <w:tcPr>
            <w:tcW w:w="95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Utjecaj</w:t>
            </w:r>
          </w:p>
        </w:tc>
        <w:tc>
          <w:tcPr>
            <w:tcW w:w="814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Sektor</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Komunikacijska i informacijska tehnologija (elektroničke komunikacije,</w:t>
            </w:r>
            <w:r>
              <w:rPr>
                <w:sz w:val="20"/>
                <w:szCs w:val="20"/>
              </w:rPr>
              <w:t xml:space="preserve"> prijenos podataka, informacijski sustavi, pružanje audio i audiovizualnih medijskih usluga)</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Promet (cestovni, željeznički, zračni, pomorski i promet unutarnjim plovnim putevima)</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Zdravstvo (zdravstvena zaštita, proizvodnja, promet i nadzor nad </w:t>
            </w:r>
            <w:r>
              <w:rPr>
                <w:sz w:val="20"/>
                <w:szCs w:val="20"/>
              </w:rPr>
              <w:t>lijekovima)</w:t>
            </w:r>
          </w:p>
        </w:tc>
      </w:tr>
      <w:tr w:rsidR="008F0D85">
        <w:trPr>
          <w:trHeight w:val="38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Vodno gospodarstvo (regulacijske i zaštitne vodne građevine i komunalne vodne građevine)</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Hrana (proizvodnja i opskrba hranom i sustav sigurnosti hrane, robne zalihe) </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 xml:space="preserve">Financije (bankarstvo, burze, investicije, sustavi </w:t>
            </w:r>
            <w:r>
              <w:rPr>
                <w:sz w:val="20"/>
                <w:szCs w:val="20"/>
              </w:rPr>
              <w:t>osiguranja i plaćanja)</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center"/>
              <w:rPr>
                <w:b/>
                <w:sz w:val="20"/>
                <w:szCs w:val="20"/>
              </w:rPr>
            </w:pPr>
            <w:r>
              <w:rPr>
                <w:b/>
                <w:sz w:val="20"/>
                <w:szCs w:val="20"/>
              </w:rPr>
              <w:t>X</w:t>
            </w: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Proizvodnja, skladištenje i prijevoz opasnih tvari (kemijski, biološki, radiološki i nuklearni materijali)</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Javne službe (osiguranje javnog reda i mira, zaštita i spašavanje, hitna medicinska pomoć)</w:t>
            </w:r>
          </w:p>
        </w:tc>
      </w:tr>
      <w:tr w:rsidR="008F0D85">
        <w:trPr>
          <w:trHeight w:val="394"/>
          <w:jc w:val="center"/>
        </w:trPr>
        <w:tc>
          <w:tcPr>
            <w:tcW w:w="95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jc w:val="center"/>
              <w:rPr>
                <w:b/>
                <w:sz w:val="20"/>
                <w:szCs w:val="20"/>
              </w:rPr>
            </w:pPr>
          </w:p>
        </w:tc>
        <w:tc>
          <w:tcPr>
            <w:tcW w:w="814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rPr>
                <w:sz w:val="20"/>
                <w:szCs w:val="20"/>
              </w:rPr>
            </w:pPr>
            <w:r>
              <w:rPr>
                <w:sz w:val="20"/>
                <w:szCs w:val="20"/>
              </w:rPr>
              <w:t>Nacionalni spomenici i vrije</w:t>
            </w:r>
            <w:r>
              <w:rPr>
                <w:sz w:val="20"/>
                <w:szCs w:val="20"/>
              </w:rPr>
              <w:t>dnosti</w:t>
            </w:r>
          </w:p>
        </w:tc>
      </w:tr>
    </w:tbl>
    <w:p w:rsidR="008F0D85" w:rsidRDefault="008F0D85">
      <w:pPr>
        <w:rPr>
          <w:rFonts w:cs="Calibri"/>
          <w:szCs w:val="24"/>
          <w:highlight w:val="white"/>
        </w:rPr>
      </w:pPr>
    </w:p>
    <w:p w:rsidR="008F0D85" w:rsidRDefault="00AE42A1">
      <w:pPr>
        <w:pStyle w:val="Naslov4"/>
        <w:rPr>
          <w:highlight w:val="white"/>
        </w:rPr>
      </w:pPr>
      <w:bookmarkStart w:id="1020" w:name="_Toc510774842"/>
      <w:bookmarkStart w:id="1021" w:name="_Toc527969448"/>
      <w:bookmarkEnd w:id="1020"/>
      <w:bookmarkEnd w:id="1021"/>
      <w:r>
        <w:rPr>
          <w:shd w:val="clear" w:color="auto" w:fill="FFFFFF"/>
        </w:rPr>
        <w:lastRenderedPageBreak/>
        <w:t>6.6.1.4. Kontekst – Industrijska nesreća</w:t>
      </w:r>
    </w:p>
    <w:p w:rsidR="008F0D85" w:rsidRDefault="008F0D85"/>
    <w:p w:rsidR="008F0D85" w:rsidRDefault="00AE42A1">
      <w:pPr>
        <w:rPr>
          <w:szCs w:val="24"/>
        </w:rPr>
      </w:pPr>
      <w:r>
        <w:rPr>
          <w:szCs w:val="24"/>
        </w:rPr>
        <w:t xml:space="preserve">Na području Općine nalazi se benzinska postaja Lepirac d.o.o., a koja se nalazi na lokaciji Kralja Tomislava 83, 48 362 Kloštar Podravski. </w:t>
      </w:r>
    </w:p>
    <w:p w:rsidR="008F0D85" w:rsidRDefault="00AE42A1">
      <w:pPr>
        <w:spacing w:after="0"/>
        <w:rPr>
          <w:szCs w:val="24"/>
        </w:rPr>
      </w:pPr>
      <w:r>
        <w:rPr>
          <w:szCs w:val="24"/>
        </w:rPr>
        <w:t>Ugroza po stanovništvo kod benzinske postaje Lepirac d.o.o. je neznatna, budući da je ista locirana izvan naselja te</w:t>
      </w:r>
      <w:r>
        <w:rPr>
          <w:szCs w:val="24"/>
        </w:rPr>
        <w:t xml:space="preserve"> bi prvenstveno ugrožavalo zaposleno osoblje i korisnike usluga koji bi se tamo zatekli u vremenu izbijanja izvanrednog događaja.</w:t>
      </w:r>
    </w:p>
    <w:p w:rsidR="008F0D85" w:rsidRDefault="008F0D85">
      <w:pPr>
        <w:spacing w:after="0"/>
        <w:rPr>
          <w:szCs w:val="24"/>
        </w:rPr>
      </w:pPr>
    </w:p>
    <w:p w:rsidR="008F0D85" w:rsidRDefault="00AE42A1">
      <w:pPr>
        <w:rPr>
          <w:color w:val="000000"/>
        </w:rPr>
      </w:pPr>
      <w:r>
        <w:rPr>
          <w:color w:val="000000"/>
        </w:rPr>
        <w:t>Tehničko-tehnološke katastrofe ili velike nesreće u gospodarskim objektima nastaju kao posljedica nesretnog događaja uzrokova</w:t>
      </w:r>
      <w:r>
        <w:rPr>
          <w:color w:val="000000"/>
        </w:rPr>
        <w:t xml:space="preserve">nog ljudskom nepažnjom, nemarnošću ili namjerom izazivanja krizne situacije. Također mogu nastati kao posljedica tehničkog kvara strojeva u lancu proizvodnje ili distribucije, te kao posljedica djelovanja vanjskih prirodnih sila ili drugih oblika vanjskog </w:t>
      </w:r>
      <w:r>
        <w:rPr>
          <w:color w:val="000000"/>
        </w:rPr>
        <w:t xml:space="preserve">utjecaja (udar groma, potresa, poplave , olujnih i orkanskih udara vjetra itd.). Ovakve katastrofe ili nesreće izazivaju posljedice na stanovništvo, materijalna i kulturna dobra, te na infrastrukturne objekte. </w:t>
      </w:r>
    </w:p>
    <w:p w:rsidR="008F0D85" w:rsidRDefault="008F0D85">
      <w:pPr>
        <w:spacing w:after="0"/>
        <w:jc w:val="center"/>
        <w:rPr>
          <w:szCs w:val="24"/>
        </w:rPr>
      </w:pPr>
    </w:p>
    <w:p w:rsidR="008F0D85" w:rsidRDefault="00AE42A1">
      <w:pPr>
        <w:spacing w:after="0"/>
        <w:jc w:val="center"/>
        <w:rPr>
          <w:szCs w:val="24"/>
        </w:rPr>
      </w:pPr>
      <w:r>
        <w:rPr>
          <w:noProof/>
        </w:rPr>
        <w:drawing>
          <wp:inline distT="0" distB="0" distL="0" distR="0">
            <wp:extent cx="5668010" cy="3162935"/>
            <wp:effectExtent l="0" t="0" r="0" b="0"/>
            <wp:docPr id="102" name="Slika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lika26"/>
                    <pic:cNvPicPr>
                      <a:picLocks noChangeAspect="1" noChangeArrowheads="1"/>
                    </pic:cNvPicPr>
                  </pic:nvPicPr>
                  <pic:blipFill>
                    <a:blip r:embed="rId99"/>
                    <a:stretch>
                      <a:fillRect/>
                    </a:stretch>
                  </pic:blipFill>
                  <pic:spPr bwMode="auto">
                    <a:xfrm>
                      <a:off x="0" y="0"/>
                      <a:ext cx="5668010" cy="3162935"/>
                    </a:xfrm>
                    <a:prstGeom prst="rect">
                      <a:avLst/>
                    </a:prstGeom>
                  </pic:spPr>
                </pic:pic>
              </a:graphicData>
            </a:graphic>
          </wp:inline>
        </w:drawing>
      </w:r>
    </w:p>
    <w:p w:rsidR="008F0D85" w:rsidRDefault="00AE42A1">
      <w:pPr>
        <w:spacing w:after="0" w:line="360" w:lineRule="auto"/>
        <w:rPr>
          <w:rFonts w:cs="Arial"/>
          <w:b/>
          <w:bCs/>
          <w:sz w:val="20"/>
          <w:szCs w:val="20"/>
        </w:rPr>
      </w:pPr>
      <w:bookmarkStart w:id="1022" w:name="_Toc527969600"/>
      <w:bookmarkStart w:id="1023" w:name="_Toc510775013"/>
      <w:r>
        <w:rPr>
          <w:rFonts w:cs="Arial"/>
          <w:b/>
          <w:bCs/>
          <w:sz w:val="20"/>
          <w:szCs w:val="20"/>
        </w:rPr>
        <w:t xml:space="preserve">Slika </w:t>
      </w:r>
      <w:r>
        <w:rPr>
          <w:rFonts w:cs="Arial"/>
          <w:b/>
          <w:bCs/>
          <w:sz w:val="20"/>
          <w:szCs w:val="20"/>
        </w:rPr>
        <w:fldChar w:fldCharType="begin"/>
      </w:r>
      <w:r>
        <w:instrText>SEQ Slika \* ARABIC</w:instrText>
      </w:r>
      <w:r>
        <w:fldChar w:fldCharType="separate"/>
      </w:r>
      <w:r>
        <w:t>28</w:t>
      </w:r>
      <w:r>
        <w:fldChar w:fldCharType="end"/>
      </w:r>
      <w:r>
        <w:rPr>
          <w:rFonts w:cs="Arial"/>
          <w:b/>
          <w:bCs/>
          <w:sz w:val="20"/>
          <w:szCs w:val="20"/>
        </w:rPr>
        <w:t>: Prikaz pol</w:t>
      </w:r>
      <w:r>
        <w:rPr>
          <w:rFonts w:cs="Arial"/>
          <w:b/>
          <w:bCs/>
          <w:sz w:val="20"/>
          <w:szCs w:val="20"/>
        </w:rPr>
        <w:t xml:space="preserve">ožaja benzinske postaje </w:t>
      </w:r>
      <w:bookmarkEnd w:id="1022"/>
      <w:bookmarkEnd w:id="1023"/>
      <w:r>
        <w:rPr>
          <w:rFonts w:cs="Arial"/>
          <w:b/>
          <w:bCs/>
          <w:sz w:val="20"/>
          <w:szCs w:val="20"/>
        </w:rPr>
        <w:t>Lepirac d.o.o.</w:t>
      </w:r>
    </w:p>
    <w:p w:rsidR="008F0D85" w:rsidRDefault="00AE42A1">
      <w:pPr>
        <w:rPr>
          <w:sz w:val="20"/>
          <w:szCs w:val="20"/>
        </w:rPr>
      </w:pPr>
      <w:r>
        <w:rPr>
          <w:sz w:val="20"/>
          <w:szCs w:val="20"/>
        </w:rPr>
        <w:t>Izvor. Geoportal, DGU, 2018.god.</w:t>
      </w:r>
    </w:p>
    <w:p w:rsidR="008F0D85" w:rsidRDefault="008F0D85">
      <w:pPr>
        <w:rPr>
          <w:sz w:val="20"/>
          <w:szCs w:val="20"/>
        </w:rPr>
      </w:pPr>
    </w:p>
    <w:p w:rsidR="008F0D85" w:rsidRDefault="00AE42A1">
      <w:pPr>
        <w:pStyle w:val="Naslov4"/>
        <w:rPr>
          <w:lang w:eastAsia="hr-HR"/>
        </w:rPr>
      </w:pPr>
      <w:bookmarkStart w:id="1024" w:name="_Toc510774843"/>
      <w:bookmarkStart w:id="1025" w:name="_Toc527969449"/>
      <w:bookmarkEnd w:id="1024"/>
      <w:bookmarkEnd w:id="1025"/>
      <w:r>
        <w:rPr>
          <w:lang w:eastAsia="hr-HR"/>
        </w:rPr>
        <w:t>6.6.1.5. Uzrok industrijske nesreće</w:t>
      </w:r>
    </w:p>
    <w:p w:rsidR="008F0D85" w:rsidRDefault="008F0D85">
      <w:pPr>
        <w:spacing w:after="0"/>
        <w:rPr>
          <w:bCs/>
          <w:szCs w:val="24"/>
          <w:lang w:eastAsia="hr-HR"/>
        </w:rPr>
      </w:pPr>
    </w:p>
    <w:p w:rsidR="008F0D85" w:rsidRDefault="00AE42A1">
      <w:r>
        <w:t>Uzroci nekontroliranog ispuštanja para benzina i dizelskih goriva koji predstavljaju opasnost mogu biti prirodni ili antropogeni (tzv. ljudski fak</w:t>
      </w:r>
      <w:r>
        <w:t>tor). Prirodni su oni koji se manifestiraju kao potresi, poplave, suše, snježne lavine, olujna nevremena te odroni i klizanje tla.</w:t>
      </w:r>
    </w:p>
    <w:p w:rsidR="008F0D85" w:rsidRDefault="00AE42A1">
      <w:r>
        <w:lastRenderedPageBreak/>
        <w:t xml:space="preserve">Antropogeni nenamjerni su oni koji se manifestiraju kao tehničko-tehnološke katastrofe: </w:t>
      </w:r>
    </w:p>
    <w:p w:rsidR="008F0D85" w:rsidRDefault="00AE42A1">
      <w:pPr>
        <w:numPr>
          <w:ilvl w:val="0"/>
          <w:numId w:val="38"/>
        </w:numPr>
        <w:suppressAutoHyphens/>
        <w:spacing w:after="0"/>
        <w:textAlignment w:val="baseline"/>
      </w:pPr>
      <w:r>
        <w:t>požari</w:t>
      </w:r>
    </w:p>
    <w:p w:rsidR="008F0D85" w:rsidRDefault="00AE42A1">
      <w:pPr>
        <w:numPr>
          <w:ilvl w:val="0"/>
          <w:numId w:val="38"/>
        </w:numPr>
        <w:suppressAutoHyphens/>
        <w:spacing w:after="0"/>
        <w:textAlignment w:val="baseline"/>
      </w:pPr>
      <w:r>
        <w:t>eksplozije</w:t>
      </w:r>
    </w:p>
    <w:p w:rsidR="008F0D85" w:rsidRDefault="00AE42A1">
      <w:pPr>
        <w:numPr>
          <w:ilvl w:val="0"/>
          <w:numId w:val="38"/>
        </w:numPr>
        <w:suppressAutoHyphens/>
        <w:spacing w:after="0"/>
        <w:textAlignment w:val="baseline"/>
      </w:pPr>
      <w:r>
        <w:t xml:space="preserve">rušenje </w:t>
      </w:r>
      <w:r>
        <w:t>građevinskih objekata</w:t>
      </w:r>
    </w:p>
    <w:p w:rsidR="008F0D85" w:rsidRDefault="00AE42A1">
      <w:pPr>
        <w:numPr>
          <w:ilvl w:val="0"/>
          <w:numId w:val="38"/>
        </w:numPr>
        <w:suppressAutoHyphens/>
        <w:spacing w:after="0"/>
        <w:textAlignment w:val="baseline"/>
      </w:pPr>
      <w:r>
        <w:t>nesreće prilikom prijevoza</w:t>
      </w:r>
    </w:p>
    <w:p w:rsidR="008F0D85" w:rsidRDefault="00AE42A1">
      <w:r>
        <w:t xml:space="preserve"> </w:t>
      </w:r>
    </w:p>
    <w:p w:rsidR="008F0D85" w:rsidRDefault="00AE42A1">
      <w:r>
        <w:t>Antropogeni namjerni su oni koji se manifestiraju uslijed:</w:t>
      </w:r>
    </w:p>
    <w:p w:rsidR="008F0D85" w:rsidRDefault="00AE42A1">
      <w:pPr>
        <w:numPr>
          <w:ilvl w:val="0"/>
          <w:numId w:val="38"/>
        </w:numPr>
        <w:suppressAutoHyphens/>
        <w:spacing w:after="0"/>
        <w:textAlignment w:val="baseline"/>
      </w:pPr>
      <w:r>
        <w:t>ratnih djelovanja</w:t>
      </w:r>
    </w:p>
    <w:p w:rsidR="008F0D85" w:rsidRDefault="00AE42A1">
      <w:pPr>
        <w:numPr>
          <w:ilvl w:val="0"/>
          <w:numId w:val="38"/>
        </w:numPr>
        <w:suppressAutoHyphens/>
        <w:spacing w:after="0"/>
        <w:textAlignment w:val="baseline"/>
      </w:pPr>
      <w:r>
        <w:t>terorizma (diverzija, sabotaža)</w:t>
      </w:r>
    </w:p>
    <w:p w:rsidR="008F0D85" w:rsidRDefault="008F0D85"/>
    <w:p w:rsidR="008F0D85" w:rsidRDefault="00AE42A1">
      <w:pPr>
        <w:spacing w:after="0"/>
      </w:pPr>
      <w:r>
        <w:t xml:space="preserve">Nekontrolirana ispuštanja opasnih tvari i njihovih para u okoliš uslijed havarije na objektima </w:t>
      </w:r>
      <w:r>
        <w:t>moguća je:</w:t>
      </w:r>
    </w:p>
    <w:p w:rsidR="008F0D85" w:rsidRDefault="00AE42A1">
      <w:pPr>
        <w:numPr>
          <w:ilvl w:val="0"/>
          <w:numId w:val="38"/>
        </w:numPr>
        <w:suppressAutoHyphens/>
        <w:spacing w:after="0"/>
        <w:textAlignment w:val="baseline"/>
      </w:pPr>
      <w:r>
        <w:t>uslijed dotrajalosti podzemne ili nadzemne opreme</w:t>
      </w:r>
    </w:p>
    <w:p w:rsidR="008F0D85" w:rsidRDefault="00AE42A1">
      <w:pPr>
        <w:numPr>
          <w:ilvl w:val="0"/>
          <w:numId w:val="38"/>
        </w:numPr>
        <w:suppressAutoHyphens/>
        <w:spacing w:after="0"/>
        <w:textAlignment w:val="baseline"/>
      </w:pPr>
      <w:r>
        <w:t>korozije cjevovoda</w:t>
      </w:r>
    </w:p>
    <w:p w:rsidR="008F0D85" w:rsidRDefault="00AE42A1">
      <w:pPr>
        <w:numPr>
          <w:ilvl w:val="0"/>
          <w:numId w:val="38"/>
        </w:numPr>
        <w:suppressAutoHyphens/>
        <w:spacing w:after="0"/>
        <w:textAlignment w:val="baseline"/>
      </w:pPr>
      <w:r>
        <w:t>uslijed oštećenja podzemne ili nadzemne opreme prouzročenog od strane drugih fizičkih osoba</w:t>
      </w:r>
    </w:p>
    <w:p w:rsidR="008F0D85" w:rsidRDefault="00AE42A1">
      <w:pPr>
        <w:numPr>
          <w:ilvl w:val="0"/>
          <w:numId w:val="38"/>
        </w:numPr>
        <w:suppressAutoHyphens/>
        <w:spacing w:after="0"/>
        <w:textAlignment w:val="baseline"/>
      </w:pPr>
      <w:r>
        <w:t xml:space="preserve">uslijed oštećenja podzemne i nadzemne opreme prilikom radova na </w:t>
      </w:r>
      <w:r>
        <w:t>instalacijama</w:t>
      </w:r>
    </w:p>
    <w:p w:rsidR="008F0D85" w:rsidRDefault="00AE42A1">
      <w:pPr>
        <w:numPr>
          <w:ilvl w:val="0"/>
          <w:numId w:val="38"/>
        </w:numPr>
        <w:suppressAutoHyphens/>
        <w:spacing w:after="0"/>
        <w:textAlignment w:val="baseline"/>
      </w:pPr>
      <w:r>
        <w:t>uslijed oštećenja podzemne i nadzemne opreme prouzročenog elementarnom nepogodom</w:t>
      </w:r>
    </w:p>
    <w:p w:rsidR="008F0D85" w:rsidRDefault="00AE42A1">
      <w:pPr>
        <w:numPr>
          <w:ilvl w:val="0"/>
          <w:numId w:val="38"/>
        </w:numPr>
        <w:suppressAutoHyphens/>
        <w:spacing w:after="0"/>
        <w:textAlignment w:val="baseline"/>
      </w:pPr>
      <w:r>
        <w:t>uslijed tehnološkog ekscesa tijekom rada postrojenja</w:t>
      </w:r>
    </w:p>
    <w:p w:rsidR="008F0D85" w:rsidRDefault="008F0D85"/>
    <w:p w:rsidR="008F0D85" w:rsidRDefault="00AE42A1">
      <w:pPr>
        <w:spacing w:after="0"/>
      </w:pPr>
      <w:r>
        <w:t>Zbog specifične djelatnosti opasnosti i uzroci nastanka opasnosti, a u svezi rukovanja, držanja i korištenj</w:t>
      </w:r>
      <w:r>
        <w:t>a opasnih tvari bile bi također:</w:t>
      </w:r>
    </w:p>
    <w:p w:rsidR="008F0D85" w:rsidRDefault="00AE42A1">
      <w:pPr>
        <w:numPr>
          <w:ilvl w:val="0"/>
          <w:numId w:val="38"/>
        </w:numPr>
        <w:suppressAutoHyphens/>
        <w:spacing w:after="0"/>
        <w:textAlignment w:val="baseline"/>
      </w:pPr>
      <w:r>
        <w:t>neispravnost vozila za prijevoz opasnih tvari</w:t>
      </w:r>
    </w:p>
    <w:p w:rsidR="008F0D85" w:rsidRDefault="00AE42A1">
      <w:pPr>
        <w:numPr>
          <w:ilvl w:val="0"/>
          <w:numId w:val="38"/>
        </w:numPr>
        <w:suppressAutoHyphens/>
        <w:spacing w:after="0"/>
        <w:textAlignment w:val="baseline"/>
      </w:pPr>
      <w:r>
        <w:t>nepažnja radnika prilikom pretakanja iz autocisterne u spremnik</w:t>
      </w:r>
    </w:p>
    <w:p w:rsidR="008F0D85" w:rsidRDefault="00AE42A1">
      <w:pPr>
        <w:numPr>
          <w:ilvl w:val="0"/>
          <w:numId w:val="38"/>
        </w:numPr>
        <w:suppressAutoHyphens/>
        <w:spacing w:after="0"/>
        <w:textAlignment w:val="baseline"/>
      </w:pPr>
      <w:r>
        <w:t xml:space="preserve">nedovoljna obučenost radnika za rad sa zapaljivim i opasnim tvarima, kao i za primjenu odgovarajućih postupaka u </w:t>
      </w:r>
      <w:r>
        <w:t>slučaju nastanka akcidentne situacije</w:t>
      </w:r>
    </w:p>
    <w:p w:rsidR="008F0D85" w:rsidRDefault="008F0D85">
      <w:pPr>
        <w:spacing w:after="0"/>
      </w:pPr>
    </w:p>
    <w:p w:rsidR="008F0D85" w:rsidRDefault="00AE42A1">
      <w:pPr>
        <w:spacing w:after="0"/>
      </w:pPr>
      <w:r>
        <w:t xml:space="preserve"> Neispravnost spremnika moguća je zbog:</w:t>
      </w:r>
    </w:p>
    <w:p w:rsidR="008F0D85" w:rsidRDefault="00AE42A1">
      <w:pPr>
        <w:numPr>
          <w:ilvl w:val="0"/>
          <w:numId w:val="38"/>
        </w:numPr>
        <w:suppressAutoHyphens/>
        <w:spacing w:after="0"/>
        <w:textAlignment w:val="baseline"/>
      </w:pPr>
      <w:r>
        <w:t>propuštanje plašta spremnika</w:t>
      </w:r>
    </w:p>
    <w:p w:rsidR="008F0D85" w:rsidRDefault="00AE42A1">
      <w:pPr>
        <w:numPr>
          <w:ilvl w:val="0"/>
          <w:numId w:val="38"/>
        </w:numPr>
        <w:suppressAutoHyphens/>
        <w:spacing w:after="0"/>
        <w:textAlignment w:val="baseline"/>
      </w:pPr>
      <w:r>
        <w:t>neispravnosti prateće opreme spremnika, električne opreme, sigurnosni ventili, odušci i sl.</w:t>
      </w:r>
    </w:p>
    <w:p w:rsidR="008F0D85" w:rsidRDefault="008F0D85">
      <w:pPr>
        <w:spacing w:after="0"/>
        <w:ind w:left="1080"/>
      </w:pPr>
    </w:p>
    <w:p w:rsidR="008F0D85" w:rsidRDefault="00AE42A1">
      <w:pPr>
        <w:spacing w:after="0"/>
      </w:pPr>
      <w:r>
        <w:t>Opasnosti prilikom pretakanja goriva u spremnik mogu se</w:t>
      </w:r>
      <w:r>
        <w:t xml:space="preserve"> ogledati u:</w:t>
      </w:r>
    </w:p>
    <w:p w:rsidR="008F0D85" w:rsidRDefault="00AE42A1">
      <w:pPr>
        <w:numPr>
          <w:ilvl w:val="0"/>
          <w:numId w:val="38"/>
        </w:numPr>
        <w:suppressAutoHyphens/>
        <w:spacing w:after="0"/>
        <w:textAlignment w:val="baseline"/>
      </w:pPr>
      <w:r>
        <w:t>nepoduzimanju potrebnih preventivnih mjera na mjestu pretakanja</w:t>
      </w:r>
    </w:p>
    <w:p w:rsidR="008F0D85" w:rsidRDefault="00AE42A1">
      <w:pPr>
        <w:numPr>
          <w:ilvl w:val="0"/>
          <w:numId w:val="38"/>
        </w:numPr>
        <w:suppressAutoHyphens/>
        <w:spacing w:after="0"/>
        <w:textAlignment w:val="baseline"/>
      </w:pPr>
      <w:r>
        <w:t>neprikladnom skladištenju opasnih tvari</w:t>
      </w:r>
    </w:p>
    <w:p w:rsidR="008F0D85" w:rsidRDefault="00AE42A1">
      <w:pPr>
        <w:numPr>
          <w:ilvl w:val="0"/>
          <w:numId w:val="38"/>
        </w:numPr>
        <w:suppressAutoHyphens/>
        <w:spacing w:after="0"/>
        <w:textAlignment w:val="baseline"/>
      </w:pPr>
      <w:r>
        <w:t>neprikladnim postupcima radnika prilikom pretakanja (pušenje, žurba i sl.)</w:t>
      </w:r>
    </w:p>
    <w:p w:rsidR="008F0D85" w:rsidRDefault="00AE42A1">
      <w:pPr>
        <w:numPr>
          <w:ilvl w:val="0"/>
          <w:numId w:val="38"/>
        </w:numPr>
        <w:suppressAutoHyphens/>
        <w:spacing w:after="0"/>
        <w:textAlignment w:val="baseline"/>
      </w:pPr>
      <w:r>
        <w:t>neodržavanje opreme za gašenje eventualno nastalog požara</w:t>
      </w:r>
    </w:p>
    <w:p w:rsidR="008F0D85" w:rsidRDefault="00AE42A1">
      <w:pPr>
        <w:numPr>
          <w:ilvl w:val="0"/>
          <w:numId w:val="38"/>
        </w:numPr>
        <w:suppressAutoHyphens/>
        <w:spacing w:after="0"/>
        <w:textAlignment w:val="baseline"/>
      </w:pPr>
      <w:r>
        <w:lastRenderedPageBreak/>
        <w:t>ostavl</w:t>
      </w:r>
      <w:r>
        <w:t>janju cisterne bez nadzora</w:t>
      </w:r>
    </w:p>
    <w:p w:rsidR="008F0D85" w:rsidRDefault="00AE42A1">
      <w:pPr>
        <w:numPr>
          <w:ilvl w:val="0"/>
          <w:numId w:val="38"/>
        </w:numPr>
        <w:suppressAutoHyphens/>
        <w:spacing w:after="0"/>
        <w:textAlignment w:val="baseline"/>
      </w:pPr>
      <w:r>
        <w:t>dozvoljavanju pristupa neovlaštenim osobama</w:t>
      </w:r>
    </w:p>
    <w:p w:rsidR="008F0D85" w:rsidRDefault="00AE42A1">
      <w:pPr>
        <w:numPr>
          <w:ilvl w:val="0"/>
          <w:numId w:val="38"/>
        </w:numPr>
        <w:suppressAutoHyphens/>
        <w:spacing w:after="0"/>
        <w:textAlignment w:val="baseline"/>
      </w:pPr>
      <w:r>
        <w:t>vršenje pretakanje uz upaljen motor i bez postavljenih oznaka o vršenju pretakanja</w:t>
      </w:r>
    </w:p>
    <w:p w:rsidR="008F0D85" w:rsidRDefault="00AE42A1">
      <w:pPr>
        <w:numPr>
          <w:ilvl w:val="0"/>
          <w:numId w:val="38"/>
        </w:numPr>
        <w:suppressAutoHyphens/>
        <w:spacing w:after="0"/>
        <w:textAlignment w:val="baseline"/>
      </w:pPr>
      <w:r>
        <w:t>vršenju pretakanja u lošim vremenskim uvjetima</w:t>
      </w:r>
    </w:p>
    <w:p w:rsidR="008F0D85" w:rsidRDefault="00AE42A1">
      <w:pPr>
        <w:numPr>
          <w:ilvl w:val="0"/>
          <w:numId w:val="38"/>
        </w:numPr>
        <w:suppressAutoHyphens/>
        <w:spacing w:after="0"/>
        <w:textAlignment w:val="baseline"/>
      </w:pPr>
      <w:r>
        <w:t>nošenju odjeće koja stvara statički elektricitet</w:t>
      </w:r>
    </w:p>
    <w:p w:rsidR="008F0D85" w:rsidRDefault="008F0D85">
      <w:pPr>
        <w:spacing w:after="0"/>
      </w:pPr>
    </w:p>
    <w:p w:rsidR="008F0D85" w:rsidRDefault="00AE42A1">
      <w:pPr>
        <w:spacing w:after="0"/>
      </w:pPr>
      <w:r>
        <w:t>Uzroci ovih opasnosti mogu biti sljedeći:</w:t>
      </w:r>
    </w:p>
    <w:p w:rsidR="008F0D85" w:rsidRDefault="00AE42A1">
      <w:pPr>
        <w:numPr>
          <w:ilvl w:val="0"/>
          <w:numId w:val="38"/>
        </w:numPr>
        <w:suppressAutoHyphens/>
        <w:spacing w:after="0"/>
        <w:textAlignment w:val="baseline"/>
      </w:pPr>
      <w:r>
        <w:t>nezainteresiranost i nemotiviranost radnika za provedbom mjera sigurnosti</w:t>
      </w:r>
    </w:p>
    <w:p w:rsidR="008F0D85" w:rsidRDefault="00AE42A1">
      <w:pPr>
        <w:numPr>
          <w:ilvl w:val="0"/>
          <w:numId w:val="38"/>
        </w:numPr>
        <w:suppressAutoHyphens/>
        <w:spacing w:after="0"/>
        <w:textAlignment w:val="baseline"/>
      </w:pPr>
      <w:r>
        <w:t>konzumiranje alkohola tijekom radnog vremena</w:t>
      </w:r>
    </w:p>
    <w:p w:rsidR="008F0D85" w:rsidRDefault="00AE42A1">
      <w:pPr>
        <w:numPr>
          <w:ilvl w:val="0"/>
          <w:numId w:val="38"/>
        </w:numPr>
        <w:suppressAutoHyphens/>
        <w:spacing w:after="0"/>
        <w:textAlignment w:val="baseline"/>
      </w:pPr>
      <w:r>
        <w:t>rad neosposobljenih radnika na radnim mjestima gdje su potrebna stručna usavršavanja uslijed iz</w:t>
      </w:r>
      <w:r>
        <w:t>loženosti povećanim rizicima po život i zdravlje od opasnih tvari</w:t>
      </w:r>
    </w:p>
    <w:p w:rsidR="008F0D85" w:rsidRDefault="00AE42A1">
      <w:pPr>
        <w:numPr>
          <w:ilvl w:val="0"/>
          <w:numId w:val="38"/>
        </w:numPr>
        <w:suppressAutoHyphens/>
        <w:spacing w:after="0"/>
        <w:textAlignment w:val="baseline"/>
      </w:pPr>
      <w:r>
        <w:t>ne uklanjanje eventualno prosutih malih količina goriva bez provođenja mjera za uklanjanje istih</w:t>
      </w:r>
    </w:p>
    <w:p w:rsidR="008F0D85" w:rsidRDefault="008F0D85"/>
    <w:p w:rsidR="008F0D85" w:rsidRDefault="008F0D85"/>
    <w:p w:rsidR="008F0D85" w:rsidRDefault="00AE42A1">
      <w:r>
        <w:t>OPASNOST OD POŽARA I EKSPLOZIJE:</w:t>
      </w:r>
    </w:p>
    <w:p w:rsidR="008F0D85" w:rsidRDefault="00AE42A1">
      <w:pPr>
        <w:numPr>
          <w:ilvl w:val="0"/>
          <w:numId w:val="38"/>
        </w:numPr>
        <w:suppressAutoHyphens/>
        <w:textAlignment w:val="baseline"/>
      </w:pPr>
      <w:r>
        <w:t>uslijed ispuštanja benzinskih ili dieselskih para iz sprem</w:t>
      </w:r>
      <w:r>
        <w:t>nika ili cjevovoda do opasnosti od požara i eksplozije može doći zbog:</w:t>
      </w:r>
    </w:p>
    <w:p w:rsidR="008F0D85" w:rsidRDefault="00AE42A1">
      <w:pPr>
        <w:numPr>
          <w:ilvl w:val="1"/>
          <w:numId w:val="38"/>
        </w:numPr>
        <w:suppressAutoHyphens/>
        <w:spacing w:after="0"/>
        <w:textAlignment w:val="baseline"/>
      </w:pPr>
      <w:r>
        <w:t>vatre iz otvorenih ložišta</w:t>
      </w:r>
    </w:p>
    <w:p w:rsidR="008F0D85" w:rsidRDefault="00AE42A1">
      <w:pPr>
        <w:numPr>
          <w:ilvl w:val="1"/>
          <w:numId w:val="38"/>
        </w:numPr>
        <w:suppressAutoHyphens/>
        <w:spacing w:after="0"/>
        <w:textAlignment w:val="baseline"/>
      </w:pPr>
      <w:r>
        <w:t>unošenja otvorenog plamena u prostor prodaje</w:t>
      </w:r>
    </w:p>
    <w:p w:rsidR="008F0D85" w:rsidRDefault="00AE42A1">
      <w:pPr>
        <w:numPr>
          <w:ilvl w:val="1"/>
          <w:numId w:val="38"/>
        </w:numPr>
        <w:suppressAutoHyphens/>
        <w:spacing w:after="0"/>
        <w:textAlignment w:val="baseline"/>
      </w:pPr>
      <w:r>
        <w:t>iskre u električnim uređajima na objektima</w:t>
      </w:r>
    </w:p>
    <w:p w:rsidR="008F0D85" w:rsidRDefault="00AE42A1">
      <w:pPr>
        <w:numPr>
          <w:ilvl w:val="1"/>
          <w:numId w:val="38"/>
        </w:numPr>
        <w:suppressAutoHyphens/>
        <w:spacing w:after="0"/>
        <w:textAlignment w:val="baseline"/>
      </w:pPr>
      <w:r>
        <w:t>atmosferskog pražnjenja</w:t>
      </w:r>
    </w:p>
    <w:p w:rsidR="008F0D85" w:rsidRDefault="00AE42A1">
      <w:pPr>
        <w:numPr>
          <w:ilvl w:val="1"/>
          <w:numId w:val="38"/>
        </w:numPr>
        <w:suppressAutoHyphens/>
        <w:spacing w:after="0"/>
        <w:textAlignment w:val="baseline"/>
      </w:pPr>
      <w:r>
        <w:t>statičkog naboja</w:t>
      </w:r>
    </w:p>
    <w:p w:rsidR="008F0D85" w:rsidRDefault="00AE42A1">
      <w:pPr>
        <w:numPr>
          <w:ilvl w:val="1"/>
          <w:numId w:val="38"/>
        </w:numPr>
        <w:suppressAutoHyphens/>
        <w:spacing w:after="0"/>
        <w:textAlignment w:val="baseline"/>
      </w:pPr>
      <w:r>
        <w:t xml:space="preserve">pušenja u prostorima gdje je </w:t>
      </w:r>
      <w:r>
        <w:t>to zabranjeno</w:t>
      </w:r>
    </w:p>
    <w:p w:rsidR="008F0D85" w:rsidRDefault="00AE42A1">
      <w:pPr>
        <w:numPr>
          <w:ilvl w:val="1"/>
          <w:numId w:val="38"/>
        </w:numPr>
        <w:suppressAutoHyphens/>
        <w:spacing w:after="0"/>
        <w:textAlignment w:val="baseline"/>
      </w:pPr>
      <w:r>
        <w:t>rada s alatom koji može iskriti</w:t>
      </w:r>
    </w:p>
    <w:p w:rsidR="008F0D85" w:rsidRDefault="008F0D85">
      <w:pPr>
        <w:suppressAutoHyphens/>
        <w:spacing w:after="0"/>
        <w:textAlignment w:val="baseline"/>
      </w:pPr>
    </w:p>
    <w:p w:rsidR="008F0D85" w:rsidRDefault="00AE42A1">
      <w:pPr>
        <w:pStyle w:val="Naslov5"/>
      </w:pPr>
      <w:bookmarkStart w:id="1026" w:name="_Toc510774844"/>
      <w:bookmarkStart w:id="1027" w:name="_Toc527969450"/>
      <w:bookmarkEnd w:id="1026"/>
      <w:bookmarkEnd w:id="1027"/>
      <w:r>
        <w:t>6.6.1.5.1. Razvoj događaja koji prethodi velikoj nesreći uslijed industrijske nesreće</w:t>
      </w:r>
    </w:p>
    <w:p w:rsidR="008F0D85" w:rsidRDefault="008F0D85">
      <w:pPr>
        <w:suppressAutoHyphens/>
        <w:spacing w:after="0"/>
        <w:textAlignment w:val="baseline"/>
      </w:pPr>
    </w:p>
    <w:p w:rsidR="008F0D85" w:rsidRDefault="00AE42A1">
      <w:r>
        <w:t>Tehničko-tehnološke katastrofe većinom nastaju djelovanjem čovjeka, odnosno izaziva ih neposredno čovjek svojim ponašanjem</w:t>
      </w:r>
      <w:r>
        <w:t xml:space="preserve"> i propustima u oblasti rukovanja tehnološkim procesima i općenito tehnikom i njezinim (ne)održavanjem. Uslijed kvara, ljudske pogreške ili prirodne nepogode dolazi do brzog ispuštanja zapaljive tvari. Tvar kojoj je temperatura ključanja viša od temperatur</w:t>
      </w:r>
      <w:r>
        <w:t xml:space="preserve">e okoline, isparavaju sporije, prethodno formirajući lokvu na tlu te nastaje oblak pare koji se širi atmosferom. </w:t>
      </w:r>
    </w:p>
    <w:p w:rsidR="008F0D85" w:rsidRDefault="00AE42A1">
      <w:pPr>
        <w:pStyle w:val="Naslov5"/>
      </w:pPr>
      <w:bookmarkStart w:id="1028" w:name="_Toc510774845"/>
      <w:bookmarkStart w:id="1029" w:name="_Toc527969451"/>
      <w:bookmarkEnd w:id="1028"/>
      <w:bookmarkEnd w:id="1029"/>
      <w:r>
        <w:t>6.6.1.5.2. Okidač koji je uzrokovao veliku nesreću uslijed industrijske nesreće</w:t>
      </w:r>
    </w:p>
    <w:p w:rsidR="008F0D85" w:rsidRDefault="008F0D85"/>
    <w:p w:rsidR="008F0D85" w:rsidRDefault="00AE42A1">
      <w:r>
        <w:lastRenderedPageBreak/>
        <w:t xml:space="preserve">Kvar opreme za pretovar te ljudski faktor. </w:t>
      </w:r>
    </w:p>
    <w:p w:rsidR="008F0D85" w:rsidRDefault="008F0D85"/>
    <w:p w:rsidR="008F0D85" w:rsidRDefault="00AE42A1">
      <w:pPr>
        <w:pStyle w:val="Naslov3"/>
      </w:pPr>
      <w:bookmarkStart w:id="1030" w:name="_Toc510774846"/>
      <w:bookmarkStart w:id="1031" w:name="_Toc527969452"/>
      <w:bookmarkEnd w:id="1030"/>
      <w:bookmarkEnd w:id="1031"/>
      <w:r>
        <w:t xml:space="preserve">6.6.2. Opis </w:t>
      </w:r>
      <w:r>
        <w:t>događaja – Industrijske nesreće</w:t>
      </w:r>
    </w:p>
    <w:p w:rsidR="008F0D85" w:rsidRDefault="00AE42A1">
      <w:pPr>
        <w:pStyle w:val="Naslov4"/>
      </w:pPr>
      <w:bookmarkStart w:id="1032" w:name="_Toc510774847"/>
      <w:bookmarkStart w:id="1033" w:name="_Toc527969453"/>
      <w:bookmarkEnd w:id="1032"/>
      <w:bookmarkEnd w:id="1033"/>
      <w:r>
        <w:t>6.6.2.1. Događaj s najgorim mogućim posljedicama – Istjecanje sadržaja autocisterne na površinu i njezino zapaljenje s opasnošću od eksplozije</w:t>
      </w:r>
    </w:p>
    <w:p w:rsidR="008F0D85" w:rsidRDefault="008F0D85"/>
    <w:p w:rsidR="008F0D85" w:rsidRDefault="00AE42A1">
      <w:r>
        <w:t>Procjena posljedica od izvanrednog događaja u najgorem slučaju temelji se na met</w:t>
      </w:r>
      <w:r>
        <w:t>odama izloženim u “Priručniku za razvrstavanje i utvrđivanje prioriteta među rizicima izazvanim velikim nesrećama u procesnoj i srodnim industrijama“. Kako bi procijenili posljedice prvo je potrebno odrediti zonu ugroženosti. Zone ugroženosti se određuju p</w:t>
      </w:r>
      <w:r>
        <w:t>rema američkom propisu EPA-e: “Opće smjernice za programe upravljanja rizicima“ (40 CFR 68), po metodi najgoreg mogućeg slučaja, tzv. “Worst-case“. Uslijed razlika propisa, moguće je odstupanje rezultata od realnosti.</w:t>
      </w:r>
    </w:p>
    <w:p w:rsidR="008F0D85" w:rsidRDefault="00AE42A1">
      <w:r>
        <w:t>Sama metoda procjene posljedica kod za</w:t>
      </w:r>
      <w:r>
        <w:t xml:space="preserve">paljivih tekućina temelji se na posljedicama udarnog tlačnog vala. Proračun zone ugroženosti proveden je u preporučenim vrijednostima i promatranog proizvedenog pretlaka od 7 kPa (6894 x 103 Nm-2) kod kojeg zračni udar može izazvati oštećenje građevinskih </w:t>
      </w:r>
      <w:r>
        <w:t xml:space="preserve">objekata, lomljenje prozorskih stakala, a osobe unutar zone mogu biti životno ugrožene. </w:t>
      </w:r>
    </w:p>
    <w:p w:rsidR="008F0D85" w:rsidRDefault="00AE42A1">
      <w:r>
        <w:t>Za analizu je uzet scenarij prema kriteriju najveće pretpostavljene količine ispuštene najopasnije tvari iz spremnika autocisterne – benzina te pretpostavljenih najtež</w:t>
      </w:r>
      <w:r>
        <w:t>ih posljedica za ljude s obzirom na mjesto nastanka ispuštanja i zapaljenje, odnosno eksplozije kao najtežeg oblika ugrožavanja ljudi i okoliša, za autocisterne za dovoz goriva na BP, koje su uobičajeno ukupne zapremine do 30 m</w:t>
      </w:r>
      <w:r>
        <w:rPr>
          <w:vertAlign w:val="superscript"/>
        </w:rPr>
        <w:t>3</w:t>
      </w:r>
      <w:r>
        <w:t>.</w:t>
      </w:r>
    </w:p>
    <w:p w:rsidR="008F0D85" w:rsidRDefault="00AE42A1">
      <w:pPr>
        <w:suppressAutoHyphens/>
        <w:textAlignment w:val="baseline"/>
      </w:pPr>
      <w:r>
        <w:t>Za proračun je korišten pr</w:t>
      </w:r>
      <w:r>
        <w:t>ogramski paket Phast, verzija 7.1, Det Norske Veritas GL.</w:t>
      </w:r>
    </w:p>
    <w:p w:rsidR="008F0D85" w:rsidRDefault="00AE42A1">
      <w:pPr>
        <w:spacing w:after="0" w:line="360" w:lineRule="auto"/>
        <w:jc w:val="center"/>
        <w:rPr>
          <w:rFonts w:cs="Arial"/>
          <w:b/>
          <w:bCs/>
          <w:sz w:val="20"/>
          <w:szCs w:val="20"/>
        </w:rPr>
      </w:pPr>
      <w:bookmarkStart w:id="1034" w:name="_Toc510774951"/>
      <w:bookmarkStart w:id="1035" w:name="_Toc527969545"/>
      <w:r>
        <w:rPr>
          <w:rFonts w:cs="Arial"/>
          <w:b/>
          <w:bCs/>
          <w:sz w:val="20"/>
          <w:szCs w:val="20"/>
        </w:rPr>
        <w:t xml:space="preserve">Tablica </w:t>
      </w:r>
      <w:r>
        <w:rPr>
          <w:rFonts w:cs="Arial"/>
          <w:b/>
          <w:bCs/>
          <w:sz w:val="20"/>
          <w:szCs w:val="20"/>
        </w:rPr>
        <w:fldChar w:fldCharType="begin"/>
      </w:r>
      <w:r>
        <w:instrText>SEQ Tablica \* ARABIC</w:instrText>
      </w:r>
      <w:r>
        <w:fldChar w:fldCharType="separate"/>
      </w:r>
      <w:r>
        <w:t>63</w:t>
      </w:r>
      <w:r>
        <w:fldChar w:fldCharType="end"/>
      </w:r>
      <w:bookmarkEnd w:id="1034"/>
      <w:bookmarkEnd w:id="1035"/>
      <w:r>
        <w:rPr>
          <w:rFonts w:cs="Arial"/>
          <w:b/>
          <w:bCs/>
          <w:sz w:val="20"/>
          <w:szCs w:val="20"/>
        </w:rPr>
        <w:t>: Tablični prikaz ulaznih parametara za izračune</w:t>
      </w:r>
    </w:p>
    <w:tbl>
      <w:tblPr>
        <w:tblW w:w="906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2266"/>
        <w:gridCol w:w="2265"/>
        <w:gridCol w:w="2265"/>
        <w:gridCol w:w="2264"/>
      </w:tblGrid>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center"/>
              <w:textAlignment w:val="baseline"/>
              <w:rPr>
                <w:rFonts w:cs="Calibri"/>
                <w:b/>
                <w:sz w:val="20"/>
                <w:szCs w:val="20"/>
              </w:rPr>
            </w:pPr>
            <w:r>
              <w:rPr>
                <w:rFonts w:cs="Calibri"/>
                <w:b/>
                <w:sz w:val="20"/>
                <w:szCs w:val="20"/>
              </w:rPr>
              <w:t>Ulazni parametar</w:t>
            </w:r>
          </w:p>
        </w:tc>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center"/>
              <w:textAlignment w:val="baseline"/>
              <w:rPr>
                <w:rFonts w:cs="Calibri"/>
                <w:b/>
                <w:sz w:val="20"/>
                <w:szCs w:val="20"/>
              </w:rPr>
            </w:pPr>
            <w:r>
              <w:rPr>
                <w:rFonts w:cs="Calibri"/>
                <w:b/>
                <w:sz w:val="20"/>
                <w:szCs w:val="20"/>
              </w:rPr>
              <w:t>UNP</w:t>
            </w:r>
          </w:p>
        </w:tc>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center"/>
              <w:textAlignment w:val="baseline"/>
              <w:rPr>
                <w:rFonts w:cs="Calibri"/>
                <w:b/>
                <w:sz w:val="20"/>
                <w:szCs w:val="20"/>
              </w:rPr>
            </w:pPr>
            <w:r>
              <w:rPr>
                <w:rFonts w:cs="Calibri"/>
                <w:b/>
                <w:sz w:val="20"/>
                <w:szCs w:val="20"/>
              </w:rPr>
              <w:t>Gorivo</w:t>
            </w:r>
          </w:p>
        </w:tc>
        <w:tc>
          <w:tcPr>
            <w:tcW w:w="2264"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center"/>
              <w:textAlignment w:val="baseline"/>
              <w:rPr>
                <w:rFonts w:cs="Calibri"/>
                <w:b/>
                <w:sz w:val="20"/>
                <w:szCs w:val="20"/>
              </w:rPr>
            </w:pPr>
            <w:r>
              <w:rPr>
                <w:rFonts w:cs="Calibri"/>
                <w:b/>
                <w:sz w:val="20"/>
                <w:szCs w:val="20"/>
              </w:rPr>
              <w:t>Napomena</w:t>
            </w: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Volumen posude</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4,85 m</w:t>
            </w:r>
            <w:r>
              <w:rPr>
                <w:rFonts w:cs="Calibri"/>
                <w:sz w:val="20"/>
                <w:szCs w:val="20"/>
                <w:vertAlign w:val="superscript"/>
              </w:rPr>
              <w:t>3</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30 m</w:t>
            </w:r>
            <w:r>
              <w:rPr>
                <w:rFonts w:cs="Calibri"/>
                <w:sz w:val="20"/>
                <w:szCs w:val="20"/>
                <w:vertAlign w:val="superscript"/>
              </w:rPr>
              <w:t>3</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3,88 / 28,5 m</w:t>
            </w:r>
            <w:r>
              <w:rPr>
                <w:rFonts w:cs="Calibri"/>
                <w:sz w:val="20"/>
                <w:szCs w:val="20"/>
                <w:vertAlign w:val="superscript"/>
              </w:rPr>
              <w:t>3</w:t>
            </w: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Dozvoljeno punjenje</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80%</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95%</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Radni tlak posude</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16,70 bar</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Temperatura</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25 °C</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25 °C</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Relativna atmosferska vlažnost</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50%</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50%</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Brzina vjetra</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1,5 m/s</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1,5 m/s</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Pasqualova stabilnost</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F</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F</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Agregatno stanje</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Kapljevina</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Tekuće</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Proračunski udio tekuće faze</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72%</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100%</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Proračunska količina</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2,562 kg</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23,137 kg</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lastRenderedPageBreak/>
              <w:t>Vrijeme usrednjavanja za zapaljive tvari</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18,75 s</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18,75 s</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Koncentracija DGE</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17,986 ppm</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12,256 ppm</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Koncentracija 50-DGE</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8,993 ppm</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6,128 ppm</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Koncentracija GGE</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93,259 ppm</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78,455 pmm</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Visina otvora</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0</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0</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Podloga za lokvu</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Čvrsta/beton</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Čvrsta/beton</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Promjer lokve</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10 m</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10 m</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Hrapavost površine</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Uobičajena</w:t>
            </w: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Oblik posude</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Cilindrična</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Cilindrična</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Granične razine nadtlaka</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0,17, 0,24, 0,55 bar</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0,07, 0,24, 0,55 bar</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 xml:space="preserve">Granične razine toplinskog </w:t>
            </w:r>
            <w:r>
              <w:rPr>
                <w:rFonts w:cs="Calibri"/>
                <w:b/>
                <w:sz w:val="20"/>
                <w:szCs w:val="20"/>
              </w:rPr>
              <w:t>zračenja</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2,5,10 kW/m</w:t>
            </w:r>
            <w:r>
              <w:rPr>
                <w:rFonts w:cs="Calibri"/>
                <w:sz w:val="20"/>
                <w:szCs w:val="20"/>
                <w:vertAlign w:val="superscript"/>
              </w:rPr>
              <w:t>2</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2,5,10 kW/m</w:t>
            </w:r>
            <w:r>
              <w:rPr>
                <w:rFonts w:cs="Calibri"/>
                <w:sz w:val="20"/>
                <w:szCs w:val="20"/>
                <w:vertAlign w:val="superscript"/>
              </w:rPr>
              <w:t>2</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Postoci smrtnosti</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1,10,100 %</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1,10,10 %</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Zadnja efikasnost TNT</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10%</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10%</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Udar zrak/tlo</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Zrak</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Zrak</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Model idealni/realni plin</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Realni</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Realni</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r w:rsidR="008F0D85">
        <w:tc>
          <w:tcPr>
            <w:tcW w:w="2265"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uppressAutoHyphens/>
              <w:spacing w:after="0"/>
              <w:jc w:val="left"/>
              <w:textAlignment w:val="baseline"/>
              <w:rPr>
                <w:rFonts w:cs="Calibri"/>
                <w:b/>
                <w:sz w:val="20"/>
                <w:szCs w:val="20"/>
              </w:rPr>
            </w:pPr>
            <w:r>
              <w:rPr>
                <w:rFonts w:cs="Calibri"/>
                <w:b/>
                <w:sz w:val="20"/>
                <w:szCs w:val="20"/>
              </w:rPr>
              <w:t>Promjer pukotine</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50 mm</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uppressAutoHyphens/>
              <w:spacing w:after="0"/>
              <w:jc w:val="center"/>
              <w:textAlignment w:val="baseline"/>
              <w:rPr>
                <w:rFonts w:cs="Calibri"/>
                <w:sz w:val="20"/>
                <w:szCs w:val="20"/>
              </w:rPr>
            </w:pPr>
            <w:r>
              <w:rPr>
                <w:rFonts w:cs="Calibri"/>
                <w:sz w:val="20"/>
                <w:szCs w:val="20"/>
              </w:rPr>
              <w:t>120 mm</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uppressAutoHyphens/>
              <w:spacing w:after="0"/>
              <w:jc w:val="center"/>
              <w:textAlignment w:val="baseline"/>
              <w:rPr>
                <w:rFonts w:cs="Calibri"/>
                <w:sz w:val="20"/>
                <w:szCs w:val="20"/>
              </w:rPr>
            </w:pPr>
          </w:p>
        </w:tc>
      </w:tr>
    </w:tbl>
    <w:p w:rsidR="008F0D85" w:rsidRDefault="008F0D85">
      <w:pPr>
        <w:suppressAutoHyphens/>
        <w:textAlignment w:val="baseline"/>
      </w:pPr>
    </w:p>
    <w:p w:rsidR="008F0D85" w:rsidRDefault="00AE42A1">
      <w:pPr>
        <w:numPr>
          <w:ilvl w:val="0"/>
          <w:numId w:val="77"/>
        </w:numPr>
        <w:contextualSpacing/>
        <w:jc w:val="left"/>
        <w:rPr>
          <w:b/>
          <w:szCs w:val="24"/>
          <w:lang w:val="en-US"/>
        </w:rPr>
      </w:pPr>
      <w:r>
        <w:rPr>
          <w:b/>
          <w:szCs w:val="24"/>
          <w:lang w:val="en-US"/>
        </w:rPr>
        <w:t>Cisterna mogući slučaj</w:t>
      </w:r>
    </w:p>
    <w:p w:rsidR="008F0D85" w:rsidRDefault="008F0D85">
      <w:pPr>
        <w:ind w:left="720"/>
        <w:contextualSpacing/>
        <w:jc w:val="left"/>
        <w:rPr>
          <w:b/>
          <w:szCs w:val="24"/>
          <w:lang w:val="en-US"/>
        </w:rPr>
      </w:pPr>
    </w:p>
    <w:p w:rsidR="008F0D85" w:rsidRDefault="00AE42A1">
      <w:pPr>
        <w:rPr>
          <w:szCs w:val="24"/>
        </w:rPr>
      </w:pPr>
      <w:r>
        <w:rPr>
          <w:szCs w:val="24"/>
        </w:rPr>
        <w:t xml:space="preserve">Osnovni scenarij je curenje goriva iz spremnika AC (30m3, 95%) kroz  istakačko crijevo promjera 120 mm.  U vremenskom razdoblju od 60 sekundi količina </w:t>
      </w:r>
    </w:p>
    <w:p w:rsidR="008F0D85" w:rsidRDefault="00AE42A1">
      <w:pPr>
        <w:rPr>
          <w:szCs w:val="24"/>
        </w:rPr>
      </w:pPr>
      <w:r>
        <w:rPr>
          <w:szCs w:val="24"/>
        </w:rPr>
        <w:t xml:space="preserve">a) prolivene mase goriva je 2.314 kg </w:t>
      </w:r>
    </w:p>
    <w:p w:rsidR="008F0D85" w:rsidRDefault="00AE42A1">
      <w:pPr>
        <w:rPr>
          <w:szCs w:val="24"/>
        </w:rPr>
      </w:pPr>
      <w:r>
        <w:rPr>
          <w:szCs w:val="24"/>
        </w:rPr>
        <w:t xml:space="preserve">b) ishlapljene mase 221 kg </w:t>
      </w:r>
    </w:p>
    <w:p w:rsidR="008F0D85" w:rsidRDefault="00AE42A1">
      <w:pPr>
        <w:rPr>
          <w:szCs w:val="24"/>
        </w:rPr>
      </w:pPr>
      <w:r>
        <w:rPr>
          <w:szCs w:val="24"/>
        </w:rPr>
        <w:t xml:space="preserve">c) zaostale u lokvi 2.093 kg </w:t>
      </w:r>
    </w:p>
    <w:p w:rsidR="008F0D85" w:rsidRDefault="00AE42A1">
      <w:pPr>
        <w:rPr>
          <w:szCs w:val="24"/>
        </w:rPr>
      </w:pPr>
      <w:r>
        <w:rPr>
          <w:szCs w:val="24"/>
        </w:rPr>
        <w:t xml:space="preserve">Radijus </w:t>
      </w:r>
      <w:r>
        <w:rPr>
          <w:szCs w:val="24"/>
        </w:rPr>
        <w:t xml:space="preserve">lokve  je 13 m s dubinom od 1 cm. </w:t>
      </w:r>
    </w:p>
    <w:p w:rsidR="008F0D85" w:rsidRDefault="00AE42A1">
      <w:pPr>
        <w:rPr>
          <w:szCs w:val="24"/>
        </w:rPr>
      </w:pPr>
      <w:r>
        <w:rPr>
          <w:szCs w:val="24"/>
        </w:rPr>
        <w:t xml:space="preserve">S pretpostavkom da curenje goriva nije spriječeno, u vremenskom razdoblju od 600 sekundi količina </w:t>
      </w:r>
    </w:p>
    <w:p w:rsidR="008F0D85" w:rsidRDefault="00AE42A1">
      <w:pPr>
        <w:rPr>
          <w:szCs w:val="24"/>
        </w:rPr>
      </w:pPr>
      <w:r>
        <w:rPr>
          <w:szCs w:val="24"/>
        </w:rPr>
        <w:t xml:space="preserve">a) prolivene mase goriva je 20.093 kg </w:t>
      </w:r>
    </w:p>
    <w:p w:rsidR="008F0D85" w:rsidRDefault="00AE42A1">
      <w:pPr>
        <w:rPr>
          <w:szCs w:val="24"/>
        </w:rPr>
      </w:pPr>
      <w:r>
        <w:rPr>
          <w:szCs w:val="24"/>
        </w:rPr>
        <w:t xml:space="preserve">b) ishlapljene mase  9.513 kg </w:t>
      </w:r>
    </w:p>
    <w:p w:rsidR="008F0D85" w:rsidRDefault="00AE42A1">
      <w:pPr>
        <w:rPr>
          <w:szCs w:val="24"/>
        </w:rPr>
      </w:pPr>
      <w:r>
        <w:rPr>
          <w:szCs w:val="24"/>
        </w:rPr>
        <w:t xml:space="preserve">c) zaostale u lokvi 10.580 kg  </w:t>
      </w:r>
    </w:p>
    <w:p w:rsidR="008F0D85" w:rsidRDefault="00AE42A1">
      <w:pPr>
        <w:rPr>
          <w:szCs w:val="24"/>
        </w:rPr>
      </w:pPr>
      <w:r>
        <w:rPr>
          <w:szCs w:val="24"/>
        </w:rPr>
        <w:t>Radijus lokve  je 33</w:t>
      </w:r>
      <w:r>
        <w:rPr>
          <w:szCs w:val="24"/>
        </w:rPr>
        <w:t xml:space="preserve"> m s dubinom od 1 cm. </w:t>
      </w:r>
    </w:p>
    <w:p w:rsidR="008F0D85" w:rsidRDefault="00AE42A1">
      <w:pPr>
        <w:rPr>
          <w:szCs w:val="24"/>
        </w:rPr>
      </w:pPr>
      <w:r>
        <w:rPr>
          <w:szCs w:val="24"/>
        </w:rPr>
        <w:t>Ishlapljena masa goriva stvara u zraku oblak koji  šireći se poprima sljedeće  karakteristike:</w:t>
      </w:r>
    </w:p>
    <w:p w:rsidR="008F0D85" w:rsidRDefault="00AE42A1">
      <w:pPr>
        <w:jc w:val="center"/>
        <w:rPr>
          <w:szCs w:val="24"/>
        </w:rPr>
      </w:pPr>
      <w:r>
        <w:rPr>
          <w:noProof/>
        </w:rPr>
        <w:lastRenderedPageBreak/>
        <w:drawing>
          <wp:inline distT="0" distB="0" distL="0" distR="0">
            <wp:extent cx="5668010" cy="3458210"/>
            <wp:effectExtent l="0" t="0" r="0" b="0"/>
            <wp:docPr id="103"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lika 58"/>
                    <pic:cNvPicPr>
                      <a:picLocks noChangeAspect="1" noChangeArrowheads="1"/>
                    </pic:cNvPicPr>
                  </pic:nvPicPr>
                  <pic:blipFill>
                    <a:blip r:embed="rId100"/>
                    <a:stretch>
                      <a:fillRect/>
                    </a:stretch>
                  </pic:blipFill>
                  <pic:spPr bwMode="auto">
                    <a:xfrm>
                      <a:off x="0" y="0"/>
                      <a:ext cx="5668010" cy="3458210"/>
                    </a:xfrm>
                    <a:prstGeom prst="rect">
                      <a:avLst/>
                    </a:prstGeom>
                  </pic:spPr>
                </pic:pic>
              </a:graphicData>
            </a:graphic>
          </wp:inline>
        </w:drawing>
      </w:r>
    </w:p>
    <w:p w:rsidR="008F0D85" w:rsidRDefault="00AE42A1">
      <w:pPr>
        <w:spacing w:after="0" w:line="360" w:lineRule="auto"/>
        <w:rPr>
          <w:rFonts w:cs="Arial"/>
          <w:b/>
          <w:bCs/>
          <w:sz w:val="20"/>
          <w:szCs w:val="20"/>
        </w:rPr>
      </w:pPr>
      <w:bookmarkStart w:id="1036" w:name="_Toc510775023"/>
      <w:bookmarkStart w:id="1037" w:name="_Toc527969609"/>
      <w:r>
        <w:rPr>
          <w:rFonts w:cs="Arial"/>
          <w:b/>
          <w:bCs/>
          <w:sz w:val="20"/>
          <w:szCs w:val="20"/>
        </w:rPr>
        <w:t xml:space="preserve">Grafikon </w:t>
      </w:r>
      <w:r>
        <w:rPr>
          <w:rFonts w:cs="Arial"/>
          <w:b/>
          <w:bCs/>
          <w:sz w:val="20"/>
          <w:szCs w:val="20"/>
        </w:rPr>
        <w:fldChar w:fldCharType="begin"/>
      </w:r>
      <w:r>
        <w:instrText>SEQ Grafikon \* ARABIC</w:instrText>
      </w:r>
      <w:r>
        <w:fldChar w:fldCharType="separate"/>
      </w:r>
      <w:r>
        <w:t>8</w:t>
      </w:r>
      <w:r>
        <w:fldChar w:fldCharType="end"/>
      </w:r>
      <w:bookmarkEnd w:id="1036"/>
      <w:bookmarkEnd w:id="1037"/>
      <w:r>
        <w:rPr>
          <w:rFonts w:cs="Arial"/>
          <w:b/>
          <w:bCs/>
          <w:sz w:val="20"/>
          <w:szCs w:val="20"/>
        </w:rPr>
        <w:t>: Prikaz otiska oblaka para benzina sa zonama GGE, DGE i 50DGE</w:t>
      </w:r>
    </w:p>
    <w:p w:rsidR="008F0D85" w:rsidRDefault="008F0D85"/>
    <w:p w:rsidR="008F0D85" w:rsidRDefault="00AE42A1">
      <w:r>
        <w:t>Do zapaljenja stvorene lokve benzina,</w:t>
      </w:r>
      <w:r>
        <w:t xml:space="preserve"> ovisno o udaljenosti od izvora curenja i vremenskom intervalu, može doći u dva slučaja koje zovemo tzv. rani i kasni požar lokve.</w:t>
      </w:r>
    </w:p>
    <w:p w:rsidR="008F0D85" w:rsidRDefault="00AE42A1">
      <w:r>
        <w:t>Scenarij ranog požara opisuje zapaljenje lokve koje se događa na početku ispuštanja zapaljive tvari, tijekom širenja lokve. K</w:t>
      </w:r>
      <w:r>
        <w:t>asni požar je modeliran za vrijeme u kojem je lokva dosegnula najveći promjer. Oba proračuna su bez zadane veličine tankvane.</w:t>
      </w:r>
    </w:p>
    <w:p w:rsidR="008F0D85" w:rsidRDefault="008F0D85"/>
    <w:p w:rsidR="008F0D85" w:rsidRDefault="00AE42A1">
      <w:pPr>
        <w:jc w:val="center"/>
      </w:pPr>
      <w:r>
        <w:rPr>
          <w:noProof/>
        </w:rPr>
        <w:lastRenderedPageBreak/>
        <w:drawing>
          <wp:inline distT="0" distB="0" distL="0" distR="0">
            <wp:extent cx="5706110" cy="3229610"/>
            <wp:effectExtent l="0" t="0" r="0" b="0"/>
            <wp:docPr id="104"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lika 50"/>
                    <pic:cNvPicPr>
                      <a:picLocks noChangeAspect="1" noChangeArrowheads="1"/>
                    </pic:cNvPicPr>
                  </pic:nvPicPr>
                  <pic:blipFill>
                    <a:blip r:embed="rId101"/>
                    <a:stretch>
                      <a:fillRect/>
                    </a:stretch>
                  </pic:blipFill>
                  <pic:spPr bwMode="auto">
                    <a:xfrm>
                      <a:off x="0" y="0"/>
                      <a:ext cx="5706110" cy="3229610"/>
                    </a:xfrm>
                    <a:prstGeom prst="rect">
                      <a:avLst/>
                    </a:prstGeom>
                  </pic:spPr>
                </pic:pic>
              </a:graphicData>
            </a:graphic>
          </wp:inline>
        </w:drawing>
      </w:r>
    </w:p>
    <w:p w:rsidR="008F0D85" w:rsidRDefault="00AE42A1">
      <w:pPr>
        <w:spacing w:after="0" w:line="360" w:lineRule="auto"/>
        <w:rPr>
          <w:rFonts w:cs="Arial"/>
          <w:b/>
          <w:bCs/>
          <w:sz w:val="20"/>
          <w:szCs w:val="20"/>
        </w:rPr>
      </w:pPr>
      <w:bookmarkStart w:id="1038" w:name="_Toc510775024"/>
      <w:bookmarkStart w:id="1039" w:name="_Toc527969610"/>
      <w:r>
        <w:rPr>
          <w:rFonts w:cs="Arial"/>
          <w:b/>
          <w:bCs/>
          <w:sz w:val="20"/>
          <w:szCs w:val="20"/>
        </w:rPr>
        <w:t xml:space="preserve">Grafikon </w:t>
      </w:r>
      <w:r>
        <w:rPr>
          <w:rFonts w:cs="Arial"/>
          <w:b/>
          <w:bCs/>
          <w:sz w:val="20"/>
          <w:szCs w:val="20"/>
        </w:rPr>
        <w:fldChar w:fldCharType="begin"/>
      </w:r>
      <w:r>
        <w:instrText>SEQ Grafikon \* ARABIC</w:instrText>
      </w:r>
      <w:r>
        <w:fldChar w:fldCharType="separate"/>
      </w:r>
      <w:r>
        <w:t>9</w:t>
      </w:r>
      <w:r>
        <w:fldChar w:fldCharType="end"/>
      </w:r>
      <w:bookmarkEnd w:id="1038"/>
      <w:bookmarkEnd w:id="1039"/>
      <w:r>
        <w:rPr>
          <w:rFonts w:cs="Arial"/>
          <w:b/>
          <w:bCs/>
          <w:sz w:val="20"/>
          <w:szCs w:val="20"/>
        </w:rPr>
        <w:t>: Prikaz zona ugroženosti za kasni požar lokve</w:t>
      </w:r>
    </w:p>
    <w:p w:rsidR="008F0D85" w:rsidRDefault="008F0D85"/>
    <w:p w:rsidR="008F0D85" w:rsidRDefault="00AE42A1">
      <w:pPr>
        <w:numPr>
          <w:ilvl w:val="0"/>
          <w:numId w:val="77"/>
        </w:numPr>
        <w:contextualSpacing/>
        <w:jc w:val="left"/>
        <w:rPr>
          <w:b/>
          <w:szCs w:val="24"/>
          <w:lang w:val="en-US"/>
        </w:rPr>
      </w:pPr>
      <w:r>
        <w:rPr>
          <w:b/>
          <w:szCs w:val="24"/>
          <w:lang w:val="en-US"/>
        </w:rPr>
        <w:t>Cisterna najgori mogući slučaj</w:t>
      </w:r>
    </w:p>
    <w:p w:rsidR="008F0D85" w:rsidRDefault="008F0D85"/>
    <w:p w:rsidR="008F0D85" w:rsidRDefault="00AE42A1">
      <w:r>
        <w:t>U slučaju da</w:t>
      </w:r>
      <w:r>
        <w:t xml:space="preserve"> istjecanje goriva i širenje oblaka para nije bilo moguće zaustaviti dolazi do eksplozije. Masa goriva koja pritom izgara je 2.003 kg (TNT model, 10%). </w:t>
      </w:r>
    </w:p>
    <w:p w:rsidR="008F0D85" w:rsidRDefault="00AE42A1">
      <w:pPr>
        <w:spacing w:after="0"/>
      </w:pPr>
      <w:r>
        <w:t xml:space="preserve">Zona udarnog vala za: </w:t>
      </w:r>
    </w:p>
    <w:p w:rsidR="008F0D85" w:rsidRDefault="00AE42A1">
      <w:pPr>
        <w:spacing w:after="0"/>
      </w:pPr>
      <w:r>
        <w:t xml:space="preserve">0,07 bar  - 255 m </w:t>
      </w:r>
    </w:p>
    <w:p w:rsidR="008F0D85" w:rsidRDefault="00AE42A1">
      <w:pPr>
        <w:spacing w:after="0"/>
      </w:pPr>
      <w:r>
        <w:t xml:space="preserve">0,24 bar   - 164 m </w:t>
      </w:r>
    </w:p>
    <w:p w:rsidR="008F0D85" w:rsidRDefault="00AE42A1">
      <w:pPr>
        <w:spacing w:after="0"/>
      </w:pPr>
      <w:r>
        <w:t xml:space="preserve">0,55 bar  - 135 m. </w:t>
      </w:r>
    </w:p>
    <w:p w:rsidR="008F0D85" w:rsidRDefault="00AE42A1">
      <w:pPr>
        <w:jc w:val="center"/>
      </w:pPr>
      <w:r>
        <w:rPr>
          <w:noProof/>
        </w:rPr>
        <w:drawing>
          <wp:inline distT="0" distB="0" distL="0" distR="0">
            <wp:extent cx="5753735" cy="2105660"/>
            <wp:effectExtent l="0" t="0" r="0" b="0"/>
            <wp:docPr id="105"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lika 60"/>
                    <pic:cNvPicPr>
                      <a:picLocks noChangeAspect="1" noChangeArrowheads="1"/>
                    </pic:cNvPicPr>
                  </pic:nvPicPr>
                  <pic:blipFill>
                    <a:blip r:embed="rId102"/>
                    <a:stretch>
                      <a:fillRect/>
                    </a:stretch>
                  </pic:blipFill>
                  <pic:spPr bwMode="auto">
                    <a:xfrm>
                      <a:off x="0" y="0"/>
                      <a:ext cx="5753735" cy="2105660"/>
                    </a:xfrm>
                    <a:prstGeom prst="rect">
                      <a:avLst/>
                    </a:prstGeom>
                  </pic:spPr>
                </pic:pic>
              </a:graphicData>
            </a:graphic>
          </wp:inline>
        </w:drawing>
      </w:r>
    </w:p>
    <w:p w:rsidR="008F0D85" w:rsidRDefault="00AE42A1">
      <w:pPr>
        <w:spacing w:after="0" w:line="360" w:lineRule="auto"/>
        <w:rPr>
          <w:rFonts w:cs="Arial"/>
          <w:b/>
          <w:bCs/>
          <w:sz w:val="20"/>
          <w:szCs w:val="20"/>
        </w:rPr>
      </w:pPr>
      <w:bookmarkStart w:id="1040" w:name="_Toc510775025"/>
      <w:bookmarkStart w:id="1041" w:name="_Toc527969611"/>
      <w:r>
        <w:rPr>
          <w:rFonts w:cs="Arial"/>
          <w:b/>
          <w:bCs/>
          <w:sz w:val="20"/>
          <w:szCs w:val="20"/>
        </w:rPr>
        <w:t xml:space="preserve">Grafikon </w:t>
      </w:r>
      <w:r>
        <w:rPr>
          <w:rFonts w:cs="Arial"/>
          <w:b/>
          <w:bCs/>
          <w:sz w:val="20"/>
          <w:szCs w:val="20"/>
        </w:rPr>
        <w:fldChar w:fldCharType="begin"/>
      </w:r>
      <w:r>
        <w:instrText xml:space="preserve">SEQ </w:instrText>
      </w:r>
      <w:r>
        <w:instrText>Grafikon \* ARABIC</w:instrText>
      </w:r>
      <w:r>
        <w:fldChar w:fldCharType="separate"/>
      </w:r>
      <w:r>
        <w:t>10</w:t>
      </w:r>
      <w:r>
        <w:fldChar w:fldCharType="end"/>
      </w:r>
      <w:bookmarkEnd w:id="1040"/>
      <w:bookmarkEnd w:id="1041"/>
      <w:r>
        <w:rPr>
          <w:rFonts w:cs="Arial"/>
          <w:b/>
          <w:bCs/>
          <w:sz w:val="20"/>
          <w:szCs w:val="20"/>
        </w:rPr>
        <w:t>: Prikaz zone ugroženosti za kasnu worst - case eksploziju oblaka para benzina</w:t>
      </w:r>
    </w:p>
    <w:p w:rsidR="008F0D85" w:rsidRDefault="008F0D85">
      <w:pPr>
        <w:spacing w:after="0" w:line="360" w:lineRule="auto"/>
        <w:rPr>
          <w:rFonts w:cs="Arial"/>
          <w:b/>
          <w:bCs/>
          <w:sz w:val="20"/>
          <w:szCs w:val="20"/>
        </w:rPr>
      </w:pPr>
    </w:p>
    <w:p w:rsidR="008F0D85" w:rsidRDefault="00AE42A1">
      <w:pPr>
        <w:numPr>
          <w:ilvl w:val="0"/>
          <w:numId w:val="77"/>
        </w:numPr>
        <w:contextualSpacing/>
        <w:jc w:val="left"/>
        <w:rPr>
          <w:sz w:val="22"/>
          <w:lang w:val="en-US"/>
        </w:rPr>
      </w:pPr>
      <w:r>
        <w:rPr>
          <w:b/>
          <w:szCs w:val="24"/>
          <w:lang w:val="en-US"/>
        </w:rPr>
        <w:lastRenderedPageBreak/>
        <w:t xml:space="preserve">Vatrena lopta </w:t>
      </w:r>
      <w:r>
        <w:rPr>
          <w:szCs w:val="24"/>
          <w:lang w:val="en-US"/>
        </w:rPr>
        <w:t>(BLEV( E ))</w:t>
      </w:r>
    </w:p>
    <w:p w:rsidR="008F0D85" w:rsidRDefault="008F0D85"/>
    <w:p w:rsidR="008F0D85" w:rsidRDefault="00AE42A1">
      <w:r>
        <w:t xml:space="preserve">U slučaju pucanja pregrijanog spremnika autocisterne dolazi do stvaranja vatrene lopte koja se diže u zrak i intenzivno zrači toplinsku energiju. Ako se proračun radi za ukupnu, worst case, količinu, rezultati su sljedeći: </w:t>
      </w:r>
    </w:p>
    <w:p w:rsidR="008F0D85" w:rsidRDefault="00AE42A1">
      <w:r>
        <w:t>a) radijus vatrene lopte    84 m</w:t>
      </w:r>
      <w:r>
        <w:t xml:space="preserve"> </w:t>
      </w:r>
    </w:p>
    <w:p w:rsidR="008F0D85" w:rsidRDefault="00AE42A1">
      <w:r>
        <w:t xml:space="preserve">b) visina    167 m </w:t>
      </w:r>
    </w:p>
    <w:p w:rsidR="008F0D85" w:rsidRDefault="00AE42A1">
      <w:r>
        <w:t xml:space="preserve">c) trajanje      13 s </w:t>
      </w:r>
    </w:p>
    <w:p w:rsidR="008F0D85" w:rsidRDefault="00AE42A1">
      <w:r>
        <w:t>Radijus zone ugroženosti za 2 kW/m</w:t>
      </w:r>
      <w:r>
        <w:rPr>
          <w:vertAlign w:val="superscript"/>
        </w:rPr>
        <w:t>2</w:t>
      </w:r>
      <w:r>
        <w:t xml:space="preserve"> snage toplinskog zračenja je 461 m. Za trajanje izloženosti od 20 s, letalitet za nezaštićene osobe je 1,15%, a zahvaćena površina 85.375 m</w:t>
      </w:r>
      <w:r>
        <w:rPr>
          <w:vertAlign w:val="superscript"/>
        </w:rPr>
        <w:t>2</w:t>
      </w:r>
      <w:r>
        <w:t xml:space="preserve">. </w:t>
      </w:r>
    </w:p>
    <w:p w:rsidR="008F0D85" w:rsidRDefault="008F0D85"/>
    <w:p w:rsidR="008F0D85" w:rsidRDefault="00AE42A1">
      <w:pPr>
        <w:pStyle w:val="Naslov5"/>
      </w:pPr>
      <w:bookmarkStart w:id="1042" w:name="_Toc510774848"/>
      <w:bookmarkStart w:id="1043" w:name="_Toc527969454"/>
      <w:bookmarkEnd w:id="1042"/>
      <w:bookmarkEnd w:id="1043"/>
      <w:r>
        <w:t>6.6.2.1.1. Posljedice – Industr</w:t>
      </w:r>
      <w:r>
        <w:t>ijska nesreća</w:t>
      </w:r>
    </w:p>
    <w:p w:rsidR="008F0D85" w:rsidRDefault="00AE42A1">
      <w:pPr>
        <w:pStyle w:val="Naslov6"/>
      </w:pPr>
      <w:r>
        <w:t>6.6.2.1.1.1. Procjena posljedica industrijske nesreće na život i zdravlje ljudi</w:t>
      </w:r>
    </w:p>
    <w:p w:rsidR="008F0D85" w:rsidRDefault="008F0D85"/>
    <w:p w:rsidR="008F0D85" w:rsidRDefault="00AE42A1">
      <w:r>
        <w:t xml:space="preserve">Procjena posljedica po ljude (broj žrtava) od izvanrednog događaja temelji se na metodama izloženim u “Priručniku za razvrstavanje i utvrđivanje prioriteta među </w:t>
      </w:r>
      <w:r>
        <w:t>rizicima izazvanim velikim nesrećama u procesnoj i srodnim industrijama“ (IAEATECDOC-727). Utvrđivanje zone ugroženosti i procjena posljedica od takvog događaja temelji se prema odrednicama iz priručnika „Hazard identification and evalution alocal communit</w:t>
      </w:r>
      <w:r>
        <w:t xml:space="preserve">y“ i „Manual for the classification and prioritization of risks due to major accidents in process and related industries“. </w:t>
      </w:r>
    </w:p>
    <w:p w:rsidR="008F0D85" w:rsidRDefault="00AE42A1">
      <w:r>
        <w:t xml:space="preserve">Procjena posljedica izvanrednog događaja za ljude računa se prema slijedećoj formuli : </w:t>
      </w:r>
    </w:p>
    <w:p w:rsidR="008F0D85" w:rsidRDefault="00AE42A1">
      <w:r>
        <w:t xml:space="preserve">Cdt = P • ä • fp • fu </w:t>
      </w:r>
    </w:p>
    <w:p w:rsidR="008F0D85" w:rsidRDefault="00AE42A1">
      <w:r>
        <w:t xml:space="preserve">gdje je : </w:t>
      </w:r>
    </w:p>
    <w:p w:rsidR="008F0D85" w:rsidRDefault="00AE42A1">
      <w:r>
        <w:t>Cdt - broj</w:t>
      </w:r>
      <w:r>
        <w:t xml:space="preserve"> smrtnih slučajeva    </w:t>
      </w:r>
    </w:p>
    <w:p w:rsidR="008F0D85" w:rsidRDefault="00AE42A1">
      <w:r>
        <w:t xml:space="preserve">P - površina pogođenog područja (hektari, 1ha=10000 m2)  </w:t>
      </w:r>
    </w:p>
    <w:p w:rsidR="008F0D85" w:rsidRDefault="00AE42A1">
      <w:r>
        <w:t xml:space="preserve">ä - gustoća naseljenosti / broj prisutnih osoba na pogođenom području    (osoba/ha)   </w:t>
      </w:r>
    </w:p>
    <w:p w:rsidR="008F0D85" w:rsidRDefault="00AE42A1">
      <w:r>
        <w:t xml:space="preserve">fp  - korekcijski faktor područja rasprostranjenosti  stanovništva </w:t>
      </w:r>
    </w:p>
    <w:p w:rsidR="008F0D85" w:rsidRDefault="00AE42A1">
      <w:r>
        <w:t>fu - korekcijski fak</w:t>
      </w:r>
      <w:r>
        <w:t xml:space="preserve">tor ublažavajućih učinaka </w:t>
      </w:r>
    </w:p>
    <w:p w:rsidR="008F0D85" w:rsidRDefault="00AE42A1">
      <w:r>
        <w:t xml:space="preserve">Prema tablici IV (a), Razvrstavanje tvari prema kategorijama učinka, benzinska postaja ulazi u C II kategoriju, pa slijedi: </w:t>
      </w:r>
    </w:p>
    <w:p w:rsidR="008F0D85" w:rsidRDefault="00AE42A1">
      <w:r>
        <w:lastRenderedPageBreak/>
        <w:t xml:space="preserve">Kategorije učinka  :  C II </w:t>
      </w:r>
    </w:p>
    <w:p w:rsidR="008F0D85" w:rsidRDefault="00AE42A1">
      <w:r>
        <w:t xml:space="preserve">Udaljenost učinka : 50 do 100 metara </w:t>
      </w:r>
    </w:p>
    <w:p w:rsidR="008F0D85" w:rsidRDefault="00AE42A1">
      <w:r>
        <w:t xml:space="preserve">Područje učinka : 1,5 ha </w:t>
      </w:r>
    </w:p>
    <w:p w:rsidR="008F0D85" w:rsidRDefault="00AE42A1">
      <w:r>
        <w:t>Gustoća naseljenosti (ä) prema utvrđeno</w:t>
      </w:r>
      <w:r>
        <w:t xml:space="preserve">j lokaciji iznosi 0,64 st/ha. </w:t>
      </w:r>
    </w:p>
    <w:p w:rsidR="008F0D85" w:rsidRDefault="00AE42A1">
      <w:r>
        <w:t>fp  je korekcijski čimbenik područja i on sukladno samom smještaju benzinske postaje, a pretpostavljajući srednje gust promet na državnoj cesti i prosječno zadržavanje 2 do 3 vozila na postaji iznosi, uzimajući u obzir kut fά</w:t>
      </w:r>
      <w:r>
        <w:t xml:space="preserve"> pogođenog sektora za navedenu kategoriju : 0,1</w:t>
      </w:r>
    </w:p>
    <w:p w:rsidR="008F0D85" w:rsidRDefault="00AE42A1">
      <w:r>
        <w:t xml:space="preserve">Korekcijski čimbenik ublažavajućih učinaka (fu) ostaje sukladno vrsti tvari :1 </w:t>
      </w:r>
    </w:p>
    <w:p w:rsidR="008F0D85" w:rsidRDefault="00AE42A1">
      <w:r>
        <w:t xml:space="preserve">Uvrštavanjem vrijednosti u formulu, dobije se: </w:t>
      </w:r>
    </w:p>
    <w:p w:rsidR="008F0D85" w:rsidRDefault="00AE42A1">
      <w:r>
        <w:t xml:space="preserve">Cdt = 1,5 • 0,64 • 0,1 • 1  </w:t>
      </w:r>
    </w:p>
    <w:p w:rsidR="008F0D85" w:rsidRDefault="00AE42A1">
      <w:r>
        <w:t>Cdt = 0,096</w:t>
      </w:r>
    </w:p>
    <w:p w:rsidR="008F0D85" w:rsidRDefault="00AE42A1">
      <w:pPr>
        <w:rPr>
          <w:lang w:eastAsia="hr-HR"/>
        </w:rPr>
      </w:pPr>
      <w:r>
        <w:rPr>
          <w:lang w:eastAsia="hr-HR"/>
        </w:rPr>
        <w:t>S obzirom na to da se posljedice na živ</w:t>
      </w:r>
      <w:r>
        <w:rPr>
          <w:lang w:eastAsia="hr-HR"/>
        </w:rPr>
        <w:t xml:space="preserve">ot i zdravlje ljudi prikazuju ukupnim brojem ljudi za koje se procjenjuje kako mogu biti u sastavu od nekog od procesa nastalih kao posljedica događaja opisanih scenarijem – poginuli, ozlijeđeni, oboljeli, evakuirani i sklonjeni, procijenjeno je da pojava </w:t>
      </w:r>
      <w:r>
        <w:rPr>
          <w:lang w:eastAsia="hr-HR"/>
        </w:rPr>
        <w:t>industrijske nesreće ima katastrofalne posljedice na život i zdravlje ljudi, odnosno događajem bit će obuhvaćeno više od 0,01% stanovnika Općine, točnije više od 0,331 stanovnika (1 ili više od 1 stanovnika).</w:t>
      </w:r>
    </w:p>
    <w:p w:rsidR="008F0D85" w:rsidRDefault="008F0D85">
      <w:pPr>
        <w:rPr>
          <w:lang w:eastAsia="hr-HR"/>
        </w:rPr>
      </w:pPr>
    </w:p>
    <w:p w:rsidR="008F0D85" w:rsidRDefault="008F0D85">
      <w:pPr>
        <w:rPr>
          <w:lang w:eastAsia="hr-HR"/>
        </w:rPr>
      </w:pPr>
    </w:p>
    <w:p w:rsidR="008F0D85" w:rsidRDefault="00AE42A1">
      <w:pPr>
        <w:rPr>
          <w:lang w:eastAsia="hr-HR"/>
        </w:rPr>
      </w:pPr>
      <w:r>
        <w:rPr>
          <w:lang w:eastAsia="hr-HR"/>
        </w:rPr>
        <w:t xml:space="preserve"> </w:t>
      </w:r>
    </w:p>
    <w:p w:rsidR="008F0D85" w:rsidRDefault="00AE42A1">
      <w:pPr>
        <w:spacing w:after="0" w:line="360" w:lineRule="auto"/>
        <w:jc w:val="center"/>
        <w:rPr>
          <w:rFonts w:cs="Arial"/>
          <w:b/>
          <w:bCs/>
          <w:sz w:val="20"/>
          <w:szCs w:val="20"/>
          <w:lang w:eastAsia="hr-HR"/>
        </w:rPr>
      </w:pPr>
      <w:bookmarkStart w:id="1044" w:name="_Toc510774952"/>
      <w:bookmarkStart w:id="1045" w:name="_Toc527969546"/>
      <w:r>
        <w:rPr>
          <w:rFonts w:cs="Arial"/>
          <w:b/>
          <w:bCs/>
          <w:sz w:val="20"/>
          <w:szCs w:val="20"/>
        </w:rPr>
        <w:t xml:space="preserve">Tablica </w:t>
      </w:r>
      <w:r>
        <w:rPr>
          <w:rFonts w:cs="Arial"/>
          <w:b/>
          <w:bCs/>
          <w:sz w:val="20"/>
          <w:szCs w:val="20"/>
        </w:rPr>
        <w:fldChar w:fldCharType="begin"/>
      </w:r>
      <w:r>
        <w:instrText>SEQ Tablica \* ARABIC</w:instrText>
      </w:r>
      <w:r>
        <w:fldChar w:fldCharType="separate"/>
      </w:r>
      <w:r>
        <w:t>64</w:t>
      </w:r>
      <w:r>
        <w:fldChar w:fldCharType="end"/>
      </w:r>
      <w:bookmarkEnd w:id="1044"/>
      <w:bookmarkEnd w:id="1045"/>
      <w:r>
        <w:rPr>
          <w:rFonts w:cs="Arial"/>
          <w:b/>
          <w:bCs/>
          <w:sz w:val="20"/>
          <w:szCs w:val="20"/>
        </w:rPr>
        <w:t xml:space="preserve">: </w:t>
      </w:r>
      <w:r>
        <w:rPr>
          <w:rFonts w:cs="Arial"/>
          <w:b/>
          <w:bCs/>
          <w:sz w:val="20"/>
          <w:szCs w:val="20"/>
        </w:rPr>
        <w:t>Prikaz prijetnjom nastalih posljedica na život i zdravlje ljudi - Industrijska nesreća</w:t>
      </w:r>
    </w:p>
    <w:tbl>
      <w:tblPr>
        <w:tblW w:w="7471"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752"/>
        <w:gridCol w:w="2153"/>
        <w:gridCol w:w="2021"/>
        <w:gridCol w:w="1545"/>
      </w:tblGrid>
      <w:tr w:rsidR="008F0D85">
        <w:trPr>
          <w:trHeight w:val="173"/>
          <w:jc w:val="center"/>
        </w:trPr>
        <w:tc>
          <w:tcPr>
            <w:tcW w:w="7470"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Život i zdravlje ljudi</w:t>
            </w: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215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Posljedice</w:t>
            </w:r>
          </w:p>
        </w:tc>
        <w:tc>
          <w:tcPr>
            <w:tcW w:w="202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Broj stanovnika</w:t>
            </w:r>
          </w:p>
        </w:tc>
        <w:tc>
          <w:tcPr>
            <w:tcW w:w="154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Odabrano</w:t>
            </w: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Neznatne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&lt; 0,033</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b/>
                <w:sz w:val="20"/>
                <w:szCs w:val="20"/>
              </w:rPr>
            </w:pP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Malene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0,033 – 0,152</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17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0,155 – 0,364</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181"/>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Značajne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 xml:space="preserve">0,397 – </w:t>
            </w:r>
            <w:r>
              <w:rPr>
                <w:sz w:val="20"/>
                <w:szCs w:val="20"/>
              </w:rPr>
              <w:t>1,157</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sz w:val="20"/>
                <w:szCs w:val="20"/>
              </w:rPr>
            </w:pPr>
          </w:p>
        </w:tc>
      </w:tr>
      <w:tr w:rsidR="008F0D85">
        <w:trPr>
          <w:trHeight w:val="43"/>
          <w:jc w:val="center"/>
        </w:trPr>
        <w:tc>
          <w:tcPr>
            <w:tcW w:w="175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215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Katastrofalne</w:t>
            </w:r>
          </w:p>
        </w:tc>
        <w:tc>
          <w:tcPr>
            <w:tcW w:w="202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1,19</w:t>
            </w:r>
          </w:p>
        </w:tc>
        <w:tc>
          <w:tcPr>
            <w:tcW w:w="154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b/>
                <w:sz w:val="20"/>
                <w:szCs w:val="20"/>
              </w:rPr>
            </w:pPr>
            <w:r>
              <w:rPr>
                <w:b/>
                <w:sz w:val="20"/>
                <w:szCs w:val="20"/>
              </w:rPr>
              <w:t>X</w:t>
            </w:r>
          </w:p>
        </w:tc>
      </w:tr>
    </w:tbl>
    <w:p w:rsidR="008F0D85" w:rsidRDefault="008F0D85">
      <w:pPr>
        <w:rPr>
          <w:lang w:eastAsia="hr-HR"/>
        </w:rPr>
      </w:pPr>
    </w:p>
    <w:p w:rsidR="008F0D85" w:rsidRDefault="00AE42A1">
      <w:pPr>
        <w:pStyle w:val="Naslov6"/>
        <w:rPr>
          <w:lang w:eastAsia="hr-HR"/>
        </w:rPr>
      </w:pPr>
      <w:r>
        <w:rPr>
          <w:lang w:eastAsia="hr-HR"/>
        </w:rPr>
        <w:t>6.6.2.1.1.2. Procjena posljedica industrijske nesreće na gospodarstvo</w:t>
      </w:r>
    </w:p>
    <w:p w:rsidR="008F0D85" w:rsidRDefault="008F0D85">
      <w:pPr>
        <w:rPr>
          <w:lang w:eastAsia="hr-HR"/>
        </w:rPr>
      </w:pPr>
    </w:p>
    <w:p w:rsidR="008F0D85" w:rsidRDefault="00AE42A1">
      <w:r>
        <w:t xml:space="preserve">Procjena posljedica na gospodarstvo odnosi se na ukupnu materijalnu i financijsku štetu u gospodarstvu. Šteta se prikazuje u odnosu na proračun Općine. Navedena materijalna šteta </w:t>
      </w:r>
      <w:r>
        <w:lastRenderedPageBreak/>
        <w:t>ne odnosi se na materijalnu štetu koja treba biti iskazana u kategoriji Društ</w:t>
      </w:r>
      <w:r>
        <w:t>vena stabilnost i politika. Prilikom nastanka industrijske nesreće koja je opisana u scenariju te izračunom dobivenom području koje će zahvatiti direktne posljedice nesreće, moguće je oštećenje okolnih poljoprivrednih površina te gubitak prinosa kao i štet</w:t>
      </w:r>
      <w:r>
        <w:t xml:space="preserve">e na obližnjim gospodarskim objektima. </w:t>
      </w:r>
    </w:p>
    <w:p w:rsidR="008F0D85" w:rsidRDefault="00AE42A1">
      <w:pPr>
        <w:spacing w:after="0" w:line="360" w:lineRule="auto"/>
        <w:jc w:val="center"/>
        <w:rPr>
          <w:rFonts w:cs="Arial"/>
          <w:b/>
          <w:bCs/>
          <w:sz w:val="20"/>
          <w:szCs w:val="20"/>
          <w:lang w:eastAsia="hr-HR"/>
        </w:rPr>
      </w:pPr>
      <w:bookmarkStart w:id="1046" w:name="_Toc510774953"/>
      <w:bookmarkStart w:id="1047" w:name="_Toc527969547"/>
      <w:r>
        <w:rPr>
          <w:rFonts w:cs="Arial"/>
          <w:b/>
          <w:bCs/>
          <w:sz w:val="20"/>
          <w:szCs w:val="20"/>
        </w:rPr>
        <w:t xml:space="preserve">Tablica </w:t>
      </w:r>
      <w:r>
        <w:rPr>
          <w:rFonts w:cs="Arial"/>
          <w:b/>
          <w:bCs/>
          <w:sz w:val="20"/>
          <w:szCs w:val="20"/>
        </w:rPr>
        <w:fldChar w:fldCharType="begin"/>
      </w:r>
      <w:r>
        <w:instrText>SEQ Tablica \* ARABIC</w:instrText>
      </w:r>
      <w:r>
        <w:fldChar w:fldCharType="separate"/>
      </w:r>
      <w:r>
        <w:t>65</w:t>
      </w:r>
      <w:r>
        <w:fldChar w:fldCharType="end"/>
      </w:r>
      <w:bookmarkEnd w:id="1046"/>
      <w:bookmarkEnd w:id="1047"/>
      <w:r>
        <w:rPr>
          <w:rFonts w:cs="Arial"/>
          <w:b/>
          <w:bCs/>
          <w:sz w:val="20"/>
          <w:szCs w:val="20"/>
        </w:rPr>
        <w:t>: Prikaz prijetnjom nastalih posljedica na gospodarstvo - Industrijska nesreća</w:t>
      </w:r>
    </w:p>
    <w:tbl>
      <w:tblPr>
        <w:tblW w:w="7100"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477"/>
        <w:gridCol w:w="1781"/>
        <w:gridCol w:w="2693"/>
        <w:gridCol w:w="1149"/>
      </w:tblGrid>
      <w:tr w:rsidR="008F0D85">
        <w:trPr>
          <w:trHeight w:val="302"/>
          <w:jc w:val="center"/>
        </w:trPr>
        <w:tc>
          <w:tcPr>
            <w:tcW w:w="7099"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Gospodarstvo</w:t>
            </w: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Kategorija</w:t>
            </w:r>
          </w:p>
        </w:tc>
        <w:tc>
          <w:tcPr>
            <w:tcW w:w="178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Posljedica</w:t>
            </w:r>
          </w:p>
        </w:tc>
        <w:tc>
          <w:tcPr>
            <w:tcW w:w="269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U kunama (% obzirom na proračun)</w:t>
            </w:r>
          </w:p>
        </w:tc>
        <w:tc>
          <w:tcPr>
            <w:tcW w:w="114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Odabrano</w:t>
            </w: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1</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Neznatne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108.030,00 – 208.060,00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2</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Malene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208.060,00 – 1.040.300,00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3</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Umjerene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1.040.300,00 – 3.120.900,00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b/>
                <w:sz w:val="20"/>
                <w:szCs w:val="20"/>
              </w:rPr>
            </w:pPr>
            <w:r>
              <w:rPr>
                <w:b/>
                <w:sz w:val="20"/>
                <w:szCs w:val="20"/>
              </w:rPr>
              <w:t>X</w:t>
            </w:r>
          </w:p>
        </w:tc>
      </w:tr>
      <w:tr w:rsidR="008F0D85">
        <w:trPr>
          <w:trHeight w:val="319"/>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4</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Značajne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3.120.900,00 – 5.201.500,00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302"/>
          <w:jc w:val="center"/>
        </w:trPr>
        <w:tc>
          <w:tcPr>
            <w:tcW w:w="14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5</w:t>
            </w:r>
          </w:p>
        </w:tc>
        <w:tc>
          <w:tcPr>
            <w:tcW w:w="178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Katastrofalne</w:t>
            </w:r>
          </w:p>
        </w:tc>
        <w:tc>
          <w:tcPr>
            <w:tcW w:w="269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5.201.500,00</w:t>
            </w:r>
          </w:p>
        </w:tc>
        <w:tc>
          <w:tcPr>
            <w:tcW w:w="114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bl>
    <w:p w:rsidR="008F0D85" w:rsidRDefault="008F0D85">
      <w:pPr>
        <w:rPr>
          <w:lang w:eastAsia="hr-HR"/>
        </w:rPr>
      </w:pPr>
    </w:p>
    <w:p w:rsidR="008F0D85" w:rsidRDefault="00AE42A1">
      <w:pPr>
        <w:pStyle w:val="Naslov6"/>
        <w:rPr>
          <w:lang w:eastAsia="hr-HR"/>
        </w:rPr>
      </w:pPr>
      <w:r>
        <w:rPr>
          <w:lang w:eastAsia="hr-HR"/>
        </w:rPr>
        <w:t xml:space="preserve">6.6.2.1.1.3. procjena posljedica industrijske nesreće na društvenu </w:t>
      </w:r>
      <w:r>
        <w:rPr>
          <w:lang w:eastAsia="hr-HR"/>
        </w:rPr>
        <w:t>stabilnost i politiku</w:t>
      </w:r>
    </w:p>
    <w:p w:rsidR="008F0D85" w:rsidRDefault="008F0D85">
      <w:pPr>
        <w:rPr>
          <w:lang w:eastAsia="hr-HR"/>
        </w:rPr>
      </w:pPr>
    </w:p>
    <w:p w:rsidR="008F0D85" w:rsidRDefault="00AE42A1">
      <w:pPr>
        <w:rPr>
          <w:lang w:eastAsia="hr-HR"/>
        </w:rPr>
      </w:pPr>
      <w:r>
        <w:rPr>
          <w:lang w:eastAsia="hr-HR"/>
        </w:rPr>
        <w:t>Kritična infrastruktura je zajednički naziv za mreže i sustave presudne za funkcioniranje i život zajednice, čijim se oštećivanjem ili uništenjem mogu izazvati privremeni ili dugotrajniji poremećaji i krize, od posebnog je interesa i</w:t>
      </w:r>
      <w:r>
        <w:rPr>
          <w:lang w:eastAsia="hr-HR"/>
        </w:rPr>
        <w:t xml:space="preserve"> važnosti za Republiku Hrvatsku u cjelini, ali i parcijalno za jedinice lokalne i područne (regionalne) samouprave. K tome, među različitim kritičnim infrastrukturama izražena je međusobna povezanost i ovisnost te se problemi u jednom segmentu ili infrastr</w:t>
      </w:r>
      <w:r>
        <w:rPr>
          <w:lang w:eastAsia="hr-HR"/>
        </w:rPr>
        <w:t>ukturnom sustavu ili mreži vrlo lako izravno ili neizravno prenose u druge mreže i sustave. Tako mogu dovesti do prekida djelatnosti ili problema u njima, kombinirano izazvati velike ljudske gubitke, dugoročne posljedice na sustav vlasti, gospodarstvo, jav</w:t>
      </w:r>
      <w:r>
        <w:rPr>
          <w:lang w:eastAsia="hr-HR"/>
        </w:rPr>
        <w:t>no zdravlje i sigurnost, nacionalnu sigurnost i povjerenje javnosti te imati druge ozbiljne posljedice za zajednicu u cjelini ili bilo koji dio zajednice. S obzirom na poziciju same benzinske postaje može se zaključiti da u slučaju prestanka rada promatran</w:t>
      </w:r>
      <w:r>
        <w:rPr>
          <w:lang w:eastAsia="hr-HR"/>
        </w:rPr>
        <w:t>e benzinske postaje ne bi došlo do značajnijih problema u opskrbi stanovništva gorivom.</w:t>
      </w:r>
    </w:p>
    <w:p w:rsidR="008F0D85" w:rsidRDefault="00AE42A1">
      <w:r>
        <w:t>S obzirom na to da se posljedice društvene stabilnosti i politike iskazuju u materijalnoj šteti i to za štetu na kritičnoj infrastrukturi i šteti na građevinama od druš</w:t>
      </w:r>
      <w:r>
        <w:t>tvenog značaja procijenjeno je da bi ukupna materijalna šteta uzrokovana industrijskom nesrećom imala značajan utjecaj na proračun Općine.  Uslijed događaja s najgorim mogućim posljedicama ugrožena je benzinska postaja na kojoj dolazi do isticanja sadržaja</w:t>
      </w:r>
      <w:r>
        <w:t xml:space="preserve"> autocisterne u određenom roku na površinu i njezino zapaljenje s opasnošću od eksplozije te prometnice koje ne nalaze u zoni opasnosti kao i dio naselja koji okružuje benzinsku postaju. </w:t>
      </w:r>
    </w:p>
    <w:p w:rsidR="008F0D85" w:rsidRDefault="00AE42A1">
      <w:pPr>
        <w:spacing w:after="0"/>
        <w:jc w:val="center"/>
      </w:pPr>
      <w:r>
        <w:rPr>
          <w:b/>
          <w:sz w:val="22"/>
        </w:rPr>
        <w:lastRenderedPageBreak/>
        <w:t xml:space="preserve">Društvena stabilnost = </w:t>
      </w:r>
      <w:r>
        <w:fldChar w:fldCharType="begin"/>
      </w:r>
      <w:r>
        <w:instrText>QUOTE</w:instrText>
      </w:r>
      <w:r>
        <w:fldChar w:fldCharType="end"/>
      </w:r>
      <w:bookmarkStart w:id="1048" w:name="__Fieldmark__14869_1406329701"/>
      <w:bookmarkStart w:id="1049" w:name="__Fieldmark__16144_1185846484"/>
      <w:bookmarkStart w:id="1050" w:name="__Fieldmark__15593_1935607046"/>
      <w:bookmarkStart w:id="1051" w:name="__Fieldmark__86991_3653056331"/>
      <w:bookmarkEnd w:id="1048"/>
      <w:bookmarkEnd w:id="1049"/>
      <w:bookmarkEnd w:id="1050"/>
      <w:bookmarkEnd w:id="1051"/>
      <w:r>
        <w:rPr>
          <w:b/>
          <w:noProof/>
          <w:sz w:val="22"/>
        </w:rPr>
        <w:drawing>
          <wp:inline distT="0" distB="0" distL="0" distR="0">
            <wp:extent cx="448310" cy="19526885"/>
            <wp:effectExtent l="0" t="0" r="0" b="0"/>
            <wp:docPr id="106" name="Slika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lika27"/>
                    <pic:cNvPicPr>
                      <a:picLocks noChangeAspect="1" noChangeArrowheads="1"/>
                    </pic:cNvPicPr>
                  </pic:nvPicPr>
                  <pic:blipFill>
                    <a:blip r:embed="rId63"/>
                    <a:stretch>
                      <a:fillRect/>
                    </a:stretch>
                  </pic:blipFill>
                  <pic:spPr bwMode="auto">
                    <a:xfrm>
                      <a:off x="0" y="0"/>
                      <a:ext cx="448310" cy="19526885"/>
                    </a:xfrm>
                    <a:prstGeom prst="rect">
                      <a:avLst/>
                    </a:prstGeom>
                  </pic:spPr>
                </pic:pic>
              </a:graphicData>
            </a:graphic>
          </wp:inline>
        </w:drawing>
      </w:r>
      <w:r>
        <w:rPr>
          <w:b/>
          <w:noProof/>
          <w:sz w:val="22"/>
        </w:rPr>
        <w:drawing>
          <wp:inline distT="0" distB="0" distL="0" distR="0">
            <wp:extent cx="448310" cy="19526885"/>
            <wp:effectExtent l="0" t="0" r="0" b="0"/>
            <wp:docPr id="107" name="Slika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lika28"/>
                    <pic:cNvPicPr>
                      <a:picLocks noChangeAspect="1" noChangeArrowheads="1"/>
                    </pic:cNvPicPr>
                  </pic:nvPicPr>
                  <pic:blipFill>
                    <a:blip r:embed="rId63"/>
                    <a:stretch>
                      <a:fillRect/>
                    </a:stretch>
                  </pic:blipFill>
                  <pic:spPr bwMode="auto">
                    <a:xfrm>
                      <a:off x="0" y="0"/>
                      <a:ext cx="448310" cy="19526885"/>
                    </a:xfrm>
                    <a:prstGeom prst="rect">
                      <a:avLst/>
                    </a:prstGeom>
                  </pic:spPr>
                </pic:pic>
              </a:graphicData>
            </a:graphic>
          </wp:inline>
        </w:drawing>
      </w:r>
    </w:p>
    <w:p w:rsidR="008F0D85" w:rsidRDefault="00AE42A1">
      <w:r>
        <w:lastRenderedPageBreak/>
        <w:t>U blizini benzinske postaje ne nala</w:t>
      </w:r>
      <w:r>
        <w:t xml:space="preserve">ze se ustanove od javnog ili društvenog značaja. Razmjer prijetnje te područje koje obuhvaća prikazano je u točci 10. Karte prijetnji. </w:t>
      </w:r>
    </w:p>
    <w:p w:rsidR="008F0D85" w:rsidRDefault="00AE42A1">
      <w:pPr>
        <w:spacing w:after="0" w:line="360" w:lineRule="auto"/>
        <w:jc w:val="center"/>
        <w:rPr>
          <w:rFonts w:cs="Arial"/>
          <w:b/>
          <w:bCs/>
          <w:sz w:val="20"/>
          <w:szCs w:val="20"/>
        </w:rPr>
      </w:pPr>
      <w:bookmarkStart w:id="1052" w:name="_Toc510774954"/>
      <w:bookmarkStart w:id="1053" w:name="_Toc527969548"/>
      <w:r>
        <w:rPr>
          <w:rFonts w:cs="Arial"/>
          <w:b/>
          <w:bCs/>
          <w:sz w:val="20"/>
          <w:szCs w:val="20"/>
        </w:rPr>
        <w:t xml:space="preserve">Tablica </w:t>
      </w:r>
      <w:r>
        <w:rPr>
          <w:rFonts w:cs="Arial"/>
          <w:b/>
          <w:bCs/>
          <w:sz w:val="20"/>
          <w:szCs w:val="20"/>
        </w:rPr>
        <w:fldChar w:fldCharType="begin"/>
      </w:r>
      <w:r>
        <w:instrText>SEQ Tablica \* ARABIC</w:instrText>
      </w:r>
      <w:r>
        <w:fldChar w:fldCharType="separate"/>
      </w:r>
      <w:r>
        <w:t>66</w:t>
      </w:r>
      <w:r>
        <w:fldChar w:fldCharType="end"/>
      </w:r>
      <w:bookmarkEnd w:id="1052"/>
      <w:bookmarkEnd w:id="1053"/>
      <w:r>
        <w:rPr>
          <w:rFonts w:cs="Arial"/>
          <w:b/>
          <w:bCs/>
          <w:sz w:val="20"/>
          <w:szCs w:val="20"/>
        </w:rPr>
        <w:t>: Prikaz prijetnjom nastalih posljedica na kritičnu infrastrukturu - Industrijska nesr</w:t>
      </w:r>
      <w:r>
        <w:rPr>
          <w:rFonts w:cs="Arial"/>
          <w:b/>
          <w:bCs/>
          <w:sz w:val="20"/>
          <w:szCs w:val="20"/>
        </w:rPr>
        <w:t>eća</w:t>
      </w:r>
    </w:p>
    <w:tbl>
      <w:tblPr>
        <w:tblW w:w="7182"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00" w:firstRow="0" w:lastRow="0" w:firstColumn="0" w:lastColumn="0" w:noHBand="0" w:noVBand="0"/>
      </w:tblPr>
      <w:tblGrid>
        <w:gridCol w:w="1588"/>
        <w:gridCol w:w="1542"/>
        <w:gridCol w:w="2641"/>
        <w:gridCol w:w="1411"/>
      </w:tblGrid>
      <w:tr w:rsidR="008F0D85">
        <w:trPr>
          <w:trHeight w:val="298"/>
          <w:jc w:val="center"/>
        </w:trPr>
        <w:tc>
          <w:tcPr>
            <w:tcW w:w="7181"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Društvena stabilnost i politika</w:t>
            </w:r>
          </w:p>
        </w:tc>
      </w:tr>
      <w:tr w:rsidR="008F0D85">
        <w:trPr>
          <w:trHeight w:val="298"/>
          <w:jc w:val="center"/>
        </w:trPr>
        <w:tc>
          <w:tcPr>
            <w:tcW w:w="7181"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jc w:val="center"/>
              <w:rPr>
                <w:b/>
                <w:sz w:val="20"/>
                <w:szCs w:val="20"/>
              </w:rPr>
            </w:pPr>
            <w:r>
              <w:rPr>
                <w:b/>
                <w:sz w:val="20"/>
                <w:szCs w:val="20"/>
              </w:rPr>
              <w:t>Štete/gubici na kritičnoj infrastrukturi</w:t>
            </w:r>
          </w:p>
        </w:tc>
      </w:tr>
      <w:tr w:rsidR="008F0D85">
        <w:trPr>
          <w:trHeight w:val="298"/>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1542"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line="240" w:lineRule="auto"/>
              <w:jc w:val="center"/>
              <w:rPr>
                <w:b/>
                <w:sz w:val="20"/>
                <w:szCs w:val="20"/>
              </w:rPr>
            </w:pPr>
            <w:r>
              <w:rPr>
                <w:b/>
                <w:sz w:val="20"/>
                <w:szCs w:val="20"/>
              </w:rPr>
              <w:t>Posljedice</w:t>
            </w:r>
          </w:p>
        </w:tc>
        <w:tc>
          <w:tcPr>
            <w:tcW w:w="264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 xml:space="preserve">U kn </w:t>
            </w:r>
          </w:p>
        </w:tc>
        <w:tc>
          <w:tcPr>
            <w:tcW w:w="141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jc w:val="center"/>
              <w:rPr>
                <w:b/>
                <w:sz w:val="20"/>
                <w:szCs w:val="20"/>
              </w:rPr>
            </w:pPr>
            <w:r>
              <w:rPr>
                <w:b/>
                <w:sz w:val="20"/>
                <w:szCs w:val="20"/>
              </w:rPr>
              <w:t>Odabrano</w:t>
            </w:r>
          </w:p>
        </w:tc>
      </w:tr>
      <w:tr w:rsidR="008F0D85">
        <w:trPr>
          <w:trHeight w:val="298"/>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 xml:space="preserve">Neznatne </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108.030,00 – 208.060,00</w:t>
            </w:r>
          </w:p>
        </w:tc>
        <w:tc>
          <w:tcPr>
            <w:tcW w:w="14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b/>
                <w:sz w:val="20"/>
                <w:szCs w:val="20"/>
              </w:rPr>
            </w:pPr>
          </w:p>
        </w:tc>
      </w:tr>
      <w:tr w:rsidR="008F0D85">
        <w:trPr>
          <w:trHeight w:val="298"/>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Malene</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208.060,00 – 1.040.300,00</w:t>
            </w:r>
          </w:p>
        </w:tc>
        <w:tc>
          <w:tcPr>
            <w:tcW w:w="14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center"/>
              <w:rPr>
                <w:b/>
                <w:sz w:val="20"/>
                <w:szCs w:val="20"/>
              </w:rPr>
            </w:pPr>
            <w:r>
              <w:rPr>
                <w:b/>
                <w:sz w:val="20"/>
                <w:szCs w:val="20"/>
              </w:rPr>
              <w:t>X</w:t>
            </w:r>
          </w:p>
        </w:tc>
      </w:tr>
      <w:tr w:rsidR="008F0D85">
        <w:trPr>
          <w:trHeight w:val="298"/>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Umjerene</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1.040.300,00 – 3.120.900,00</w:t>
            </w:r>
          </w:p>
        </w:tc>
        <w:tc>
          <w:tcPr>
            <w:tcW w:w="14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left"/>
              <w:rPr>
                <w:sz w:val="20"/>
                <w:szCs w:val="20"/>
              </w:rPr>
            </w:pPr>
          </w:p>
        </w:tc>
      </w:tr>
      <w:tr w:rsidR="008F0D85">
        <w:trPr>
          <w:trHeight w:val="315"/>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Značajne</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3.120.900,00 – 5.201.500,00</w:t>
            </w:r>
          </w:p>
        </w:tc>
        <w:tc>
          <w:tcPr>
            <w:tcW w:w="14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b/>
                <w:sz w:val="20"/>
                <w:szCs w:val="20"/>
              </w:rPr>
            </w:pPr>
          </w:p>
        </w:tc>
      </w:tr>
      <w:tr w:rsidR="008F0D85">
        <w:trPr>
          <w:trHeight w:val="298"/>
          <w:jc w:val="center"/>
        </w:trPr>
        <w:tc>
          <w:tcPr>
            <w:tcW w:w="158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Katastrofalne</w:t>
            </w:r>
          </w:p>
        </w:tc>
        <w:tc>
          <w:tcPr>
            <w:tcW w:w="26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sz w:val="20"/>
                <w:szCs w:val="20"/>
              </w:rPr>
            </w:pPr>
            <w:r>
              <w:rPr>
                <w:sz w:val="20"/>
                <w:szCs w:val="20"/>
              </w:rPr>
              <w:t>&gt; 5.201.500,00</w:t>
            </w:r>
          </w:p>
        </w:tc>
        <w:tc>
          <w:tcPr>
            <w:tcW w:w="14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jc w:val="center"/>
              <w:rPr>
                <w:b/>
                <w:sz w:val="20"/>
                <w:szCs w:val="20"/>
              </w:rPr>
            </w:pPr>
          </w:p>
        </w:tc>
      </w:tr>
    </w:tbl>
    <w:p w:rsidR="008F0D85" w:rsidRDefault="008F0D85"/>
    <w:p w:rsidR="008F0D85" w:rsidRDefault="00AE42A1">
      <w:pPr>
        <w:spacing w:after="0" w:line="360" w:lineRule="auto"/>
        <w:jc w:val="center"/>
        <w:rPr>
          <w:rFonts w:cs="Arial"/>
          <w:b/>
          <w:bCs/>
          <w:sz w:val="20"/>
          <w:szCs w:val="20"/>
        </w:rPr>
      </w:pPr>
      <w:bookmarkStart w:id="1054" w:name="_Toc510774956"/>
      <w:bookmarkStart w:id="1055" w:name="_Toc527969549"/>
      <w:r>
        <w:rPr>
          <w:rFonts w:cs="Arial"/>
          <w:b/>
          <w:bCs/>
          <w:sz w:val="20"/>
          <w:szCs w:val="20"/>
        </w:rPr>
        <w:t xml:space="preserve">Tablica </w:t>
      </w:r>
      <w:r>
        <w:rPr>
          <w:rFonts w:cs="Arial"/>
          <w:b/>
          <w:bCs/>
          <w:sz w:val="20"/>
          <w:szCs w:val="20"/>
        </w:rPr>
        <w:fldChar w:fldCharType="begin"/>
      </w:r>
      <w:r>
        <w:instrText>SEQ Tablica \* ARABIC</w:instrText>
      </w:r>
      <w:r>
        <w:fldChar w:fldCharType="separate"/>
      </w:r>
      <w:r>
        <w:t>67</w:t>
      </w:r>
      <w:r>
        <w:fldChar w:fldCharType="end"/>
      </w:r>
      <w:bookmarkEnd w:id="1054"/>
      <w:bookmarkEnd w:id="1055"/>
      <w:r>
        <w:rPr>
          <w:rFonts w:cs="Arial"/>
          <w:b/>
          <w:bCs/>
          <w:sz w:val="20"/>
          <w:szCs w:val="20"/>
        </w:rPr>
        <w:t>: Prikaz prijetnjom nastalih posljedica na društvenu stabilnost i politiku</w:t>
      </w:r>
    </w:p>
    <w:tbl>
      <w:tblPr>
        <w:tblW w:w="906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1697"/>
        <w:gridCol w:w="1700"/>
        <w:gridCol w:w="2410"/>
        <w:gridCol w:w="3253"/>
      </w:tblGrid>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Kategorija</w:t>
            </w:r>
          </w:p>
        </w:tc>
        <w:tc>
          <w:tcPr>
            <w:tcW w:w="1700"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Ukupno</w:t>
            </w:r>
          </w:p>
        </w:tc>
        <w:tc>
          <w:tcPr>
            <w:tcW w:w="2410"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Kritična infrastruktura</w:t>
            </w:r>
          </w:p>
        </w:tc>
        <w:tc>
          <w:tcPr>
            <w:tcW w:w="3253"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 xml:space="preserve">Ustanove/građevine javnog, </w:t>
            </w:r>
            <w:r>
              <w:rPr>
                <w:rFonts w:cs="Calibri"/>
                <w:b/>
                <w:sz w:val="20"/>
                <w:szCs w:val="20"/>
              </w:rPr>
              <w:t>društvenog interesa</w:t>
            </w:r>
          </w:p>
        </w:tc>
      </w:tr>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1</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sz w:val="20"/>
                <w:szCs w:val="20"/>
              </w:rPr>
            </w:pP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sz w:val="20"/>
                <w:szCs w:val="20"/>
              </w:rPr>
            </w:pPr>
          </w:p>
        </w:tc>
        <w:tc>
          <w:tcPr>
            <w:tcW w:w="32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w:t>
            </w:r>
          </w:p>
        </w:tc>
      </w:tr>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2</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X</w:t>
            </w: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X</w:t>
            </w:r>
          </w:p>
        </w:tc>
        <w:tc>
          <w:tcPr>
            <w:tcW w:w="32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w:t>
            </w:r>
          </w:p>
        </w:tc>
      </w:tr>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3</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32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w:t>
            </w:r>
          </w:p>
        </w:tc>
      </w:tr>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4</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32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w:t>
            </w:r>
          </w:p>
        </w:tc>
      </w:tr>
      <w:tr w:rsidR="008F0D85">
        <w:tc>
          <w:tcPr>
            <w:tcW w:w="1696" w:type="dxa"/>
            <w:tcBorders>
              <w:top w:val="single" w:sz="4" w:space="0" w:color="00000A"/>
              <w:left w:val="single" w:sz="4" w:space="0" w:color="00000A"/>
              <w:bottom w:val="single" w:sz="4" w:space="0" w:color="00000A"/>
              <w:right w:val="single" w:sz="4" w:space="0" w:color="00000A"/>
            </w:tcBorders>
            <w:shd w:val="clear" w:color="auto" w:fill="F2F2F2"/>
            <w:tcMar>
              <w:left w:w="93" w:type="dxa"/>
            </w:tcMar>
          </w:tcPr>
          <w:p w:rsidR="008F0D85" w:rsidRDefault="00AE42A1">
            <w:pPr>
              <w:spacing w:after="0"/>
              <w:jc w:val="center"/>
              <w:rPr>
                <w:rFonts w:cs="Calibri"/>
                <w:b/>
                <w:sz w:val="20"/>
                <w:szCs w:val="20"/>
              </w:rPr>
            </w:pPr>
            <w:r>
              <w:rPr>
                <w:rFonts w:cs="Calibri"/>
                <w:b/>
                <w:sz w:val="20"/>
                <w:szCs w:val="20"/>
              </w:rPr>
              <w:t>5</w:t>
            </w:r>
          </w:p>
        </w:tc>
        <w:tc>
          <w:tcPr>
            <w:tcW w:w="170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241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3253"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sz w:val="20"/>
                <w:szCs w:val="20"/>
              </w:rPr>
            </w:pPr>
            <w:r>
              <w:rPr>
                <w:rFonts w:cs="Calibri"/>
                <w:sz w:val="20"/>
                <w:szCs w:val="20"/>
              </w:rPr>
              <w:t>-</w:t>
            </w:r>
          </w:p>
        </w:tc>
      </w:tr>
    </w:tbl>
    <w:p w:rsidR="008F0D85" w:rsidRDefault="008F0D85"/>
    <w:p w:rsidR="008F0D85" w:rsidRDefault="008F0D85"/>
    <w:p w:rsidR="008F0D85" w:rsidRDefault="008F0D85"/>
    <w:p w:rsidR="008F0D85" w:rsidRDefault="008F0D85"/>
    <w:p w:rsidR="008F0D85" w:rsidRDefault="008F0D85"/>
    <w:p w:rsidR="008F0D85" w:rsidRDefault="00AE42A1">
      <w:pPr>
        <w:pStyle w:val="Naslov5"/>
      </w:pPr>
      <w:bookmarkStart w:id="1056" w:name="_Toc510774849"/>
      <w:bookmarkStart w:id="1057" w:name="_Toc527969455"/>
      <w:bookmarkEnd w:id="1056"/>
      <w:bookmarkEnd w:id="1057"/>
      <w:r>
        <w:t>6.6.2.1.2. Vjerojatnost nastanka događaja s najgorim mogućim posljedicama uslijed industrijske nesreće na području Općine</w:t>
      </w:r>
    </w:p>
    <w:p w:rsidR="008F0D85" w:rsidRDefault="008F0D85"/>
    <w:p w:rsidR="008F0D85" w:rsidRDefault="00AE42A1">
      <w:pPr>
        <w:spacing w:after="0" w:line="360" w:lineRule="auto"/>
        <w:jc w:val="center"/>
        <w:rPr>
          <w:rFonts w:cs="Arial"/>
          <w:b/>
          <w:bCs/>
          <w:sz w:val="20"/>
          <w:szCs w:val="20"/>
        </w:rPr>
      </w:pPr>
      <w:bookmarkStart w:id="1058" w:name="_Toc510774957"/>
      <w:bookmarkStart w:id="1059" w:name="_Toc527969550"/>
      <w:r>
        <w:rPr>
          <w:rFonts w:cs="Arial"/>
          <w:b/>
          <w:bCs/>
          <w:sz w:val="20"/>
          <w:szCs w:val="20"/>
        </w:rPr>
        <w:t xml:space="preserve">Tablica </w:t>
      </w:r>
      <w:r>
        <w:rPr>
          <w:rFonts w:cs="Arial"/>
          <w:b/>
          <w:bCs/>
          <w:sz w:val="20"/>
          <w:szCs w:val="20"/>
        </w:rPr>
        <w:fldChar w:fldCharType="begin"/>
      </w:r>
      <w:r>
        <w:instrText>SEQ Tablica \* ARABIC</w:instrText>
      </w:r>
      <w:r>
        <w:fldChar w:fldCharType="separate"/>
      </w:r>
      <w:r>
        <w:t>68</w:t>
      </w:r>
      <w:r>
        <w:fldChar w:fldCharType="end"/>
      </w:r>
      <w:bookmarkEnd w:id="1058"/>
      <w:bookmarkEnd w:id="1059"/>
      <w:r>
        <w:rPr>
          <w:rFonts w:cs="Arial"/>
          <w:b/>
          <w:bCs/>
          <w:sz w:val="20"/>
          <w:szCs w:val="20"/>
        </w:rPr>
        <w:t xml:space="preserve">: Prikaz vjerojatnosti </w:t>
      </w:r>
      <w:r>
        <w:rPr>
          <w:rFonts w:cs="Arial"/>
          <w:b/>
          <w:bCs/>
          <w:sz w:val="20"/>
          <w:szCs w:val="20"/>
        </w:rPr>
        <w:t>nastanka događaja s najgorim mogućim posljedicama uslijed industrijske nesreće na području Općine</w:t>
      </w:r>
    </w:p>
    <w:tbl>
      <w:tblPr>
        <w:tblW w:w="9214" w:type="dxa"/>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277"/>
        <w:gridCol w:w="1418"/>
        <w:gridCol w:w="1417"/>
        <w:gridCol w:w="1559"/>
        <w:gridCol w:w="2835"/>
        <w:gridCol w:w="708"/>
      </w:tblGrid>
      <w:tr w:rsidR="008F0D85">
        <w:trPr>
          <w:trHeight w:val="257"/>
        </w:trPr>
        <w:tc>
          <w:tcPr>
            <w:tcW w:w="1276"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Kategorija</w:t>
            </w:r>
          </w:p>
        </w:tc>
        <w:tc>
          <w:tcPr>
            <w:tcW w:w="1418" w:type="dxa"/>
            <w:vMerge w:val="restart"/>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Posljedice</w:t>
            </w:r>
          </w:p>
        </w:tc>
        <w:tc>
          <w:tcPr>
            <w:tcW w:w="6519" w:type="dxa"/>
            <w:gridSpan w:val="4"/>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Vjerojatnost/frekvencija</w:t>
            </w:r>
          </w:p>
        </w:tc>
      </w:tr>
      <w:tr w:rsidR="008F0D85">
        <w:trPr>
          <w:trHeight w:val="154"/>
        </w:trPr>
        <w:tc>
          <w:tcPr>
            <w:tcW w:w="1276"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rPr>
                <w:b/>
                <w:sz w:val="20"/>
                <w:szCs w:val="20"/>
              </w:rPr>
            </w:pPr>
          </w:p>
        </w:tc>
        <w:tc>
          <w:tcPr>
            <w:tcW w:w="1418" w:type="dxa"/>
            <w:vMerge/>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8F0D85">
            <w:pPr>
              <w:spacing w:after="0" w:line="240" w:lineRule="auto"/>
              <w:rPr>
                <w:b/>
                <w:sz w:val="20"/>
                <w:szCs w:val="20"/>
              </w:rPr>
            </w:pPr>
          </w:p>
        </w:tc>
        <w:tc>
          <w:tcPr>
            <w:tcW w:w="1417"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Kvalitativno</w:t>
            </w:r>
          </w:p>
        </w:tc>
        <w:tc>
          <w:tcPr>
            <w:tcW w:w="1559"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Vjerojatnost</w:t>
            </w:r>
          </w:p>
        </w:tc>
        <w:tc>
          <w:tcPr>
            <w:tcW w:w="283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Frekvencija</w:t>
            </w:r>
          </w:p>
        </w:tc>
        <w:tc>
          <w:tcPr>
            <w:tcW w:w="708"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8F0D85">
            <w:pPr>
              <w:spacing w:after="0" w:line="240" w:lineRule="auto"/>
              <w:jc w:val="center"/>
              <w:rPr>
                <w:b/>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1</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Neznatne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Iznimno mala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&lt;1 %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u 100 godina i rjeđe</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2</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Malene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Mala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 5 %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u 20 do 100 godina</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b/>
                <w:sz w:val="20"/>
                <w:szCs w:val="20"/>
              </w:rPr>
            </w:pPr>
            <w:r>
              <w:rPr>
                <w:b/>
                <w:sz w:val="20"/>
                <w:szCs w:val="20"/>
              </w:rPr>
              <w:t>X</w:t>
            </w: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3</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Umjerena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 – 50 %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u 2 do 20 godina</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257"/>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4</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Značajne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Velika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51 – 98 %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1 do 2 godine</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r w:rsidR="008F0D85">
        <w:trPr>
          <w:trHeight w:val="273"/>
        </w:trPr>
        <w:tc>
          <w:tcPr>
            <w:tcW w:w="127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vAlign w:val="center"/>
          </w:tcPr>
          <w:p w:rsidR="008F0D85" w:rsidRDefault="00AE42A1">
            <w:pPr>
              <w:spacing w:after="0" w:line="240" w:lineRule="auto"/>
              <w:jc w:val="center"/>
              <w:rPr>
                <w:b/>
                <w:sz w:val="20"/>
                <w:szCs w:val="20"/>
              </w:rPr>
            </w:pPr>
            <w:r>
              <w:rPr>
                <w:b/>
                <w:sz w:val="20"/>
                <w:szCs w:val="20"/>
              </w:rPr>
              <w:t>5</w:t>
            </w:r>
          </w:p>
        </w:tc>
        <w:tc>
          <w:tcPr>
            <w:tcW w:w="141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Katastrofalne</w:t>
            </w:r>
          </w:p>
        </w:tc>
        <w:tc>
          <w:tcPr>
            <w:tcW w:w="14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Iznimno velika</w:t>
            </w:r>
          </w:p>
        </w:tc>
        <w:tc>
          <w:tcPr>
            <w:tcW w:w="1559"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&gt; 98 %</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sz w:val="20"/>
                <w:szCs w:val="20"/>
              </w:rPr>
            </w:pPr>
            <w:r>
              <w:rPr>
                <w:sz w:val="20"/>
                <w:szCs w:val="20"/>
              </w:rPr>
              <w:t>1 događaj godišnje ili češće</w:t>
            </w:r>
          </w:p>
        </w:tc>
        <w:tc>
          <w:tcPr>
            <w:tcW w:w="70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b/>
                <w:sz w:val="20"/>
                <w:szCs w:val="20"/>
              </w:rPr>
            </w:pPr>
          </w:p>
        </w:tc>
      </w:tr>
    </w:tbl>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8F0D85"/>
    <w:p w:rsidR="008F0D85" w:rsidRDefault="00AE42A1">
      <w:pPr>
        <w:pStyle w:val="Naslov3"/>
      </w:pPr>
      <w:bookmarkStart w:id="1060" w:name="_Toc510774850"/>
      <w:bookmarkStart w:id="1061" w:name="_Toc527969456"/>
      <w:bookmarkEnd w:id="1060"/>
      <w:bookmarkEnd w:id="1061"/>
      <w:r>
        <w:t>6.6.3. Matrica rizika – Tehničko – tehnološke nesreće s opasnim tvarima</w:t>
      </w:r>
    </w:p>
    <w:p w:rsidR="008F0D85" w:rsidRDefault="00AE42A1">
      <w:pPr>
        <w:spacing w:after="0"/>
        <w:rPr>
          <w:b/>
        </w:rPr>
      </w:pPr>
      <w:r>
        <w:rPr>
          <w:b/>
        </w:rPr>
        <w:t>RIZIK – Industrijske nesreće</w:t>
      </w:r>
    </w:p>
    <w:p w:rsidR="008F0D85" w:rsidRDefault="00AE42A1">
      <w:pPr>
        <w:spacing w:after="0"/>
        <w:rPr>
          <w:b/>
        </w:rPr>
      </w:pPr>
      <w:r>
        <w:rPr>
          <w:b/>
        </w:rPr>
        <w:t xml:space="preserve">NAZIV SCENARIJA – Istjecanje sadržaja autocisterne na površinu i njezino zapaljenje s opasnošću od eksplozije </w:t>
      </w:r>
    </w:p>
    <w:p w:rsidR="008F0D85" w:rsidRDefault="008F0D85">
      <w:pPr>
        <w:spacing w:after="0"/>
        <w:rPr>
          <w:b/>
        </w:rPr>
      </w:pPr>
    </w:p>
    <w:p w:rsidR="008F0D85" w:rsidRDefault="008F0D85">
      <w:pPr>
        <w:spacing w:after="0"/>
        <w:rPr>
          <w:b/>
        </w:rPr>
      </w:pPr>
    </w:p>
    <w:p w:rsidR="008F0D85" w:rsidRDefault="00AE42A1">
      <w:pPr>
        <w:spacing w:after="0"/>
        <w:jc w:val="left"/>
        <w:rPr>
          <w:szCs w:val="24"/>
          <w:u w:val="single"/>
        </w:rPr>
      </w:pPr>
      <w:r>
        <w:rPr>
          <w:szCs w:val="24"/>
          <w:u w:val="single"/>
        </w:rPr>
        <w:t xml:space="preserve">DOGAĐAJ S NAJGORIM MOGUĆIM POSLJEDICAMA – </w:t>
      </w:r>
      <w:r>
        <w:rPr>
          <w:szCs w:val="24"/>
          <w:u w:val="single"/>
        </w:rPr>
        <w:t>Istjecanje sadržaja autocisterne na površinu i njezino zapaljenje s opasnošću od eksplozije</w:t>
      </w:r>
    </w:p>
    <w:p w:rsidR="008F0D85" w:rsidRDefault="008F0D85"/>
    <w:p w:rsidR="008F0D85" w:rsidRDefault="00AE42A1">
      <w:pPr>
        <w:spacing w:after="0"/>
        <w:jc w:val="left"/>
        <w:rPr>
          <w:sz w:val="18"/>
          <w:szCs w:val="18"/>
        </w:rPr>
      </w:pPr>
      <w:r>
        <w:rPr>
          <w:sz w:val="18"/>
          <w:szCs w:val="18"/>
        </w:rPr>
        <w:t xml:space="preserve">                  Život i zdravlje ljudi                                                Gospodarstvo                                    Društvena stabilnost i poli</w:t>
      </w:r>
      <w:r>
        <w:rPr>
          <w:sz w:val="18"/>
          <w:szCs w:val="18"/>
        </w:rPr>
        <w:t>tika</w:t>
      </w:r>
    </w:p>
    <w:p w:rsidR="008F0D85" w:rsidRDefault="008F0D85">
      <w:pPr>
        <w:spacing w:after="0"/>
        <w:jc w:val="center"/>
        <w:rPr>
          <w:u w:val="single"/>
        </w:rPr>
      </w:pPr>
    </w:p>
    <w:p w:rsidR="008F0D85" w:rsidRDefault="00AE42A1">
      <w:pPr>
        <w:spacing w:after="0"/>
      </w:pPr>
      <w:r>
        <w:rPr>
          <w:noProof/>
        </w:rPr>
        <w:lastRenderedPageBreak/>
        <mc:AlternateContent>
          <mc:Choice Requires="wps">
            <w:drawing>
              <wp:anchor distT="0" distB="0" distL="114300" distR="114300" simplePos="0" relativeHeight="240" behindDoc="0" locked="0" layoutInCell="1" allowOverlap="1">
                <wp:simplePos x="0" y="0"/>
                <wp:positionH relativeFrom="column">
                  <wp:posOffset>633095</wp:posOffset>
                </wp:positionH>
                <wp:positionV relativeFrom="paragraph">
                  <wp:posOffset>215900</wp:posOffset>
                </wp:positionV>
                <wp:extent cx="2540" cy="2540"/>
                <wp:effectExtent l="0" t="0" r="0" b="0"/>
                <wp:wrapNone/>
                <wp:docPr id="108" name="Slika18"/>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1074DF98" id="Slika18" o:spid="_x0000_s1026" style="position:absolute;margin-left:49.85pt;margin-top:17pt;width:.2pt;height:.2pt;z-index: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" fillcolor="#4472c4" strokecolor="#2f528f" strokeweight=".35mm"/>
            </w:pict>
          </mc:Fallback>
        </mc:AlternateContent>
      </w:r>
      <w:r>
        <w:rPr>
          <w:noProof/>
        </w:rPr>
        <mc:AlternateContent>
          <mc:Choice Requires="wps">
            <w:drawing>
              <wp:anchor distT="0" distB="0" distL="114300" distR="114300" simplePos="0" relativeHeight="247" behindDoc="0" locked="0" layoutInCell="1" allowOverlap="1">
                <wp:simplePos x="0" y="0"/>
                <wp:positionH relativeFrom="column">
                  <wp:posOffset>2604770</wp:posOffset>
                </wp:positionH>
                <wp:positionV relativeFrom="paragraph">
                  <wp:posOffset>663575</wp:posOffset>
                </wp:positionV>
                <wp:extent cx="2540" cy="2540"/>
                <wp:effectExtent l="0" t="0" r="0" b="0"/>
                <wp:wrapNone/>
                <wp:docPr id="109" name="Slika19"/>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6ACC104E" id="Slika19" o:spid="_x0000_s1026" style="position:absolute;margin-left:205.1pt;margin-top:52.25pt;width:.2pt;height:.2pt;z-index: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" fillcolor="#4472c4" strokecolor="#2f528f" strokeweight=".35mm"/>
            </w:pict>
          </mc:Fallback>
        </mc:AlternateContent>
      </w:r>
      <w:r>
        <w:rPr>
          <w:noProof/>
        </w:rPr>
        <mc:AlternateContent>
          <mc:Choice Requires="wps">
            <w:drawing>
              <wp:anchor distT="0" distB="0" distL="114300" distR="114300" simplePos="0" relativeHeight="250" behindDoc="0" locked="0" layoutInCell="1" allowOverlap="1">
                <wp:simplePos x="0" y="0"/>
                <wp:positionH relativeFrom="column">
                  <wp:posOffset>4595495</wp:posOffset>
                </wp:positionH>
                <wp:positionV relativeFrom="paragraph">
                  <wp:posOffset>854075</wp:posOffset>
                </wp:positionV>
                <wp:extent cx="2540" cy="2540"/>
                <wp:effectExtent l="0" t="0" r="0" b="0"/>
                <wp:wrapNone/>
                <wp:docPr id="110" name="Slika20"/>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3974B04E" id="Slika20" o:spid="_x0000_s1026" style="position:absolute;margin-left:361.85pt;margin-top:67.25pt;width:.2pt;height:.2pt;z-index:2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" fillcolor="#4472c4" strokecolor="#2f528f" strokeweight=".35mm"/>
            </w:pict>
          </mc:Fallback>
        </mc:AlternateContent>
      </w:r>
      <w:r>
        <w:rPr>
          <w:noProof/>
        </w:rPr>
        <w:drawing>
          <wp:inline distT="0" distB="0" distL="0" distR="0">
            <wp:extent cx="1762760" cy="1629410"/>
            <wp:effectExtent l="0" t="0" r="0" b="0"/>
            <wp:docPr id="111" name="Slika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lika29"/>
                    <pic:cNvPicPr>
                      <a:picLocks noChangeAspect="1" noChangeArrowheads="1"/>
                    </pic:cNvPicPr>
                  </pic:nvPicPr>
                  <pic:blipFill>
                    <a:blip r:embed="rId37"/>
                    <a:stretch>
                      <a:fillRect/>
                    </a:stretch>
                  </pic:blipFill>
                  <pic:spPr bwMode="auto">
                    <a:xfrm>
                      <a:off x="0" y="0"/>
                      <a:ext cx="1762760" cy="1629410"/>
                    </a:xfrm>
                    <a:prstGeom prst="rect">
                      <a:avLst/>
                    </a:prstGeom>
                  </pic:spPr>
                </pic:pic>
              </a:graphicData>
            </a:graphic>
          </wp:inline>
        </w:drawing>
      </w:r>
      <w:r>
        <w:t xml:space="preserve">      </w:t>
      </w:r>
      <w:r>
        <w:rPr>
          <w:noProof/>
        </w:rPr>
        <w:drawing>
          <wp:inline distT="0" distB="0" distL="0" distR="0">
            <wp:extent cx="1762760" cy="1629410"/>
            <wp:effectExtent l="0" t="0" r="0" b="0"/>
            <wp:docPr id="112" name="Slika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lika30"/>
                    <pic:cNvPicPr>
                      <a:picLocks noChangeAspect="1" noChangeArrowheads="1"/>
                    </pic:cNvPicPr>
                  </pic:nvPicPr>
                  <pic:blipFill>
                    <a:blip r:embed="rId37"/>
                    <a:stretch>
                      <a:fillRect/>
                    </a:stretch>
                  </pic:blipFill>
                  <pic:spPr bwMode="auto">
                    <a:xfrm>
                      <a:off x="0" y="0"/>
                      <a:ext cx="1762760" cy="1629410"/>
                    </a:xfrm>
                    <a:prstGeom prst="rect">
                      <a:avLst/>
                    </a:prstGeom>
                  </pic:spPr>
                </pic:pic>
              </a:graphicData>
            </a:graphic>
          </wp:inline>
        </w:drawing>
      </w:r>
      <w:r>
        <w:t xml:space="preserve">      </w:t>
      </w:r>
      <w:r>
        <w:rPr>
          <w:noProof/>
        </w:rPr>
        <w:drawing>
          <wp:inline distT="0" distB="0" distL="0" distR="0">
            <wp:extent cx="1762760" cy="1629410"/>
            <wp:effectExtent l="0" t="0" r="0" b="0"/>
            <wp:docPr id="113" name="Slika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lika31"/>
                    <pic:cNvPicPr>
                      <a:picLocks noChangeAspect="1" noChangeArrowheads="1"/>
                    </pic:cNvPicPr>
                  </pic:nvPicPr>
                  <pic:blipFill>
                    <a:blip r:embed="rId37"/>
                    <a:stretch>
                      <a:fillRect/>
                    </a:stretch>
                  </pic:blipFill>
                  <pic:spPr bwMode="auto">
                    <a:xfrm>
                      <a:off x="0" y="0"/>
                      <a:ext cx="1762760" cy="1629410"/>
                    </a:xfrm>
                    <a:prstGeom prst="rect">
                      <a:avLst/>
                    </a:prstGeom>
                  </pic:spPr>
                </pic:pic>
              </a:graphicData>
            </a:graphic>
          </wp:inline>
        </w:drawing>
      </w:r>
    </w:p>
    <w:p w:rsidR="008F0D85" w:rsidRDefault="008F0D85">
      <w:pPr>
        <w:spacing w:after="0"/>
      </w:pPr>
    </w:p>
    <w:p w:rsidR="008F0D85" w:rsidRDefault="008F0D85">
      <w:pPr>
        <w:spacing w:after="0"/>
      </w:pPr>
    </w:p>
    <w:p w:rsidR="008F0D85" w:rsidRDefault="00AE42A1">
      <w:pPr>
        <w:spacing w:after="0"/>
      </w:pPr>
      <w:r>
        <w:t xml:space="preserve">                                                                                              Matrica ukupnog rizika</w:t>
      </w:r>
    </w:p>
    <w:p w:rsidR="008F0D85" w:rsidRDefault="00AE42A1">
      <w:pPr>
        <w:spacing w:after="0"/>
        <w:rPr>
          <w:u w:val="single"/>
        </w:rPr>
      </w:pPr>
      <w:r>
        <w:rPr>
          <w:noProof/>
        </w:rPr>
        <mc:AlternateContent>
          <mc:Choice Requires="wps">
            <w:drawing>
              <wp:anchor distT="0" distB="0" distL="114300" distR="114300" simplePos="0" relativeHeight="326" behindDoc="0" locked="0" layoutInCell="1" allowOverlap="1">
                <wp:simplePos x="0" y="0"/>
                <wp:positionH relativeFrom="column">
                  <wp:posOffset>3509645</wp:posOffset>
                </wp:positionH>
                <wp:positionV relativeFrom="paragraph">
                  <wp:posOffset>1081405</wp:posOffset>
                </wp:positionV>
                <wp:extent cx="2540" cy="2540"/>
                <wp:effectExtent l="0" t="0" r="0" b="0"/>
                <wp:wrapNone/>
                <wp:docPr id="114" name="Slika21"/>
                <wp:cNvGraphicFramePr/>
                <a:graphic xmlns:a="http://schemas.openxmlformats.org/drawingml/2006/main">
                  <a:graphicData uri="http://schemas.microsoft.com/office/word/2010/wordprocessingShape">
                    <wps:wsp>
                      <wps:cNvSpPr/>
                      <wps:spPr>
                        <a:xfrm>
                          <a:off x="0" y="0"/>
                          <a:ext cx="1800" cy="1800"/>
                        </a:xfrm>
                        <a:prstGeom prst="rect">
                          <a:avLst/>
                        </a:prstGeom>
                        <a:solidFill>
                          <a:srgbClr val="4472C4"/>
                        </a:solidFill>
                        <a:ln w="12600">
                          <a:solidFill>
                            <a:srgbClr val="2F528F"/>
                          </a:solidFill>
                          <a:miter/>
                        </a:ln>
                      </wps:spPr>
                      <wps:style>
                        <a:lnRef idx="0">
                          <a:scrgbClr r="0" g="0" b="0"/>
                        </a:lnRef>
                        <a:fillRef idx="0">
                          <a:scrgbClr r="0" g="0" b="0"/>
                        </a:fillRef>
                        <a:effectRef idx="0">
                          <a:scrgbClr r="0" g="0" b="0"/>
                        </a:effectRef>
                        <a:fontRef idx="minor"/>
                      </wps:style>
                      <wps:bodyPr/>
                    </wps:wsp>
                  </a:graphicData>
                </a:graphic>
              </wp:anchor>
            </w:drawing>
          </mc:Choice>
          <mc:Fallback>
            <w:pict>
              <v:rect w14:anchorId="54F96084" id="Slika21" o:spid="_x0000_s1026" style="position:absolute;margin-left:276.35pt;margin-top:85.15pt;width:.2pt;height:.2pt;z-index:32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" fillcolor="#4472c4" strokecolor="#2f528f" strokeweight=".35mm"/>
            </w:pict>
          </mc:Fallback>
        </mc:AlternateContent>
      </w:r>
      <w:r>
        <w:rPr>
          <w:noProof/>
        </w:rPr>
        <w:drawing>
          <wp:inline distT="0" distB="0" distL="0" distR="0">
            <wp:extent cx="2324735" cy="924560"/>
            <wp:effectExtent l="0" t="0" r="0" b="0"/>
            <wp:docPr id="115" name="Slika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lika 122"/>
                    <pic:cNvPicPr>
                      <a:picLocks noChangeAspect="1" noChangeArrowheads="1"/>
                    </pic:cNvPicPr>
                  </pic:nvPicPr>
                  <pic:blipFill>
                    <a:blip r:embed="rId38"/>
                    <a:stretch>
                      <a:fillRect/>
                    </a:stretch>
                  </pic:blipFill>
                  <pic:spPr bwMode="auto">
                    <a:xfrm>
                      <a:off x="0" y="0"/>
                      <a:ext cx="2324735" cy="924560"/>
                    </a:xfrm>
                    <a:prstGeom prst="rect">
                      <a:avLst/>
                    </a:prstGeom>
                  </pic:spPr>
                </pic:pic>
              </a:graphicData>
            </a:graphic>
          </wp:inline>
        </w:drawing>
      </w:r>
      <w:r>
        <w:rPr>
          <w:u w:val="single"/>
        </w:rPr>
        <w:t xml:space="preserve"> </w:t>
      </w:r>
      <w:r>
        <w:rPr>
          <w:noProof/>
          <w:u w:val="single"/>
        </w:rPr>
        <w:drawing>
          <wp:inline distT="0" distB="0" distL="0" distR="0">
            <wp:extent cx="3229610" cy="2762885"/>
            <wp:effectExtent l="0" t="0" r="0" b="0"/>
            <wp:docPr id="116" name="Slika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lika32"/>
                    <pic:cNvPicPr>
                      <a:picLocks noChangeAspect="1" noChangeArrowheads="1"/>
                    </pic:cNvPicPr>
                  </pic:nvPicPr>
                  <pic:blipFill>
                    <a:blip r:embed="rId37"/>
                    <a:stretch>
                      <a:fillRect/>
                    </a:stretch>
                  </pic:blipFill>
                  <pic:spPr bwMode="auto">
                    <a:xfrm>
                      <a:off x="0" y="0"/>
                      <a:ext cx="3229610" cy="2762885"/>
                    </a:xfrm>
                    <a:prstGeom prst="rect">
                      <a:avLst/>
                    </a:prstGeom>
                  </pic:spPr>
                </pic:pic>
              </a:graphicData>
            </a:graphic>
          </wp:inline>
        </w:drawing>
      </w:r>
    </w:p>
    <w:p w:rsidR="008F0D85" w:rsidRDefault="008F0D85">
      <w:pPr>
        <w:spacing w:after="0"/>
        <w:rPr>
          <w:u w:val="single"/>
        </w:rPr>
      </w:pPr>
    </w:p>
    <w:p w:rsidR="008F0D85" w:rsidRDefault="008F0D85">
      <w:pPr>
        <w:spacing w:after="0"/>
        <w:rPr>
          <w:u w:val="single"/>
        </w:rPr>
      </w:pPr>
    </w:p>
    <w:p w:rsidR="008F0D85" w:rsidRDefault="008F0D85">
      <w:pPr>
        <w:spacing w:after="0"/>
        <w:rPr>
          <w:u w:val="single"/>
        </w:rPr>
      </w:pPr>
    </w:p>
    <w:p w:rsidR="008F0D85" w:rsidRDefault="008F0D85">
      <w:pPr>
        <w:spacing w:after="0"/>
        <w:rPr>
          <w:u w:val="single"/>
        </w:rPr>
      </w:pPr>
    </w:p>
    <w:p w:rsidR="008F0D85" w:rsidRDefault="008F0D85">
      <w:pPr>
        <w:spacing w:after="0"/>
        <w:rPr>
          <w:u w:val="single"/>
        </w:rPr>
      </w:pPr>
    </w:p>
    <w:p w:rsidR="008F0D85" w:rsidRDefault="00AE42A1">
      <w:pPr>
        <w:pStyle w:val="Naslov3"/>
      </w:pPr>
      <w:bookmarkStart w:id="1062" w:name="_Toc510774851"/>
      <w:bookmarkStart w:id="1063" w:name="_Toc527969457"/>
      <w:bookmarkEnd w:id="1062"/>
      <w:bookmarkEnd w:id="1063"/>
      <w:r>
        <w:t>6.6.4. Izvor podataka</w:t>
      </w:r>
    </w:p>
    <w:p w:rsidR="008F0D85" w:rsidRDefault="008F0D85"/>
    <w:p w:rsidR="008F0D85" w:rsidRDefault="00AE42A1">
      <w:pPr>
        <w:numPr>
          <w:ilvl w:val="0"/>
          <w:numId w:val="78"/>
        </w:numPr>
        <w:spacing w:after="0" w:line="240" w:lineRule="auto"/>
        <w:contextualSpacing/>
        <w:rPr>
          <w:sz w:val="20"/>
          <w:szCs w:val="20"/>
          <w:lang w:val="en-US"/>
        </w:rPr>
      </w:pPr>
      <w:r>
        <w:rPr>
          <w:sz w:val="20"/>
          <w:szCs w:val="20"/>
          <w:lang w:val="en-US"/>
        </w:rPr>
        <w:t>Državni zavod za statistiku, Popis stanovništva 2011. godine</w:t>
      </w:r>
    </w:p>
    <w:p w:rsidR="008F0D85" w:rsidRDefault="00AE42A1">
      <w:pPr>
        <w:numPr>
          <w:ilvl w:val="0"/>
          <w:numId w:val="78"/>
        </w:numPr>
        <w:spacing w:after="0" w:line="240" w:lineRule="auto"/>
        <w:contextualSpacing/>
        <w:rPr>
          <w:sz w:val="20"/>
          <w:szCs w:val="20"/>
          <w:lang w:val="en-US"/>
        </w:rPr>
      </w:pPr>
      <w:r>
        <w:rPr>
          <w:sz w:val="20"/>
          <w:szCs w:val="20"/>
          <w:lang w:val="en-US"/>
        </w:rPr>
        <w:t xml:space="preserve">EPA: „Opće </w:t>
      </w:r>
      <w:r>
        <w:rPr>
          <w:sz w:val="20"/>
          <w:szCs w:val="20"/>
          <w:lang w:val="en-US"/>
        </w:rPr>
        <w:t>smjernice za programe upravljanja rizicima“ (40 CFR 68)</w:t>
      </w:r>
    </w:p>
    <w:p w:rsidR="008F0D85" w:rsidRDefault="00AE42A1">
      <w:pPr>
        <w:numPr>
          <w:ilvl w:val="0"/>
          <w:numId w:val="78"/>
        </w:numPr>
        <w:spacing w:line="240" w:lineRule="auto"/>
        <w:contextualSpacing/>
        <w:rPr>
          <w:sz w:val="20"/>
          <w:szCs w:val="20"/>
          <w:lang w:val="en-US"/>
        </w:rPr>
      </w:pPr>
      <w:r>
        <w:rPr>
          <w:sz w:val="20"/>
          <w:szCs w:val="20"/>
          <w:lang w:val="en-US"/>
        </w:rPr>
        <w:t>Ispravak Uredbe o izmjenama i dopunama Uredbe o sprječavanju velikih nesreća koje uključuju opasne tvari („Narodne Novine“ br. 45/17)</w:t>
      </w:r>
    </w:p>
    <w:p w:rsidR="008F0D85" w:rsidRDefault="00AE42A1">
      <w:pPr>
        <w:numPr>
          <w:ilvl w:val="0"/>
          <w:numId w:val="78"/>
        </w:numPr>
        <w:spacing w:line="240" w:lineRule="auto"/>
        <w:contextualSpacing/>
        <w:rPr>
          <w:sz w:val="20"/>
          <w:szCs w:val="20"/>
          <w:lang w:val="en-US"/>
        </w:rPr>
      </w:pPr>
      <w:r>
        <w:rPr>
          <w:sz w:val="20"/>
          <w:szCs w:val="20"/>
          <w:lang w:val="en-US"/>
        </w:rPr>
        <w:t>Kriteriji za izradu smjernica koje donose čelnici područne (region</w:t>
      </w:r>
      <w:r>
        <w:rPr>
          <w:sz w:val="20"/>
          <w:szCs w:val="20"/>
          <w:lang w:val="en-US"/>
        </w:rPr>
        <w:t>alne) samouprave za potrebe izrade Procjena rizika od velikih nesreća na razinama jedinica lokalnih i područnih (regionalnih) samouprave, DUZS, 2016.god.</w:t>
      </w:r>
    </w:p>
    <w:p w:rsidR="008F0D85" w:rsidRDefault="00AE42A1">
      <w:pPr>
        <w:numPr>
          <w:ilvl w:val="0"/>
          <w:numId w:val="78"/>
        </w:numPr>
        <w:spacing w:line="240" w:lineRule="auto"/>
        <w:contextualSpacing/>
        <w:rPr>
          <w:sz w:val="20"/>
          <w:szCs w:val="20"/>
          <w:lang w:val="en-US"/>
        </w:rPr>
      </w:pPr>
      <w:r>
        <w:rPr>
          <w:sz w:val="20"/>
          <w:szCs w:val="20"/>
          <w:lang w:val="en-US"/>
        </w:rPr>
        <w:t>Odluka o određivanju sektora iz kojih središnja tijela Državne uprave identificiraju nacionalne kritič</w:t>
      </w:r>
      <w:r>
        <w:rPr>
          <w:sz w:val="20"/>
          <w:szCs w:val="20"/>
          <w:lang w:val="en-US"/>
        </w:rPr>
        <w:t>ne infrastrukture te liste redoslijeda sektora infrastruktura („Narodne Novine“ br. 108/13)</w:t>
      </w:r>
    </w:p>
    <w:p w:rsidR="008F0D85" w:rsidRDefault="00AE42A1">
      <w:pPr>
        <w:numPr>
          <w:ilvl w:val="0"/>
          <w:numId w:val="78"/>
        </w:numPr>
        <w:spacing w:line="240" w:lineRule="auto"/>
        <w:contextualSpacing/>
        <w:rPr>
          <w:sz w:val="20"/>
          <w:szCs w:val="20"/>
          <w:lang w:val="en-US"/>
        </w:rPr>
      </w:pPr>
      <w:r>
        <w:rPr>
          <w:sz w:val="20"/>
          <w:szCs w:val="20"/>
          <w:lang w:val="en-US"/>
        </w:rPr>
        <w:t>Pravilnik o smjernicama za izradu Procjene rizika od katastrofa i velikih nesreća za područje Republike Hrvatske i jedinica lokalne i područne (regionalne) samoupra</w:t>
      </w:r>
      <w:r>
        <w:rPr>
          <w:sz w:val="20"/>
          <w:szCs w:val="20"/>
          <w:lang w:val="en-US"/>
        </w:rPr>
        <w:t>ve (“Narodne Novine” br. 65/16)</w:t>
      </w:r>
    </w:p>
    <w:p w:rsidR="008F0D85" w:rsidRDefault="00AE42A1">
      <w:pPr>
        <w:numPr>
          <w:ilvl w:val="0"/>
          <w:numId w:val="78"/>
        </w:numPr>
        <w:spacing w:line="240" w:lineRule="auto"/>
        <w:contextualSpacing/>
        <w:rPr>
          <w:sz w:val="20"/>
          <w:szCs w:val="20"/>
          <w:lang w:val="en-US"/>
        </w:rPr>
      </w:pPr>
      <w:r>
        <w:rPr>
          <w:sz w:val="20"/>
          <w:szCs w:val="20"/>
          <w:lang w:val="en-US"/>
        </w:rPr>
        <w:t>Procjena rizika od katastrofa za Republiku Hrvatsku, 2016.god.</w:t>
      </w:r>
    </w:p>
    <w:p w:rsidR="008F0D85" w:rsidRDefault="00AE42A1">
      <w:pPr>
        <w:numPr>
          <w:ilvl w:val="0"/>
          <w:numId w:val="78"/>
        </w:numPr>
        <w:spacing w:line="240" w:lineRule="auto"/>
        <w:contextualSpacing/>
        <w:rPr>
          <w:sz w:val="20"/>
          <w:szCs w:val="20"/>
          <w:lang w:val="en-US"/>
        </w:rPr>
      </w:pPr>
      <w:r>
        <w:rPr>
          <w:sz w:val="20"/>
          <w:szCs w:val="20"/>
          <w:lang w:val="en-US"/>
        </w:rPr>
        <w:lastRenderedPageBreak/>
        <w:t>Procjena ugroženosti stanovništva, materijalnih i kulturnih dobara i okoliša Općine Kloštar Podravski, 2015.god.</w:t>
      </w:r>
    </w:p>
    <w:p w:rsidR="008F0D85" w:rsidRDefault="00AE42A1">
      <w:pPr>
        <w:numPr>
          <w:ilvl w:val="0"/>
          <w:numId w:val="78"/>
        </w:numPr>
        <w:spacing w:line="240" w:lineRule="auto"/>
        <w:contextualSpacing/>
        <w:rPr>
          <w:sz w:val="20"/>
          <w:szCs w:val="20"/>
          <w:lang w:val="en-US"/>
        </w:rPr>
      </w:pPr>
      <w:r>
        <w:rPr>
          <w:sz w:val="20"/>
          <w:szCs w:val="20"/>
          <w:lang w:val="en-US"/>
        </w:rPr>
        <w:t xml:space="preserve">Procjena ugroženosti stanovništva, materijalnih </w:t>
      </w:r>
      <w:r>
        <w:rPr>
          <w:sz w:val="20"/>
          <w:szCs w:val="20"/>
          <w:lang w:val="en-US"/>
        </w:rPr>
        <w:t>i kulturnih dobara i okoliša za Koprivničko – križevačku županiju, 2015.god.</w:t>
      </w:r>
    </w:p>
    <w:p w:rsidR="008F0D85" w:rsidRDefault="00AE42A1">
      <w:pPr>
        <w:numPr>
          <w:ilvl w:val="0"/>
          <w:numId w:val="78"/>
        </w:numPr>
        <w:spacing w:line="240" w:lineRule="auto"/>
        <w:contextualSpacing/>
        <w:rPr>
          <w:sz w:val="20"/>
          <w:szCs w:val="20"/>
          <w:lang w:val="en-US"/>
        </w:rPr>
      </w:pPr>
      <w:r>
        <w:rPr>
          <w:sz w:val="20"/>
          <w:szCs w:val="20"/>
          <w:lang w:val="en-US"/>
        </w:rPr>
        <w:t>Smjernice za izradu Procjene rizika od velikih nesreća za područje Koprivničko - križevačke županije, 2017.god.</w:t>
      </w:r>
    </w:p>
    <w:p w:rsidR="008F0D85" w:rsidRDefault="00AE42A1">
      <w:pPr>
        <w:numPr>
          <w:ilvl w:val="0"/>
          <w:numId w:val="78"/>
        </w:numPr>
        <w:spacing w:line="240" w:lineRule="auto"/>
        <w:contextualSpacing/>
        <w:rPr>
          <w:sz w:val="20"/>
          <w:szCs w:val="20"/>
          <w:lang w:val="en-US"/>
        </w:rPr>
      </w:pPr>
      <w:r>
        <w:rPr>
          <w:sz w:val="20"/>
          <w:szCs w:val="20"/>
          <w:lang w:val="en-US"/>
        </w:rPr>
        <w:t>Uredba o izmjenama i dopunama Uredbe o sprječavanju velikih nesreća</w:t>
      </w:r>
      <w:r>
        <w:rPr>
          <w:sz w:val="20"/>
          <w:szCs w:val="20"/>
          <w:lang w:val="en-US"/>
        </w:rPr>
        <w:t xml:space="preserve"> koje uključuju opasne tvari („Narodne Novine“ br. 31/17)</w:t>
      </w:r>
    </w:p>
    <w:p w:rsidR="008F0D85" w:rsidRDefault="00AE42A1">
      <w:pPr>
        <w:numPr>
          <w:ilvl w:val="0"/>
          <w:numId w:val="78"/>
        </w:numPr>
        <w:spacing w:line="240" w:lineRule="auto"/>
        <w:contextualSpacing/>
        <w:rPr>
          <w:sz w:val="20"/>
          <w:szCs w:val="20"/>
          <w:lang w:val="en-US"/>
        </w:rPr>
      </w:pPr>
      <w:r>
        <w:rPr>
          <w:sz w:val="20"/>
          <w:szCs w:val="20"/>
          <w:lang w:val="en-US"/>
        </w:rPr>
        <w:t>Uredba o sprječavanju velikih nesreća koje uključuju opasne tvari („Narodne Novine“ br. 44/14)</w:t>
      </w:r>
    </w:p>
    <w:p w:rsidR="008F0D85" w:rsidRDefault="00AE42A1">
      <w:pPr>
        <w:numPr>
          <w:ilvl w:val="0"/>
          <w:numId w:val="78"/>
        </w:numPr>
        <w:spacing w:line="240" w:lineRule="auto"/>
        <w:contextualSpacing/>
        <w:rPr>
          <w:sz w:val="20"/>
          <w:szCs w:val="20"/>
          <w:lang w:val="en-US"/>
        </w:rPr>
      </w:pPr>
      <w:r>
        <w:rPr>
          <w:sz w:val="20"/>
          <w:szCs w:val="20"/>
          <w:lang w:val="en-US"/>
        </w:rPr>
        <w:t>Zakon o kritičnim infrastrukturama (“Narodne Novine” br. 56/13)</w:t>
      </w:r>
    </w:p>
    <w:p w:rsidR="008F0D85" w:rsidRDefault="00AE42A1">
      <w:pPr>
        <w:numPr>
          <w:ilvl w:val="0"/>
          <w:numId w:val="78"/>
        </w:numPr>
        <w:spacing w:line="240" w:lineRule="auto"/>
        <w:contextualSpacing/>
        <w:rPr>
          <w:sz w:val="20"/>
          <w:szCs w:val="20"/>
          <w:lang w:val="en-US"/>
        </w:rPr>
      </w:pPr>
      <w:r>
        <w:rPr>
          <w:sz w:val="20"/>
          <w:szCs w:val="20"/>
          <w:lang w:val="en-US"/>
        </w:rPr>
        <w:t>Zakon o sustavu civilne zaštite (“Narod</w:t>
      </w:r>
      <w:r>
        <w:rPr>
          <w:sz w:val="20"/>
          <w:szCs w:val="20"/>
          <w:lang w:val="en-US"/>
        </w:rPr>
        <w:t>ne Novine” br. 82/15</w:t>
      </w:r>
    </w:p>
    <w:p w:rsidR="008F0D85" w:rsidRDefault="008F0D85">
      <w:pPr>
        <w:spacing w:after="0"/>
        <w:rPr>
          <w:u w:val="single"/>
        </w:rPr>
      </w:pPr>
    </w:p>
    <w:p w:rsidR="008F0D85" w:rsidRDefault="008F0D85"/>
    <w:p w:rsidR="008F0D85" w:rsidRDefault="008F0D85"/>
    <w:p w:rsidR="008F0D85" w:rsidRDefault="008F0D85">
      <w:pPr>
        <w:suppressAutoHyphens/>
        <w:textAlignment w:val="baseline"/>
      </w:pPr>
    </w:p>
    <w:p w:rsidR="008F0D85" w:rsidRDefault="008F0D85">
      <w:pPr>
        <w:suppressAutoHyphens/>
        <w:textAlignment w:val="baseline"/>
      </w:pPr>
    </w:p>
    <w:p w:rsidR="008F0D85" w:rsidRDefault="008F0D85">
      <w:pPr>
        <w:suppressAutoHyphens/>
        <w:textAlignment w:val="baseline"/>
      </w:pPr>
    </w:p>
    <w:p w:rsidR="008F0D85" w:rsidRDefault="008F0D85">
      <w:pPr>
        <w:suppressAutoHyphens/>
        <w:textAlignment w:val="baseline"/>
      </w:pPr>
    </w:p>
    <w:p w:rsidR="008F0D85" w:rsidRDefault="008F0D85">
      <w:pPr>
        <w:suppressAutoHyphens/>
        <w:textAlignment w:val="baseline"/>
      </w:pPr>
    </w:p>
    <w:p w:rsidR="008F0D85" w:rsidRDefault="008F0D85">
      <w:pPr>
        <w:suppressAutoHyphens/>
        <w:textAlignment w:val="baseline"/>
      </w:pPr>
    </w:p>
    <w:p w:rsidR="008F0D85" w:rsidRDefault="008F0D85">
      <w:pPr>
        <w:suppressAutoHyphens/>
        <w:textAlignment w:val="baseline"/>
      </w:pPr>
    </w:p>
    <w:p w:rsidR="008F0D85" w:rsidRDefault="008F0D85">
      <w:pPr>
        <w:suppressAutoHyphens/>
        <w:textAlignment w:val="baseline"/>
      </w:pPr>
    </w:p>
    <w:p w:rsidR="008F0D85" w:rsidRDefault="008F0D85">
      <w:pPr>
        <w:suppressAutoHyphens/>
        <w:textAlignment w:val="baseline"/>
      </w:pPr>
    </w:p>
    <w:p w:rsidR="008F0D85" w:rsidRDefault="008F0D85">
      <w:pPr>
        <w:suppressAutoHyphens/>
        <w:textAlignment w:val="baseline"/>
      </w:pPr>
    </w:p>
    <w:p w:rsidR="008F0D85" w:rsidRDefault="008F0D85">
      <w:pPr>
        <w:suppressAutoHyphens/>
        <w:textAlignment w:val="baseline"/>
      </w:pPr>
    </w:p>
    <w:p w:rsidR="008F0D85" w:rsidRDefault="00AE42A1">
      <w:pPr>
        <w:keepNext/>
        <w:keepLines/>
        <w:spacing w:before="480" w:after="0"/>
        <w:outlineLvl w:val="0"/>
        <w:rPr>
          <w:b/>
          <w:bCs/>
          <w:szCs w:val="28"/>
          <w:lang w:eastAsia="hr-HR"/>
        </w:rPr>
      </w:pPr>
      <w:bookmarkStart w:id="1064" w:name="_Toc514240260"/>
      <w:bookmarkStart w:id="1065" w:name="_Toc516128348"/>
      <w:bookmarkStart w:id="1066" w:name="_Toc527969458"/>
      <w:bookmarkEnd w:id="1064"/>
      <w:bookmarkEnd w:id="1065"/>
      <w:bookmarkEnd w:id="1066"/>
      <w:r>
        <w:rPr>
          <w:b/>
          <w:bCs/>
          <w:szCs w:val="28"/>
          <w:lang w:eastAsia="hr-HR"/>
        </w:rPr>
        <w:t>7. MATRICA RIZIKA – USPOREDBA RIZIKA</w:t>
      </w:r>
    </w:p>
    <w:p w:rsidR="008F0D85" w:rsidRDefault="008F0D85"/>
    <w:p w:rsidR="008F0D85" w:rsidRDefault="00AE42A1">
      <w:pPr>
        <w:spacing w:after="0"/>
      </w:pPr>
      <w:r>
        <w:t xml:space="preserve">Analizirani rizici (scenariji)  za Općinu prikazani u odvojenim matricama pri obradi svakog pojedinog rizika uspoređuju se u zajedničkoj matrici koja se kasnije koristi tijekom </w:t>
      </w:r>
      <w:r>
        <w:t>vrednovanja i prioritizacije rizika.</w:t>
      </w:r>
    </w:p>
    <w:p w:rsidR="008F0D85" w:rsidRDefault="008F0D85"/>
    <w:p w:rsidR="008F0D85" w:rsidRDefault="00AE42A1">
      <w:pPr>
        <w:rPr>
          <w:u w:val="single"/>
        </w:rPr>
      </w:pPr>
      <w:r>
        <w:rPr>
          <w:u w:val="single"/>
        </w:rPr>
        <w:t>PRIKAZ MATRICE DOGAĐAJA S NAJGORIM MOGUĆIM POSLJEDICAMA – UKUPNO</w:t>
      </w:r>
    </w:p>
    <w:p w:rsidR="008F0D85" w:rsidRDefault="00AE42A1">
      <w:pPr>
        <w:suppressAutoHyphens/>
        <w:jc w:val="center"/>
        <w:textAlignment w:val="baseline"/>
      </w:pPr>
      <w:r>
        <w:rPr>
          <w:noProof/>
        </w:rPr>
        <w:lastRenderedPageBreak/>
        <w:drawing>
          <wp:inline distT="0" distB="0" distL="0" distR="0">
            <wp:extent cx="5696585" cy="4734560"/>
            <wp:effectExtent l="0" t="0" r="0" b="0"/>
            <wp:docPr id="117"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lika 41"/>
                    <pic:cNvPicPr>
                      <a:picLocks noChangeAspect="1" noChangeArrowheads="1"/>
                    </pic:cNvPicPr>
                  </pic:nvPicPr>
                  <pic:blipFill>
                    <a:blip r:embed="rId103"/>
                    <a:stretch>
                      <a:fillRect/>
                    </a:stretch>
                  </pic:blipFill>
                  <pic:spPr bwMode="auto">
                    <a:xfrm>
                      <a:off x="0" y="0"/>
                      <a:ext cx="5696585" cy="4734560"/>
                    </a:xfrm>
                    <a:prstGeom prst="rect">
                      <a:avLst/>
                    </a:prstGeom>
                  </pic:spPr>
                </pic:pic>
              </a:graphicData>
            </a:graphic>
          </wp:inline>
        </w:drawing>
      </w:r>
    </w:p>
    <w:p w:rsidR="008F0D85" w:rsidRDefault="008F0D85">
      <w:pPr>
        <w:suppressAutoHyphens/>
        <w:textAlignment w:val="baseline"/>
      </w:pPr>
    </w:p>
    <w:tbl>
      <w:tblPr>
        <w:tblW w:w="7984"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1810"/>
        <w:gridCol w:w="6174"/>
      </w:tblGrid>
      <w:tr w:rsidR="008F0D85">
        <w:tc>
          <w:tcPr>
            <w:tcW w:w="1810" w:type="dxa"/>
            <w:tcBorders>
              <w:top w:val="single" w:sz="4" w:space="0" w:color="000001"/>
              <w:left w:val="single" w:sz="4" w:space="0" w:color="000001"/>
              <w:bottom w:val="single" w:sz="4" w:space="0" w:color="000001"/>
              <w:right w:val="single" w:sz="4" w:space="0" w:color="000001"/>
            </w:tcBorders>
            <w:shd w:val="clear" w:color="auto" w:fill="D5DCE4"/>
            <w:tcMar>
              <w:left w:w="88" w:type="dxa"/>
            </w:tcMar>
          </w:tcPr>
          <w:p w:rsidR="008F0D85" w:rsidRDefault="00AE42A1">
            <w:pPr>
              <w:spacing w:after="0" w:line="240" w:lineRule="auto"/>
              <w:jc w:val="center"/>
              <w:rPr>
                <w:b/>
                <w:sz w:val="16"/>
                <w:szCs w:val="16"/>
                <w:lang w:eastAsia="hr-HR"/>
              </w:rPr>
            </w:pPr>
            <w:r>
              <w:rPr>
                <w:b/>
                <w:sz w:val="16"/>
                <w:szCs w:val="16"/>
                <w:lang w:eastAsia="hr-HR"/>
              </w:rPr>
              <w:t>VRSTA RIZIKA</w:t>
            </w:r>
          </w:p>
        </w:tc>
        <w:tc>
          <w:tcPr>
            <w:tcW w:w="6173" w:type="dxa"/>
            <w:tcBorders>
              <w:top w:val="single" w:sz="4" w:space="0" w:color="000001"/>
              <w:left w:val="single" w:sz="4" w:space="0" w:color="000001"/>
              <w:bottom w:val="single" w:sz="4" w:space="0" w:color="000001"/>
              <w:right w:val="single" w:sz="4" w:space="0" w:color="000001"/>
            </w:tcBorders>
            <w:shd w:val="clear" w:color="auto" w:fill="D5DCE4"/>
            <w:tcMar>
              <w:left w:w="88" w:type="dxa"/>
            </w:tcMar>
          </w:tcPr>
          <w:p w:rsidR="008F0D85" w:rsidRDefault="00AE42A1">
            <w:pPr>
              <w:spacing w:after="0" w:line="240" w:lineRule="auto"/>
              <w:jc w:val="center"/>
              <w:rPr>
                <w:b/>
                <w:sz w:val="16"/>
                <w:szCs w:val="16"/>
                <w:lang w:eastAsia="hr-HR"/>
              </w:rPr>
            </w:pPr>
            <w:r>
              <w:rPr>
                <w:b/>
                <w:sz w:val="16"/>
                <w:szCs w:val="16"/>
                <w:lang w:eastAsia="hr-HR"/>
              </w:rPr>
              <w:t>OPIS RIZIKA</w:t>
            </w:r>
          </w:p>
        </w:tc>
      </w:tr>
      <w:tr w:rsidR="008F0D85">
        <w:tc>
          <w:tcPr>
            <w:tcW w:w="1810" w:type="dxa"/>
            <w:tcBorders>
              <w:top w:val="single" w:sz="4" w:space="0" w:color="000001"/>
              <w:left w:val="single" w:sz="4" w:space="0" w:color="000001"/>
              <w:bottom w:val="single" w:sz="4" w:space="0" w:color="000001"/>
              <w:right w:val="single" w:sz="4" w:space="0" w:color="000001"/>
            </w:tcBorders>
            <w:shd w:val="clear" w:color="auto" w:fill="A8D08D"/>
            <w:tcMar>
              <w:left w:w="88" w:type="dxa"/>
            </w:tcMar>
          </w:tcPr>
          <w:p w:rsidR="008F0D85" w:rsidRDefault="00AE42A1">
            <w:pPr>
              <w:spacing w:after="0" w:line="240" w:lineRule="auto"/>
              <w:jc w:val="left"/>
              <w:rPr>
                <w:sz w:val="16"/>
                <w:szCs w:val="16"/>
                <w:lang w:eastAsia="hr-HR"/>
              </w:rPr>
            </w:pPr>
            <w:r>
              <w:rPr>
                <w:sz w:val="16"/>
                <w:szCs w:val="16"/>
                <w:lang w:eastAsia="hr-HR"/>
              </w:rPr>
              <w:t>Nizak rizik</w:t>
            </w:r>
          </w:p>
        </w:tc>
        <w:tc>
          <w:tcPr>
            <w:tcW w:w="617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sz w:val="16"/>
                <w:szCs w:val="16"/>
                <w:lang w:eastAsia="hr-HR"/>
              </w:rPr>
            </w:pPr>
            <w:r>
              <w:rPr>
                <w:sz w:val="16"/>
                <w:szCs w:val="16"/>
                <w:lang w:eastAsia="hr-HR"/>
              </w:rPr>
              <w:t>Dodatne mjere nisu potrebne, osim uobičajenih.</w:t>
            </w:r>
          </w:p>
        </w:tc>
      </w:tr>
      <w:tr w:rsidR="008F0D85">
        <w:tc>
          <w:tcPr>
            <w:tcW w:w="181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tcPr>
          <w:p w:rsidR="008F0D85" w:rsidRDefault="00AE42A1">
            <w:pPr>
              <w:spacing w:after="0" w:line="240" w:lineRule="auto"/>
              <w:jc w:val="left"/>
              <w:rPr>
                <w:sz w:val="16"/>
                <w:szCs w:val="16"/>
                <w:lang w:eastAsia="hr-HR"/>
              </w:rPr>
            </w:pPr>
            <w:r>
              <w:rPr>
                <w:sz w:val="16"/>
                <w:szCs w:val="16"/>
                <w:lang w:eastAsia="hr-HR"/>
              </w:rPr>
              <w:t>Umjeren rizik</w:t>
            </w:r>
          </w:p>
        </w:tc>
        <w:tc>
          <w:tcPr>
            <w:tcW w:w="617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sz w:val="16"/>
                <w:szCs w:val="16"/>
                <w:lang w:eastAsia="hr-HR"/>
              </w:rPr>
            </w:pPr>
            <w:r>
              <w:rPr>
                <w:sz w:val="16"/>
                <w:szCs w:val="16"/>
                <w:lang w:eastAsia="hr-HR"/>
              </w:rPr>
              <w:t xml:space="preserve">Rizik se može prihvatiti ukoliko troškovi </w:t>
            </w:r>
            <w:r>
              <w:rPr>
                <w:sz w:val="16"/>
                <w:szCs w:val="16"/>
                <w:lang w:eastAsia="hr-HR"/>
              </w:rPr>
              <w:t>premašuju dobit.</w:t>
            </w:r>
          </w:p>
        </w:tc>
      </w:tr>
      <w:tr w:rsidR="008F0D85">
        <w:tc>
          <w:tcPr>
            <w:tcW w:w="1810" w:type="dxa"/>
            <w:tcBorders>
              <w:top w:val="single" w:sz="4" w:space="0" w:color="000001"/>
              <w:left w:val="single" w:sz="4" w:space="0" w:color="000001"/>
              <w:bottom w:val="single" w:sz="4" w:space="0" w:color="000001"/>
              <w:right w:val="single" w:sz="4" w:space="0" w:color="000001"/>
            </w:tcBorders>
            <w:shd w:val="clear" w:color="auto" w:fill="ED7D31"/>
            <w:tcMar>
              <w:left w:w="88" w:type="dxa"/>
            </w:tcMar>
          </w:tcPr>
          <w:p w:rsidR="008F0D85" w:rsidRDefault="00AE42A1">
            <w:pPr>
              <w:spacing w:after="0" w:line="240" w:lineRule="auto"/>
              <w:jc w:val="left"/>
              <w:rPr>
                <w:sz w:val="16"/>
                <w:szCs w:val="16"/>
                <w:lang w:eastAsia="hr-HR"/>
              </w:rPr>
            </w:pPr>
            <w:r>
              <w:rPr>
                <w:sz w:val="16"/>
                <w:szCs w:val="16"/>
                <w:lang w:eastAsia="hr-HR"/>
              </w:rPr>
              <w:t>Visok rizik</w:t>
            </w:r>
          </w:p>
        </w:tc>
        <w:tc>
          <w:tcPr>
            <w:tcW w:w="617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sz w:val="16"/>
                <w:szCs w:val="16"/>
                <w:lang w:eastAsia="hr-HR"/>
              </w:rPr>
            </w:pPr>
            <w:r>
              <w:rPr>
                <w:sz w:val="16"/>
                <w:szCs w:val="16"/>
                <w:lang w:eastAsia="hr-HR"/>
              </w:rPr>
              <w:t>Rizik se može prihvatiti ukoliko je smanjenje nepraktično ili troškovi uvelike premašuju dobit.</w:t>
            </w:r>
          </w:p>
        </w:tc>
      </w:tr>
      <w:tr w:rsidR="008F0D85">
        <w:tc>
          <w:tcPr>
            <w:tcW w:w="1810" w:type="dxa"/>
            <w:tcBorders>
              <w:top w:val="single" w:sz="4" w:space="0" w:color="000001"/>
              <w:left w:val="single" w:sz="4" w:space="0" w:color="000001"/>
              <w:bottom w:val="single" w:sz="4" w:space="0" w:color="000001"/>
              <w:right w:val="single" w:sz="4" w:space="0" w:color="000001"/>
            </w:tcBorders>
            <w:shd w:val="clear" w:color="auto" w:fill="FF0000"/>
            <w:tcMar>
              <w:left w:w="88" w:type="dxa"/>
            </w:tcMar>
          </w:tcPr>
          <w:p w:rsidR="008F0D85" w:rsidRDefault="00AE42A1">
            <w:pPr>
              <w:spacing w:after="0" w:line="240" w:lineRule="auto"/>
              <w:jc w:val="left"/>
              <w:rPr>
                <w:sz w:val="16"/>
                <w:szCs w:val="16"/>
                <w:lang w:eastAsia="hr-HR"/>
              </w:rPr>
            </w:pPr>
            <w:r>
              <w:rPr>
                <w:sz w:val="16"/>
                <w:szCs w:val="16"/>
                <w:lang w:eastAsia="hr-HR"/>
              </w:rPr>
              <w:t>Vrlo visok rizik</w:t>
            </w:r>
          </w:p>
        </w:tc>
        <w:tc>
          <w:tcPr>
            <w:tcW w:w="617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sz w:val="16"/>
                <w:szCs w:val="16"/>
                <w:lang w:eastAsia="hr-HR"/>
              </w:rPr>
            </w:pPr>
            <w:r>
              <w:rPr>
                <w:sz w:val="16"/>
                <w:szCs w:val="16"/>
                <w:lang w:eastAsia="hr-HR"/>
              </w:rPr>
              <w:t>Rizik se ne može prihvatiti, izuzev u iznimnim situacijama.</w:t>
            </w:r>
          </w:p>
        </w:tc>
      </w:tr>
    </w:tbl>
    <w:p w:rsidR="008F0D85" w:rsidRDefault="008F0D85">
      <w:pPr>
        <w:suppressAutoHyphens/>
        <w:textAlignment w:val="baseline"/>
      </w:pPr>
    </w:p>
    <w:p w:rsidR="008F0D85" w:rsidRDefault="008F0D85">
      <w:pPr>
        <w:suppressAutoHyphens/>
        <w:textAlignment w:val="baseline"/>
      </w:pPr>
    </w:p>
    <w:p w:rsidR="008F0D85" w:rsidRDefault="00AE42A1">
      <w:pPr>
        <w:pStyle w:val="Naslov1"/>
        <w:rPr>
          <w:lang w:eastAsia="hr-HR"/>
        </w:rPr>
      </w:pPr>
      <w:bookmarkStart w:id="1067" w:name="_Toc513643677"/>
      <w:bookmarkStart w:id="1068" w:name="_Toc514240261"/>
      <w:bookmarkStart w:id="1069" w:name="_Toc516128349"/>
      <w:bookmarkStart w:id="1070" w:name="_Toc527969459"/>
      <w:bookmarkEnd w:id="1067"/>
      <w:bookmarkEnd w:id="1068"/>
      <w:bookmarkEnd w:id="1069"/>
      <w:bookmarkEnd w:id="1070"/>
      <w:r>
        <w:rPr>
          <w:lang w:eastAsia="hr-HR"/>
        </w:rPr>
        <w:t xml:space="preserve">8. ANALIZA SUSTAVA CIVILNE ZAŠTITE NA </w:t>
      </w:r>
      <w:r>
        <w:rPr>
          <w:lang w:eastAsia="hr-HR"/>
        </w:rPr>
        <w:t>PODRUČJU OPĆINE</w:t>
      </w:r>
    </w:p>
    <w:p w:rsidR="008F0D85" w:rsidRDefault="008F0D85">
      <w:pPr>
        <w:rPr>
          <w:lang w:eastAsia="hr-HR"/>
        </w:rPr>
      </w:pPr>
    </w:p>
    <w:p w:rsidR="008F0D85" w:rsidRDefault="00AE42A1">
      <w:pPr>
        <w:rPr>
          <w:lang w:eastAsia="hr-HR"/>
        </w:rPr>
      </w:pPr>
      <w:bookmarkStart w:id="1071" w:name="_Hlk503514867"/>
      <w:bookmarkEnd w:id="1071"/>
      <w:r>
        <w:rPr>
          <w:lang w:eastAsia="hr-HR"/>
        </w:rPr>
        <w:t xml:space="preserve">Za potrebe ove analize sustava civilne zaštite izrađena je analiza na području preventive i reagiranja. </w:t>
      </w:r>
    </w:p>
    <w:p w:rsidR="008F0D85" w:rsidRDefault="00AE42A1">
      <w:pPr>
        <w:pStyle w:val="Naslov2"/>
      </w:pPr>
      <w:bookmarkStart w:id="1072" w:name="_Toc513643678"/>
      <w:bookmarkStart w:id="1073" w:name="_Toc514240262"/>
      <w:bookmarkStart w:id="1074" w:name="_Toc516128350"/>
      <w:bookmarkStart w:id="1075" w:name="_Toc527969460"/>
      <w:bookmarkStart w:id="1076" w:name="_Hlk5035148671"/>
      <w:bookmarkEnd w:id="1072"/>
      <w:bookmarkEnd w:id="1073"/>
      <w:bookmarkEnd w:id="1074"/>
      <w:bookmarkEnd w:id="1075"/>
      <w:bookmarkEnd w:id="1076"/>
      <w:r>
        <w:t>8.1. Analiza na području preventive</w:t>
      </w:r>
    </w:p>
    <w:p w:rsidR="008F0D85" w:rsidRDefault="00AE42A1">
      <w:pPr>
        <w:pStyle w:val="Naslov3"/>
      </w:pPr>
      <w:bookmarkStart w:id="1077" w:name="_Toc513643679"/>
      <w:bookmarkStart w:id="1078" w:name="_Toc514240263"/>
      <w:bookmarkStart w:id="1079" w:name="_Toc516128351"/>
      <w:bookmarkStart w:id="1080" w:name="_Toc527969461"/>
      <w:bookmarkEnd w:id="1077"/>
      <w:bookmarkEnd w:id="1078"/>
      <w:bookmarkEnd w:id="1079"/>
      <w:bookmarkEnd w:id="1080"/>
      <w:r>
        <w:t>8.1.1. Usvojenost strategija, normativne uređenosti te izrađenost procjena i planova od značaja za</w:t>
      </w:r>
      <w:r>
        <w:t xml:space="preserve"> sustav civilne zaštite</w:t>
      </w:r>
    </w:p>
    <w:p w:rsidR="008F0D85" w:rsidRDefault="008F0D85"/>
    <w:p w:rsidR="008F0D85" w:rsidRDefault="00AE42A1">
      <w:pPr>
        <w:rPr>
          <w:rFonts w:cs="Calibri"/>
          <w:szCs w:val="24"/>
        </w:rPr>
      </w:pPr>
      <w:r>
        <w:rPr>
          <w:rFonts w:cs="Calibri"/>
          <w:szCs w:val="24"/>
        </w:rPr>
        <w:lastRenderedPageBreak/>
        <w:t>Općina u razdoblju izrade Procjene rizika od velikih nesreća ne posjeduje sve Zakonom (Zakon o sustavu civilne zaštite („Narodne Novine“ br. 82/15) propisane akte. Odluku o određivanju pravnih osoba od interesa za sustav civilne za</w:t>
      </w:r>
      <w:r>
        <w:rPr>
          <w:rFonts w:cs="Calibri"/>
          <w:szCs w:val="24"/>
        </w:rPr>
        <w:t>štite na području Općine, Odluku o određivanju koordinatora na lokaciji te Odluku o imenovanju povjerenika i zamjenika povjerenika Općina će izradit/ažurirat sukladno Zakonu o sustavu civilne zaštite, Pravilniku o mobilizaciji, uvjetima i načinu rada opera</w:t>
      </w:r>
      <w:r>
        <w:rPr>
          <w:rFonts w:cs="Calibri"/>
          <w:szCs w:val="24"/>
        </w:rPr>
        <w:t xml:space="preserve">tivnih snaga sustava civilne zaštite („Narodne Novine“ br. 69/16) te rezultatima Procjene rizika od velikih nesreća za Općinu Kloštar Podravski. </w:t>
      </w:r>
    </w:p>
    <w:p w:rsidR="008F0D85" w:rsidRDefault="00AE42A1">
      <w:pPr>
        <w:numPr>
          <w:ilvl w:val="0"/>
          <w:numId w:val="79"/>
        </w:numPr>
        <w:contextualSpacing/>
        <w:rPr>
          <w:rFonts w:cs="Calibri"/>
          <w:szCs w:val="24"/>
          <w:lang w:val="en-US"/>
        </w:rPr>
      </w:pPr>
      <w:r>
        <w:rPr>
          <w:rFonts w:cs="Calibri"/>
          <w:szCs w:val="24"/>
          <w:lang w:val="en-US"/>
        </w:rPr>
        <w:t>Općina u razdoblju izrade Procjene rizika posjeduje sljedeće akte:</w:t>
      </w:r>
    </w:p>
    <w:p w:rsidR="008F0D85" w:rsidRDefault="00AE42A1">
      <w:pPr>
        <w:pStyle w:val="Odlomakpopisa"/>
        <w:numPr>
          <w:ilvl w:val="0"/>
          <w:numId w:val="80"/>
        </w:numPr>
        <w:jc w:val="both"/>
        <w:rPr>
          <w:rFonts w:cs="Calibri"/>
          <w:sz w:val="24"/>
          <w:szCs w:val="24"/>
        </w:rPr>
      </w:pPr>
      <w:r>
        <w:rPr>
          <w:rFonts w:cs="Calibri"/>
          <w:sz w:val="24"/>
          <w:szCs w:val="24"/>
        </w:rPr>
        <w:t>Analiza stanja sustava civilne zaštite na p</w:t>
      </w:r>
      <w:r>
        <w:rPr>
          <w:rFonts w:cs="Calibri"/>
          <w:sz w:val="24"/>
          <w:szCs w:val="24"/>
        </w:rPr>
        <w:t xml:space="preserve">odručju Općine Kloštar Podravski u 2017. godini (KLASA: 214-03/18-01/01, URBROJ: 2137/16-18-01, Kloštar Podravski, 30.07.2018.god.) </w:t>
      </w:r>
    </w:p>
    <w:p w:rsidR="008F0D85" w:rsidRDefault="00AE42A1">
      <w:pPr>
        <w:pStyle w:val="Odlomakpopisa"/>
        <w:numPr>
          <w:ilvl w:val="0"/>
          <w:numId w:val="80"/>
        </w:numPr>
        <w:jc w:val="both"/>
        <w:rPr>
          <w:rFonts w:cs="Calibri"/>
          <w:sz w:val="24"/>
          <w:szCs w:val="24"/>
        </w:rPr>
      </w:pPr>
      <w:r>
        <w:rPr>
          <w:rFonts w:cs="Calibri"/>
          <w:sz w:val="24"/>
          <w:szCs w:val="24"/>
        </w:rPr>
        <w:t>Odluka o određivanju operativnih snaga i pravnih osoba od interesa za sustav civilne zaštite na području Općine Kloštar Pod</w:t>
      </w:r>
      <w:r>
        <w:rPr>
          <w:rFonts w:cs="Calibri"/>
          <w:sz w:val="24"/>
          <w:szCs w:val="24"/>
        </w:rPr>
        <w:t>ravski (KLASA: 810-01/16-01/03, URBROJ: 2137/16-16-3, Kloštar Podravski, 15.11.2016.god.)</w:t>
      </w:r>
    </w:p>
    <w:p w:rsidR="008F0D85" w:rsidRDefault="00AE42A1">
      <w:pPr>
        <w:pStyle w:val="Odlomakpopisa"/>
        <w:numPr>
          <w:ilvl w:val="0"/>
          <w:numId w:val="80"/>
        </w:numPr>
        <w:jc w:val="both"/>
        <w:rPr>
          <w:rFonts w:cs="Calibri"/>
          <w:sz w:val="24"/>
          <w:szCs w:val="24"/>
        </w:rPr>
      </w:pPr>
      <w:r>
        <w:rPr>
          <w:rFonts w:cs="Calibri"/>
          <w:sz w:val="24"/>
          <w:szCs w:val="24"/>
        </w:rPr>
        <w:t>Odluka o osnivanju Stožera civilne zaštite Općine Kloštar Podravski (KLASA: 810-01/16-01/02, URBROJ: 2137/16-16-1, Kloštar Podravski, 26.10.2016.god.)</w:t>
      </w:r>
    </w:p>
    <w:p w:rsidR="008F0D85" w:rsidRDefault="00AE42A1">
      <w:pPr>
        <w:pStyle w:val="Odlomakpopisa"/>
        <w:numPr>
          <w:ilvl w:val="0"/>
          <w:numId w:val="80"/>
        </w:numPr>
        <w:jc w:val="both"/>
        <w:rPr>
          <w:rFonts w:cs="Calibri"/>
          <w:sz w:val="24"/>
          <w:szCs w:val="24"/>
        </w:rPr>
      </w:pPr>
      <w:r>
        <w:rPr>
          <w:rFonts w:cs="Calibri"/>
          <w:sz w:val="24"/>
          <w:szCs w:val="24"/>
        </w:rPr>
        <w:t>Poslovnik o rad</w:t>
      </w:r>
      <w:r>
        <w:rPr>
          <w:rFonts w:cs="Calibri"/>
          <w:sz w:val="24"/>
          <w:szCs w:val="24"/>
        </w:rPr>
        <w:t>u Stožera civilne zaštite Općine Kloštar Podravski (KLASA: 810-01/17-01/02, URBROJ: 2137/16-17-1, Kloštar Podravski, 14.02.2017.god.)</w:t>
      </w:r>
    </w:p>
    <w:p w:rsidR="008F0D85" w:rsidRDefault="00AE42A1">
      <w:pPr>
        <w:pStyle w:val="Odlomakpopisa"/>
        <w:numPr>
          <w:ilvl w:val="0"/>
          <w:numId w:val="80"/>
        </w:numPr>
        <w:jc w:val="both"/>
        <w:rPr>
          <w:rFonts w:cs="Calibri"/>
          <w:sz w:val="24"/>
          <w:szCs w:val="24"/>
        </w:rPr>
      </w:pPr>
      <w:r>
        <w:rPr>
          <w:rFonts w:cs="Calibri"/>
          <w:sz w:val="24"/>
          <w:szCs w:val="24"/>
        </w:rPr>
        <w:t xml:space="preserve">Odluka o osnivanju i ustroju postrojbi civilne zaštite Općine Kloštar Podravski (KLASA: 810-05/11-01/01, URBROJ: </w:t>
      </w:r>
      <w:r>
        <w:rPr>
          <w:rFonts w:cs="Calibri"/>
          <w:sz w:val="24"/>
          <w:szCs w:val="24"/>
        </w:rPr>
        <w:t>2137/16-11-1, Kloštar Podravski, 28.02.2011.god.)</w:t>
      </w:r>
    </w:p>
    <w:p w:rsidR="008F0D85" w:rsidRDefault="00AE42A1">
      <w:pPr>
        <w:pStyle w:val="Odlomakpopisa"/>
        <w:numPr>
          <w:ilvl w:val="0"/>
          <w:numId w:val="80"/>
        </w:numPr>
        <w:jc w:val="both"/>
        <w:rPr>
          <w:rFonts w:cs="Calibri"/>
          <w:sz w:val="24"/>
          <w:szCs w:val="24"/>
        </w:rPr>
      </w:pPr>
      <w:r>
        <w:rPr>
          <w:rFonts w:cs="Calibri"/>
          <w:sz w:val="24"/>
          <w:szCs w:val="24"/>
        </w:rPr>
        <w:t>Odluka o imenovanju povjerenika civilne zaštite na području Općine Kloštar Podravski (KLASA: 351-01/15-01/06, URBROJ: 2137/16-15-1, Kloštar Podravski, 02.07.2015.god.)</w:t>
      </w:r>
    </w:p>
    <w:p w:rsidR="008F0D85" w:rsidRDefault="00AE42A1">
      <w:pPr>
        <w:pStyle w:val="Odlomakpopisa"/>
        <w:numPr>
          <w:ilvl w:val="0"/>
          <w:numId w:val="80"/>
        </w:numPr>
        <w:jc w:val="both"/>
        <w:rPr>
          <w:rFonts w:cs="Calibri"/>
          <w:sz w:val="24"/>
          <w:szCs w:val="24"/>
        </w:rPr>
      </w:pPr>
      <w:r>
        <w:rPr>
          <w:rFonts w:cs="Calibri"/>
          <w:sz w:val="24"/>
          <w:szCs w:val="24"/>
        </w:rPr>
        <w:t>Odluka o izradi Procjene rizika od vel</w:t>
      </w:r>
      <w:r>
        <w:rPr>
          <w:rFonts w:cs="Calibri"/>
          <w:sz w:val="24"/>
          <w:szCs w:val="24"/>
        </w:rPr>
        <w:t>ikih nesreća za Općinu Kloštar Podravski (KLASA: 810-01/18-01/01, URBROJ: 2137/16-18-01, Kloštar Podravski, 07.05.2018.god.)</w:t>
      </w:r>
    </w:p>
    <w:p w:rsidR="008F0D85" w:rsidRDefault="00AE42A1">
      <w:pPr>
        <w:pStyle w:val="Odlomakpopisa"/>
        <w:numPr>
          <w:ilvl w:val="0"/>
          <w:numId w:val="80"/>
        </w:numPr>
        <w:jc w:val="both"/>
        <w:rPr>
          <w:rFonts w:cs="Calibri"/>
          <w:sz w:val="24"/>
          <w:szCs w:val="24"/>
        </w:rPr>
      </w:pPr>
      <w:r>
        <w:rPr>
          <w:rFonts w:cs="Calibri"/>
          <w:sz w:val="24"/>
          <w:szCs w:val="24"/>
        </w:rPr>
        <w:t>Zaključak o usvajanju Plana zaštite i spašavanja Općine Kloštar Podravski (KLASA: 351-01/15-01/09, URBROJ: 2137/16-15-1, Kloštar Po</w:t>
      </w:r>
      <w:r>
        <w:rPr>
          <w:rFonts w:cs="Calibri"/>
          <w:sz w:val="24"/>
          <w:szCs w:val="24"/>
        </w:rPr>
        <w:t>dravski, 18.12.2015.god.)</w:t>
      </w:r>
    </w:p>
    <w:p w:rsidR="008F0D85" w:rsidRDefault="00AE42A1">
      <w:pPr>
        <w:pStyle w:val="Odlomakpopisa"/>
        <w:numPr>
          <w:ilvl w:val="0"/>
          <w:numId w:val="80"/>
        </w:numPr>
        <w:jc w:val="both"/>
        <w:rPr>
          <w:rFonts w:cs="Calibri"/>
          <w:sz w:val="24"/>
          <w:szCs w:val="24"/>
        </w:rPr>
      </w:pPr>
      <w:r>
        <w:rPr>
          <w:rFonts w:cs="Calibri"/>
          <w:sz w:val="24"/>
          <w:szCs w:val="24"/>
        </w:rPr>
        <w:t>Zaključak o usvajanju Plana civilne zaštite Općine Kloštar Podravski (KLASA: 351-01/15-01/10, URBROJ: 2137/16-15-1, Kloštar Podravski, 18.12.2015.god.)</w:t>
      </w:r>
    </w:p>
    <w:p w:rsidR="008F0D85" w:rsidRDefault="00AE42A1">
      <w:pPr>
        <w:pStyle w:val="Odlomakpopisa"/>
        <w:numPr>
          <w:ilvl w:val="0"/>
          <w:numId w:val="80"/>
        </w:numPr>
        <w:jc w:val="both"/>
        <w:rPr>
          <w:rFonts w:cs="Calibri"/>
          <w:sz w:val="24"/>
          <w:szCs w:val="24"/>
        </w:rPr>
      </w:pPr>
      <w:r>
        <w:rPr>
          <w:rFonts w:cs="Calibri"/>
          <w:sz w:val="24"/>
          <w:szCs w:val="24"/>
        </w:rPr>
        <w:t>Plan zaštite i spašavanja Općine Kloštar Podravski, 2015.god.</w:t>
      </w:r>
    </w:p>
    <w:p w:rsidR="008F0D85" w:rsidRDefault="00AE42A1">
      <w:pPr>
        <w:pStyle w:val="Odlomakpopisa"/>
        <w:numPr>
          <w:ilvl w:val="0"/>
          <w:numId w:val="80"/>
        </w:numPr>
        <w:jc w:val="both"/>
        <w:rPr>
          <w:rFonts w:cs="Calibri"/>
          <w:sz w:val="24"/>
          <w:szCs w:val="24"/>
        </w:rPr>
      </w:pPr>
      <w:r>
        <w:rPr>
          <w:rFonts w:cs="Calibri"/>
          <w:sz w:val="24"/>
          <w:szCs w:val="24"/>
        </w:rPr>
        <w:t>Plan civilne zaš</w:t>
      </w:r>
      <w:r>
        <w:rPr>
          <w:rFonts w:cs="Calibri"/>
          <w:sz w:val="24"/>
          <w:szCs w:val="24"/>
        </w:rPr>
        <w:t>tite Općine Kloštar Podravski, 2015.god.</w:t>
      </w:r>
    </w:p>
    <w:p w:rsidR="008F0D85" w:rsidRDefault="00AE42A1">
      <w:pPr>
        <w:pStyle w:val="Odlomakpopisa"/>
        <w:numPr>
          <w:ilvl w:val="0"/>
          <w:numId w:val="80"/>
        </w:numPr>
        <w:jc w:val="both"/>
        <w:rPr>
          <w:rFonts w:cs="Calibri"/>
          <w:sz w:val="24"/>
          <w:szCs w:val="24"/>
        </w:rPr>
      </w:pPr>
      <w:r>
        <w:rPr>
          <w:rFonts w:cs="Calibri"/>
          <w:sz w:val="24"/>
          <w:szCs w:val="24"/>
        </w:rPr>
        <w:t>Zaključak o usvajanju Procjene ugroženosti stanovništva, materijalnih i kulturnih dobara i okoliša Općine Kloštar Podravski (KLASA: 810-01/15-01/04, URBROJ: 2137/16-15-1, Kloštar Podravski, 18.12.2015.god.)</w:t>
      </w:r>
    </w:p>
    <w:p w:rsidR="008F0D85" w:rsidRDefault="00AE42A1">
      <w:pPr>
        <w:pStyle w:val="Odlomakpopisa"/>
        <w:numPr>
          <w:ilvl w:val="0"/>
          <w:numId w:val="80"/>
        </w:numPr>
        <w:jc w:val="both"/>
        <w:rPr>
          <w:rFonts w:cs="Calibri"/>
          <w:sz w:val="24"/>
          <w:szCs w:val="24"/>
        </w:rPr>
      </w:pPr>
      <w:r>
        <w:rPr>
          <w:rFonts w:cs="Calibri"/>
          <w:sz w:val="24"/>
          <w:szCs w:val="24"/>
        </w:rPr>
        <w:t>Procjena</w:t>
      </w:r>
      <w:r>
        <w:rPr>
          <w:rFonts w:cs="Calibri"/>
          <w:sz w:val="24"/>
          <w:szCs w:val="24"/>
        </w:rPr>
        <w:t xml:space="preserve"> ugroženosti stanovništva, materijalnih i kulturnih dobara i okoliša Općine Kloštar Podravski, 2015.god.</w:t>
      </w:r>
    </w:p>
    <w:p w:rsidR="008F0D85" w:rsidRDefault="00AE42A1">
      <w:pPr>
        <w:pStyle w:val="Odlomakpopisa"/>
        <w:numPr>
          <w:ilvl w:val="0"/>
          <w:numId w:val="80"/>
        </w:numPr>
        <w:jc w:val="both"/>
        <w:rPr>
          <w:rFonts w:cs="Calibri"/>
          <w:sz w:val="24"/>
          <w:szCs w:val="24"/>
        </w:rPr>
      </w:pPr>
      <w:r>
        <w:rPr>
          <w:rFonts w:cs="Calibri"/>
          <w:sz w:val="24"/>
          <w:szCs w:val="24"/>
        </w:rPr>
        <w:lastRenderedPageBreak/>
        <w:t>Smjernice za organizaciju i razvoj sustava civilne zaštite na području Općine Kloštar Podravski za razdoblje od 2016. do 2019.god. (KLASA: 011-02/16-01</w:t>
      </w:r>
      <w:r>
        <w:rPr>
          <w:rFonts w:cs="Calibri"/>
          <w:sz w:val="24"/>
          <w:szCs w:val="24"/>
        </w:rPr>
        <w:t>/02, URBROJ: 2137/16-16-1, Kloštar Podravski, 05.09.2016.god.)</w:t>
      </w:r>
    </w:p>
    <w:p w:rsidR="008F0D85" w:rsidRDefault="00AE42A1">
      <w:pPr>
        <w:pStyle w:val="Odlomakpopisa"/>
        <w:numPr>
          <w:ilvl w:val="0"/>
          <w:numId w:val="80"/>
        </w:numPr>
        <w:jc w:val="both"/>
        <w:rPr>
          <w:rFonts w:cs="Calibri"/>
          <w:sz w:val="24"/>
          <w:szCs w:val="24"/>
        </w:rPr>
      </w:pPr>
      <w:r>
        <w:rPr>
          <w:rFonts w:cs="Calibri"/>
          <w:sz w:val="24"/>
          <w:szCs w:val="24"/>
        </w:rPr>
        <w:t>Plan vježbi civilne zaštite na području Općine Kloštar Podravski za 2018.god. (KLASA: 810-01/18-01/01, URBROJ: 2137/16-18-1, Kloštar Podravski, 26.04.2018.god.)</w:t>
      </w:r>
    </w:p>
    <w:p w:rsidR="008F0D85" w:rsidRDefault="00AE42A1">
      <w:pPr>
        <w:pStyle w:val="Naslov3"/>
      </w:pPr>
      <w:bookmarkStart w:id="1081" w:name="_Toc513643680"/>
      <w:bookmarkStart w:id="1082" w:name="_Toc514240264"/>
      <w:bookmarkStart w:id="1083" w:name="_Toc516128352"/>
      <w:bookmarkStart w:id="1084" w:name="_Toc527969462"/>
      <w:r>
        <w:t>8.1.2. Sustavi ranog upozoravanj</w:t>
      </w:r>
      <w:r>
        <w:t>a i suradnje sa susjednim jedinicama lokalne i područne (regionalne) samouprave</w:t>
      </w:r>
      <w:bookmarkEnd w:id="1081"/>
      <w:bookmarkEnd w:id="1082"/>
      <w:bookmarkEnd w:id="1083"/>
      <w:bookmarkEnd w:id="1084"/>
      <w:r>
        <w:t xml:space="preserve"> </w:t>
      </w:r>
    </w:p>
    <w:p w:rsidR="008F0D85" w:rsidRDefault="008F0D85">
      <w:pPr>
        <w:rPr>
          <w:lang w:eastAsia="hr-HR"/>
        </w:rPr>
      </w:pPr>
    </w:p>
    <w:p w:rsidR="008F0D85" w:rsidRDefault="00AE42A1">
      <w:pPr>
        <w:spacing w:after="0"/>
      </w:pPr>
      <w:r>
        <w:t>Sve organizacije, kao što su Državni hidrometeorološki zavod, inspekcije, operateri, središnja tijela državne uprave nadležna za obranu i unutarnje poslove, sigurnosno - obav</w:t>
      </w:r>
      <w:r>
        <w:t>ještajna agencija, druge organizacije kojima su prikupljanje i obrada informacija od značaja za zaštitu i spašavanje dio redovne djelatnosti kao i ostali sudionici sustava zaštite i spašavanja, dužni su informacije o prijetnjama do kojih su došli iz vlasti</w:t>
      </w:r>
      <w:r>
        <w:t>tih izvora ili putem međunarodnog sustava razmjene, a koje mogu izazvati katastrofu i veliku nesreću, odmah po saznanju dostaviti Državnoj upravi za zaštitu i spašavanje - Područni ured Koprivnica, a koja ih dalje koristi za poduzimanje mjera iz svoje nadl</w:t>
      </w:r>
      <w:r>
        <w:t xml:space="preserve">ežnosti te provođenje operativnih postupaka. </w:t>
      </w:r>
    </w:p>
    <w:p w:rsidR="008F0D85" w:rsidRDefault="00AE42A1">
      <w:pPr>
        <w:spacing w:after="0"/>
      </w:pPr>
      <w:r>
        <w:t>Iste podatke Državna uprava za zaštitu i spašavanje - Područni ured Koprivnica dostavlja načelniku Općine koji nalaže pripravnost operativnih snaga i poduzima druge odgovarajuće mjere iz Plana djelovanja civiln</w:t>
      </w:r>
      <w:r>
        <w:t>e zaštite Općine Kloštar Podravski.</w:t>
      </w:r>
    </w:p>
    <w:p w:rsidR="008F0D85" w:rsidRDefault="008F0D85">
      <w:pPr>
        <w:spacing w:after="0"/>
      </w:pPr>
    </w:p>
    <w:p w:rsidR="008F0D85" w:rsidRDefault="00AE42A1">
      <w:pPr>
        <w:spacing w:after="0"/>
      </w:pPr>
      <w:r>
        <w:t xml:space="preserve">U slučaju bilo koje vrste prijetnji Državni hidrometeorološki zavod, Hrvatske vode, Vatrogasna zajednica, Zavod za javno zdravstvo, Veterinarska stanica te operateri koji prevoze opasne tvari dužni su o tome </w:t>
      </w:r>
      <w:r>
        <w:t>dostaviti podatke Županijskom centru 112.</w:t>
      </w:r>
    </w:p>
    <w:p w:rsidR="008F0D85" w:rsidRDefault="00AE42A1">
      <w:pPr>
        <w:spacing w:after="0"/>
      </w:pPr>
      <w:r>
        <w:t>Načelnik Općine informacije o mogućim prijetnjama dobiva od:</w:t>
      </w:r>
    </w:p>
    <w:p w:rsidR="008F0D85" w:rsidRDefault="00AE42A1">
      <w:pPr>
        <w:numPr>
          <w:ilvl w:val="0"/>
          <w:numId w:val="81"/>
        </w:numPr>
        <w:spacing w:after="0"/>
        <w:jc w:val="left"/>
        <w:rPr>
          <w:bCs/>
          <w:szCs w:val="24"/>
        </w:rPr>
      </w:pPr>
      <w:r>
        <w:rPr>
          <w:bCs/>
          <w:szCs w:val="24"/>
        </w:rPr>
        <w:t>Županijskog centra 112 Koprivnica,</w:t>
      </w:r>
    </w:p>
    <w:p w:rsidR="008F0D85" w:rsidRDefault="00AE42A1">
      <w:pPr>
        <w:numPr>
          <w:ilvl w:val="0"/>
          <w:numId w:val="81"/>
        </w:numPr>
        <w:spacing w:after="0"/>
        <w:jc w:val="left"/>
        <w:rPr>
          <w:bCs/>
          <w:szCs w:val="24"/>
        </w:rPr>
      </w:pPr>
      <w:r>
        <w:rPr>
          <w:bCs/>
          <w:szCs w:val="24"/>
        </w:rPr>
        <w:t>Područnog ureda za zaštitu i spašavanje Koprivnica,</w:t>
      </w:r>
    </w:p>
    <w:p w:rsidR="008F0D85" w:rsidRDefault="00AE42A1">
      <w:pPr>
        <w:numPr>
          <w:ilvl w:val="0"/>
          <w:numId w:val="81"/>
        </w:numPr>
        <w:spacing w:after="0"/>
        <w:jc w:val="left"/>
        <w:rPr>
          <w:bCs/>
          <w:szCs w:val="24"/>
        </w:rPr>
      </w:pPr>
      <w:r>
        <w:rPr>
          <w:bCs/>
          <w:szCs w:val="24"/>
        </w:rPr>
        <w:t>pravnih subjekta, središnjih tijela državne uprave, zavoda, instit</w:t>
      </w:r>
      <w:r>
        <w:rPr>
          <w:bCs/>
          <w:szCs w:val="24"/>
        </w:rPr>
        <w:t>ucija, inspekcija,</w:t>
      </w:r>
    </w:p>
    <w:p w:rsidR="008F0D85" w:rsidRDefault="00AE42A1">
      <w:pPr>
        <w:numPr>
          <w:ilvl w:val="0"/>
          <w:numId w:val="81"/>
        </w:numPr>
        <w:spacing w:after="0"/>
        <w:jc w:val="left"/>
        <w:rPr>
          <w:bCs/>
          <w:szCs w:val="24"/>
        </w:rPr>
      </w:pPr>
      <w:r>
        <w:rPr>
          <w:bCs/>
          <w:szCs w:val="24"/>
        </w:rPr>
        <w:t>građana,</w:t>
      </w:r>
    </w:p>
    <w:p w:rsidR="008F0D85" w:rsidRDefault="00AE42A1">
      <w:pPr>
        <w:numPr>
          <w:ilvl w:val="0"/>
          <w:numId w:val="81"/>
        </w:numPr>
        <w:spacing w:after="0"/>
        <w:jc w:val="left"/>
        <w:rPr>
          <w:bCs/>
          <w:szCs w:val="24"/>
        </w:rPr>
      </w:pPr>
      <w:r>
        <w:rPr>
          <w:bCs/>
          <w:szCs w:val="24"/>
        </w:rPr>
        <w:t>neposrednim stjecanjem uvida u stanje i događaje na svom području koji bi mogli pogoditi područje Općine.</w:t>
      </w:r>
    </w:p>
    <w:p w:rsidR="008F0D85" w:rsidRDefault="008F0D85">
      <w:pPr>
        <w:spacing w:after="0"/>
        <w:jc w:val="left"/>
        <w:rPr>
          <w:bCs/>
          <w:szCs w:val="24"/>
        </w:rPr>
      </w:pPr>
    </w:p>
    <w:p w:rsidR="008F0D85" w:rsidRDefault="00AE42A1">
      <w:pPr>
        <w:spacing w:after="0"/>
      </w:pPr>
      <w:r>
        <w:t>Informacije kojima je cilj upozoravanje stanovništva, operativnih snaga i drugih pravnih osoba s obzirom na moguće prijet</w:t>
      </w:r>
      <w:r>
        <w:t xml:space="preserve">nje, načelnik će dostaviti: </w:t>
      </w:r>
    </w:p>
    <w:p w:rsidR="008F0D85" w:rsidRDefault="00AE42A1">
      <w:pPr>
        <w:numPr>
          <w:ilvl w:val="0"/>
          <w:numId w:val="82"/>
        </w:numPr>
        <w:spacing w:after="0"/>
        <w:jc w:val="left"/>
        <w:rPr>
          <w:szCs w:val="24"/>
        </w:rPr>
      </w:pPr>
      <w:r>
        <w:rPr>
          <w:szCs w:val="24"/>
        </w:rPr>
        <w:t>operativnim snagama civilne zaštite koje djeluju na području Općine,</w:t>
      </w:r>
    </w:p>
    <w:p w:rsidR="008F0D85" w:rsidRDefault="00AE42A1">
      <w:pPr>
        <w:numPr>
          <w:ilvl w:val="0"/>
          <w:numId w:val="82"/>
        </w:numPr>
        <w:spacing w:after="0"/>
        <w:jc w:val="left"/>
        <w:rPr>
          <w:szCs w:val="24"/>
        </w:rPr>
      </w:pPr>
      <w:r>
        <w:rPr>
          <w:szCs w:val="24"/>
        </w:rPr>
        <w:t>pravnim osobama koje će poradi nekog interesa dobiti zadaće u zaštiti i spašavanju stanovništva, materijalnih i kulturnih dobara na području Općine,</w:t>
      </w:r>
    </w:p>
    <w:p w:rsidR="008F0D85" w:rsidRDefault="00AE42A1">
      <w:pPr>
        <w:numPr>
          <w:ilvl w:val="0"/>
          <w:numId w:val="82"/>
        </w:numPr>
        <w:spacing w:after="0"/>
        <w:jc w:val="left"/>
        <w:rPr>
          <w:szCs w:val="24"/>
        </w:rPr>
      </w:pPr>
      <w:r>
        <w:rPr>
          <w:szCs w:val="24"/>
        </w:rPr>
        <w:t>pravnim osobama od posebnog interesa za zaštitu i spašavanje koje postupaju prema vlastitim operativnim planovima.</w:t>
      </w:r>
    </w:p>
    <w:p w:rsidR="008F0D85" w:rsidRDefault="00AE42A1">
      <w:pPr>
        <w:widowControl w:val="0"/>
        <w:tabs>
          <w:tab w:val="left" w:pos="720"/>
        </w:tabs>
        <w:rPr>
          <w:szCs w:val="24"/>
          <w:lang w:eastAsia="hr-HR"/>
        </w:rPr>
      </w:pPr>
      <w:r>
        <w:rPr>
          <w:szCs w:val="24"/>
        </w:rPr>
        <w:t xml:space="preserve">U slučaju neposredne prijetnje od nastanka velike nesreće ili katastrofe na području Općine, </w:t>
      </w:r>
      <w:r>
        <w:rPr>
          <w:szCs w:val="24"/>
        </w:rPr>
        <w:lastRenderedPageBreak/>
        <w:t xml:space="preserve">načelnik </w:t>
      </w:r>
      <w:r>
        <w:rPr>
          <w:rFonts w:cs="Arial"/>
          <w:szCs w:val="24"/>
          <w:lang w:eastAsia="hr-HR"/>
        </w:rPr>
        <w:t>obavještava Župana i sve čelnike susjed</w:t>
      </w:r>
      <w:r>
        <w:rPr>
          <w:rFonts w:cs="Arial"/>
          <w:szCs w:val="24"/>
          <w:lang w:eastAsia="hr-HR"/>
        </w:rPr>
        <w:t xml:space="preserve">nih jedinica lokalne samouprave o nadolazećoj prijetnji. Sustavi ranog upozoravanja i suradnja sa susjednim jedinicama lokalne i područne </w:t>
      </w:r>
      <w:r>
        <w:rPr>
          <w:szCs w:val="24"/>
          <w:lang w:eastAsia="hr-HR"/>
        </w:rPr>
        <w:t>(regionalne) samouprave procjenjuju se visokom razinom spremnosti.</w:t>
      </w:r>
    </w:p>
    <w:p w:rsidR="008F0D85" w:rsidRDefault="00AE42A1">
      <w:pPr>
        <w:pStyle w:val="Naslov3"/>
      </w:pPr>
      <w:bookmarkStart w:id="1085" w:name="_Toc513643681"/>
      <w:bookmarkStart w:id="1086" w:name="_Toc514240265"/>
      <w:bookmarkStart w:id="1087" w:name="_Toc516128353"/>
      <w:bookmarkStart w:id="1088" w:name="_Toc527969463"/>
      <w:bookmarkEnd w:id="1085"/>
      <w:bookmarkEnd w:id="1086"/>
      <w:bookmarkEnd w:id="1087"/>
      <w:bookmarkEnd w:id="1088"/>
      <w:r>
        <w:t>8.1.3. Stanje svijesti pojedinca, pripadnika ranjiv</w:t>
      </w:r>
      <w:r>
        <w:t>ih supina, upravljačkih i odgovornih tijela</w:t>
      </w:r>
    </w:p>
    <w:p w:rsidR="008F0D85" w:rsidRDefault="008F0D85">
      <w:pPr>
        <w:spacing w:after="0"/>
      </w:pPr>
    </w:p>
    <w:p w:rsidR="008F0D85" w:rsidRDefault="00AE42A1">
      <w:pPr>
        <w:rPr>
          <w:rFonts w:cs="Calibri"/>
          <w:szCs w:val="24"/>
        </w:rPr>
      </w:pPr>
      <w:r>
        <w:rPr>
          <w:rFonts w:cs="Calibri"/>
          <w:szCs w:val="24"/>
        </w:rPr>
        <w:t>S obzirom na nedovoljno razvijeno stanje svijesti o rizicima: pojedinaca, pripadnika ranjivih skupina, upravljačkih i odgovornih tijela, posebnu pozornost treba posvetiti razvoju komunikacijskih i operativnih rj</w:t>
      </w:r>
      <w:r>
        <w:rPr>
          <w:rFonts w:cs="Calibri"/>
          <w:szCs w:val="24"/>
        </w:rPr>
        <w:t>ešenja usklađenih s potrebama građana iz svih ranjivih skupina, posebno skupinama s problemima sluha i vida, kako bi se i oni pripremili za provođenje mjera po informacijama ranog upozoravanja te pripremili za postupanje u realnom vremenu uz primjerenu asi</w:t>
      </w:r>
      <w:r>
        <w:rPr>
          <w:rFonts w:cs="Calibri"/>
          <w:szCs w:val="24"/>
        </w:rPr>
        <w:t xml:space="preserve">stenciju organiziranih dijelova operativnih kapaciteta sustava civilne zaštite. Stanje svijesti pojedinaca, pripadnika ranjivih skupina, upravljačkih i odgovornih tijela procjenjuje se s niskom razinom spremnosti.  </w:t>
      </w:r>
    </w:p>
    <w:p w:rsidR="008F0D85" w:rsidRDefault="00AE42A1">
      <w:pPr>
        <w:rPr>
          <w:rFonts w:cs="Calibri"/>
          <w:szCs w:val="24"/>
        </w:rPr>
      </w:pPr>
      <w:r>
        <w:rPr>
          <w:rFonts w:cs="Calibri"/>
          <w:szCs w:val="24"/>
        </w:rPr>
        <w:t>Podizanje svijesti građana može se vršit</w:t>
      </w:r>
      <w:r>
        <w:rPr>
          <w:rFonts w:cs="Calibri"/>
          <w:szCs w:val="24"/>
        </w:rPr>
        <w:t>i putem redovnih komunikacijskih kanala poput Internet stranica, objavljivanjem pouzdanih i svježih informacija o svim relevantnim događajima. Posebno važne informacije se distribuiraju posredstvom ostalih medija, poput televizije, novina i Internet portal</w:t>
      </w:r>
      <w:r>
        <w:rPr>
          <w:rFonts w:cs="Calibri"/>
          <w:szCs w:val="24"/>
        </w:rPr>
        <w:t xml:space="preserve">a. S ciljem smanjenja stradavanja ljudi i imovine bitno je organiziranje projekata, programa, javnih tribina te općenito neformalne edukacije, putem kojih se stanovništvo informira o prevenciji, pripremi za krizne situacije te ponašanju za vrijeme kriznih </w:t>
      </w:r>
      <w:r>
        <w:rPr>
          <w:rFonts w:cs="Calibri"/>
          <w:szCs w:val="24"/>
        </w:rPr>
        <w:t>događaja. Radionicama, distribucijom promotivnih materijala, diseminacijom informacija te promocijom naučenih lekcija među stanovništvom, time pojedincima te pripadnicima ranjivih  skupina može se osigurati da ljudi budu pravovremeno informirani o vjerojat</w:t>
      </w:r>
      <w:r>
        <w:rPr>
          <w:rFonts w:cs="Calibri"/>
          <w:szCs w:val="24"/>
        </w:rPr>
        <w:t>nim opasnostima i načinima da zaštite sebe i bližnje. Informiranje javnosti vrši se sukladno članku 67. i članku 68. Zakona o sustavu civilne zaštite („Narodne Novine“ br. 82/15).</w:t>
      </w:r>
    </w:p>
    <w:p w:rsidR="008F0D85" w:rsidRDefault="008F0D85">
      <w:pPr>
        <w:rPr>
          <w:rFonts w:cs="Calibri"/>
          <w:szCs w:val="24"/>
        </w:rPr>
      </w:pPr>
    </w:p>
    <w:p w:rsidR="008F0D85" w:rsidRDefault="008F0D85">
      <w:pPr>
        <w:rPr>
          <w:rFonts w:cs="Calibri"/>
          <w:szCs w:val="24"/>
        </w:rPr>
      </w:pPr>
    </w:p>
    <w:p w:rsidR="008F0D85" w:rsidRDefault="008F0D85"/>
    <w:p w:rsidR="008F0D85" w:rsidRDefault="008F0D85">
      <w:pPr>
        <w:spacing w:after="0"/>
        <w:rPr>
          <w:szCs w:val="24"/>
        </w:rPr>
      </w:pPr>
    </w:p>
    <w:p w:rsidR="008F0D85" w:rsidRDefault="00AE42A1">
      <w:pPr>
        <w:pStyle w:val="Naslov3"/>
      </w:pPr>
      <w:bookmarkStart w:id="1089" w:name="_Toc513643682"/>
      <w:bookmarkStart w:id="1090" w:name="_Toc514240266"/>
      <w:bookmarkStart w:id="1091" w:name="_Toc516128354"/>
      <w:bookmarkStart w:id="1092" w:name="_Toc527969464"/>
      <w:bookmarkEnd w:id="1089"/>
      <w:bookmarkEnd w:id="1090"/>
      <w:bookmarkEnd w:id="1091"/>
      <w:bookmarkEnd w:id="1092"/>
      <w:r>
        <w:t>8.1.4. Ocjena planiranja, izrade prostornih i urbanističkih planova razv</w:t>
      </w:r>
      <w:r>
        <w:t>oja, planskog korištenja zemljišta</w:t>
      </w:r>
    </w:p>
    <w:p w:rsidR="008F0D85" w:rsidRDefault="008F0D85">
      <w:pPr>
        <w:rPr>
          <w:lang w:eastAsia="hr-HR"/>
        </w:rPr>
      </w:pPr>
    </w:p>
    <w:p w:rsidR="008F0D85" w:rsidRDefault="00AE42A1">
      <w:pPr>
        <w:spacing w:after="0"/>
        <w:rPr>
          <w:szCs w:val="24"/>
          <w:lang w:eastAsia="hr-HR"/>
        </w:rPr>
      </w:pPr>
      <w:r>
        <w:rPr>
          <w:szCs w:val="24"/>
          <w:lang w:eastAsia="hr-HR"/>
        </w:rPr>
        <w:t>Procjena spremnosti sustava civilne zaštite procijenjena  je na temelju ocjene stanja prostornog planiranja, izrade prostornih i urbanističkih planova razvoja, provođenja legalizacije te planskog korištenja zemljišta. Op</w:t>
      </w:r>
      <w:r>
        <w:rPr>
          <w:szCs w:val="24"/>
          <w:lang w:eastAsia="hr-HR"/>
        </w:rPr>
        <w:t>ćina raspolaže sa sljedećim dokumentima prostornog planiranja:</w:t>
      </w:r>
    </w:p>
    <w:p w:rsidR="008F0D85" w:rsidRDefault="00AE42A1">
      <w:pPr>
        <w:pStyle w:val="Odlomakpopisa"/>
        <w:numPr>
          <w:ilvl w:val="0"/>
          <w:numId w:val="83"/>
        </w:numPr>
        <w:spacing w:after="0"/>
        <w:jc w:val="both"/>
        <w:rPr>
          <w:sz w:val="24"/>
          <w:szCs w:val="24"/>
          <w:lang w:eastAsia="hr-HR"/>
        </w:rPr>
      </w:pPr>
      <w:r>
        <w:rPr>
          <w:sz w:val="24"/>
          <w:szCs w:val="24"/>
          <w:lang w:eastAsia="hr-HR"/>
        </w:rPr>
        <w:lastRenderedPageBreak/>
        <w:t>Prostorni plan uređenja Općine Kloštar Podravski - Odluka o donošenju Prostornog plana uređenja Općine Kloštar Podravski (KLASA: 022-05/97-01/11 URBROJ: 2137/16-03-106, Kloštar Podravski, 12.12</w:t>
      </w:r>
      <w:r>
        <w:rPr>
          <w:sz w:val="24"/>
          <w:szCs w:val="24"/>
          <w:lang w:eastAsia="hr-HR"/>
        </w:rPr>
        <w:t>.2003.god.)</w:t>
      </w:r>
    </w:p>
    <w:p w:rsidR="008F0D85" w:rsidRDefault="00AE42A1">
      <w:pPr>
        <w:pStyle w:val="Odlomakpopisa"/>
        <w:numPr>
          <w:ilvl w:val="0"/>
          <w:numId w:val="83"/>
        </w:numPr>
        <w:spacing w:after="0"/>
        <w:jc w:val="both"/>
        <w:rPr>
          <w:sz w:val="24"/>
          <w:szCs w:val="24"/>
          <w:lang w:eastAsia="hr-HR"/>
        </w:rPr>
      </w:pPr>
      <w:r>
        <w:rPr>
          <w:sz w:val="24"/>
          <w:szCs w:val="24"/>
          <w:lang w:eastAsia="hr-HR"/>
        </w:rPr>
        <w:t>Odluka o izmjeni Odluke o donošenju Prostornog plana uređenja Općine Kloštar Podravski (KLASA: 350-02/04-01/01, URBROJ: 2137/16-04-3, Kloštar Podravski, 07.07.2004.god.)</w:t>
      </w:r>
    </w:p>
    <w:p w:rsidR="008F0D85" w:rsidRDefault="00AE42A1">
      <w:pPr>
        <w:pStyle w:val="Odlomakpopisa"/>
        <w:numPr>
          <w:ilvl w:val="0"/>
          <w:numId w:val="83"/>
        </w:numPr>
        <w:spacing w:after="0"/>
        <w:jc w:val="both"/>
        <w:rPr>
          <w:sz w:val="24"/>
          <w:szCs w:val="24"/>
          <w:lang w:eastAsia="hr-HR"/>
        </w:rPr>
      </w:pPr>
      <w:r>
        <w:rPr>
          <w:sz w:val="24"/>
          <w:szCs w:val="24"/>
          <w:lang w:eastAsia="hr-HR"/>
        </w:rPr>
        <w:t>Izmjene i dopune Prostornoga plana uređenja Općine Kloštar Podravski - Odl</w:t>
      </w:r>
      <w:r>
        <w:rPr>
          <w:sz w:val="24"/>
          <w:szCs w:val="24"/>
          <w:lang w:eastAsia="hr-HR"/>
        </w:rPr>
        <w:t>uka o izmjenama i dopunama Odluke o donošenju Prostornog plana uređenja Općine Kloštar Podravski (KLASA: 350-02/06-01/01, URBROJ: 2137/16-07-19, Kloštar Podravski, 06.09.2007.god.)</w:t>
      </w:r>
    </w:p>
    <w:p w:rsidR="008F0D85" w:rsidRDefault="00AE42A1">
      <w:pPr>
        <w:pStyle w:val="Odlomakpopisa"/>
        <w:numPr>
          <w:ilvl w:val="0"/>
          <w:numId w:val="83"/>
        </w:numPr>
        <w:spacing w:after="0"/>
        <w:jc w:val="both"/>
        <w:rPr>
          <w:sz w:val="24"/>
          <w:szCs w:val="24"/>
          <w:lang w:eastAsia="hr-HR"/>
        </w:rPr>
      </w:pPr>
      <w:r>
        <w:rPr>
          <w:sz w:val="24"/>
          <w:szCs w:val="24"/>
          <w:lang w:eastAsia="hr-HR"/>
        </w:rPr>
        <w:t>II. Izmjene i dopune Prostornog plana uređenja Općine Kloštar Podravski - O</w:t>
      </w:r>
      <w:r>
        <w:rPr>
          <w:sz w:val="24"/>
          <w:szCs w:val="24"/>
          <w:lang w:eastAsia="hr-HR"/>
        </w:rPr>
        <w:t>dluka o donošenju II. Izmjena i dopuna Prostornog plana uređenja Općine Kloštar Podravski (KLASA: 350-02/09-01/02, URBROJ: 2137/16-10-52, Kloštar Podravski, 07.09.2010.god.)</w:t>
      </w:r>
    </w:p>
    <w:p w:rsidR="008F0D85" w:rsidRDefault="00AE42A1">
      <w:pPr>
        <w:pStyle w:val="Odlomakpopisa"/>
        <w:numPr>
          <w:ilvl w:val="0"/>
          <w:numId w:val="83"/>
        </w:numPr>
        <w:spacing w:after="0"/>
        <w:jc w:val="both"/>
        <w:rPr>
          <w:sz w:val="24"/>
          <w:szCs w:val="24"/>
          <w:lang w:eastAsia="hr-HR"/>
        </w:rPr>
      </w:pPr>
      <w:r>
        <w:rPr>
          <w:sz w:val="24"/>
          <w:szCs w:val="24"/>
          <w:lang w:eastAsia="hr-HR"/>
        </w:rPr>
        <w:t xml:space="preserve">III. Izmjene i dopune Prostornog plana uređenja Općine Kloštar Podravski - Odluka </w:t>
      </w:r>
      <w:r>
        <w:rPr>
          <w:sz w:val="24"/>
          <w:szCs w:val="24"/>
          <w:lang w:eastAsia="hr-HR"/>
        </w:rPr>
        <w:t>o donošenju Prostornog plana uređenja Općine Kloštar Podravski (KLASA:  350-01/14-01/02, URBROJ: 2137/16-16-49, Kloštar Podravski, 15.12.2016.god.)</w:t>
      </w:r>
    </w:p>
    <w:p w:rsidR="008F0D85" w:rsidRDefault="00AE42A1">
      <w:pPr>
        <w:pStyle w:val="Odlomakpopisa"/>
        <w:numPr>
          <w:ilvl w:val="0"/>
          <w:numId w:val="83"/>
        </w:numPr>
        <w:spacing w:after="0"/>
        <w:jc w:val="both"/>
        <w:rPr>
          <w:sz w:val="24"/>
          <w:szCs w:val="24"/>
          <w:lang w:eastAsia="hr-HR"/>
        </w:rPr>
      </w:pPr>
      <w:r>
        <w:rPr>
          <w:sz w:val="24"/>
          <w:szCs w:val="24"/>
          <w:lang w:eastAsia="hr-HR"/>
        </w:rPr>
        <w:t>Program ukupnog razvoja Općine Kloštar Podravski za razdoblje od 2015. do 2020.god. – Odluka o usvajanju Pro</w:t>
      </w:r>
      <w:r>
        <w:rPr>
          <w:sz w:val="24"/>
          <w:szCs w:val="24"/>
          <w:lang w:eastAsia="hr-HR"/>
        </w:rPr>
        <w:t>grama ukupnog razvoja Općine Kloštar Podravski za razdoblje od 2015. do 2020.god. (KLASA: 300-01/16-01/01, URBROJ: 2137/16-16-22, Kloštar Podravski, 15.11.2016.god.)</w:t>
      </w:r>
    </w:p>
    <w:p w:rsidR="008F0D85" w:rsidRDefault="008F0D85">
      <w:pPr>
        <w:spacing w:after="0"/>
        <w:rPr>
          <w:szCs w:val="24"/>
          <w:lang w:eastAsia="hr-HR"/>
        </w:rPr>
      </w:pPr>
    </w:p>
    <w:p w:rsidR="008F0D85" w:rsidRDefault="00AE42A1">
      <w:pPr>
        <w:widowControl w:val="0"/>
        <w:tabs>
          <w:tab w:val="left" w:pos="720"/>
        </w:tabs>
        <w:spacing w:after="0"/>
        <w:rPr>
          <w:szCs w:val="24"/>
          <w:lang w:eastAsia="hr-HR"/>
        </w:rPr>
      </w:pPr>
      <w:r>
        <w:rPr>
          <w:szCs w:val="24"/>
          <w:lang w:eastAsia="hr-HR"/>
        </w:rPr>
        <w:t>U postupcima izdavanja lokacijskih i građevinskih dozvola prvenstveno se primjenjuju:</w:t>
      </w:r>
    </w:p>
    <w:p w:rsidR="008F0D85" w:rsidRDefault="00AE42A1">
      <w:pPr>
        <w:widowControl w:val="0"/>
        <w:numPr>
          <w:ilvl w:val="0"/>
          <w:numId w:val="84"/>
        </w:numPr>
        <w:tabs>
          <w:tab w:val="left" w:pos="720"/>
        </w:tabs>
        <w:suppressAutoHyphens/>
        <w:spacing w:after="0"/>
        <w:textAlignment w:val="baseline"/>
        <w:rPr>
          <w:szCs w:val="24"/>
          <w:lang w:eastAsia="hr-HR"/>
        </w:rPr>
      </w:pPr>
      <w:r>
        <w:rPr>
          <w:szCs w:val="24"/>
          <w:lang w:eastAsia="hr-HR"/>
        </w:rPr>
        <w:t>Zakon o prostornom uređenju ("Narodne Novine" br. 153/13)</w:t>
      </w:r>
    </w:p>
    <w:p w:rsidR="008F0D85" w:rsidRDefault="00AE42A1">
      <w:pPr>
        <w:widowControl w:val="0"/>
        <w:numPr>
          <w:ilvl w:val="0"/>
          <w:numId w:val="84"/>
        </w:numPr>
        <w:tabs>
          <w:tab w:val="left" w:pos="720"/>
        </w:tabs>
        <w:suppressAutoHyphens/>
        <w:spacing w:after="0"/>
        <w:textAlignment w:val="baseline"/>
        <w:rPr>
          <w:szCs w:val="24"/>
          <w:lang w:eastAsia="hr-HR"/>
        </w:rPr>
      </w:pPr>
      <w:r>
        <w:rPr>
          <w:szCs w:val="24"/>
          <w:lang w:eastAsia="hr-HR"/>
        </w:rPr>
        <w:t>Zakon o gradnji ("Narodne Novine" br. 153/13 i 20/17),</w:t>
      </w:r>
    </w:p>
    <w:p w:rsidR="008F0D85" w:rsidRDefault="00AE42A1">
      <w:pPr>
        <w:widowControl w:val="0"/>
        <w:tabs>
          <w:tab w:val="left" w:pos="720"/>
        </w:tabs>
        <w:spacing w:after="0"/>
        <w:rPr>
          <w:szCs w:val="24"/>
          <w:lang w:eastAsia="hr-HR"/>
        </w:rPr>
      </w:pPr>
      <w:r>
        <w:rPr>
          <w:szCs w:val="24"/>
          <w:lang w:eastAsia="hr-HR"/>
        </w:rPr>
        <w:t xml:space="preserve">te drugi zakoni, posebni propisi i tehnički normativi, ovisno o vrsti zahvata u prostoru. </w:t>
      </w:r>
    </w:p>
    <w:p w:rsidR="008F0D85" w:rsidRDefault="00AE42A1">
      <w:pPr>
        <w:widowControl w:val="0"/>
        <w:numPr>
          <w:ilvl w:val="0"/>
          <w:numId w:val="82"/>
        </w:numPr>
        <w:tabs>
          <w:tab w:val="left" w:pos="720"/>
        </w:tabs>
        <w:suppressAutoHyphens/>
        <w:spacing w:after="0"/>
        <w:textAlignment w:val="baseline"/>
        <w:rPr>
          <w:szCs w:val="24"/>
          <w:lang w:eastAsia="hr-HR"/>
        </w:rPr>
      </w:pPr>
      <w:r>
        <w:rPr>
          <w:szCs w:val="24"/>
          <w:lang w:eastAsia="hr-HR"/>
        </w:rPr>
        <w:t>Zahtjevi zaštite i spašavanja u dokumentima prostorn</w:t>
      </w:r>
      <w:r>
        <w:rPr>
          <w:szCs w:val="24"/>
          <w:lang w:eastAsia="hr-HR"/>
        </w:rPr>
        <w:t>og uređenja</w:t>
      </w:r>
    </w:p>
    <w:p w:rsidR="008F0D85" w:rsidRDefault="008F0D85">
      <w:pPr>
        <w:spacing w:after="0"/>
        <w:rPr>
          <w:szCs w:val="24"/>
          <w:lang w:eastAsia="hr-HR"/>
        </w:rPr>
      </w:pPr>
    </w:p>
    <w:p w:rsidR="008F0D85" w:rsidRDefault="008F0D85">
      <w:pPr>
        <w:spacing w:after="0"/>
        <w:rPr>
          <w:szCs w:val="24"/>
          <w:lang w:eastAsia="hr-HR"/>
        </w:rPr>
      </w:pPr>
    </w:p>
    <w:p w:rsidR="008F0D85" w:rsidRDefault="008F0D85">
      <w:pPr>
        <w:spacing w:after="0"/>
        <w:rPr>
          <w:szCs w:val="24"/>
          <w:lang w:eastAsia="hr-HR"/>
        </w:rPr>
      </w:pPr>
    </w:p>
    <w:p w:rsidR="008F0D85" w:rsidRDefault="008F0D85">
      <w:pPr>
        <w:spacing w:after="0"/>
        <w:rPr>
          <w:szCs w:val="24"/>
          <w:lang w:eastAsia="hr-HR"/>
        </w:rPr>
      </w:pPr>
    </w:p>
    <w:p w:rsidR="008F0D85" w:rsidRDefault="008F0D85">
      <w:pPr>
        <w:spacing w:after="0"/>
        <w:rPr>
          <w:szCs w:val="24"/>
          <w:lang w:eastAsia="hr-HR"/>
        </w:rPr>
      </w:pPr>
    </w:p>
    <w:p w:rsidR="008F0D85" w:rsidRDefault="008F0D85">
      <w:pPr>
        <w:spacing w:after="0"/>
        <w:rPr>
          <w:szCs w:val="24"/>
          <w:lang w:eastAsia="hr-HR"/>
        </w:rPr>
      </w:pPr>
    </w:p>
    <w:p w:rsidR="008F0D85" w:rsidRDefault="00AE42A1">
      <w:pPr>
        <w:pStyle w:val="Naslov3"/>
      </w:pPr>
      <w:bookmarkStart w:id="1093" w:name="_Toc514240267"/>
      <w:bookmarkStart w:id="1094" w:name="_Toc516128355"/>
      <w:bookmarkStart w:id="1095" w:name="_Toc527969465"/>
      <w:bookmarkEnd w:id="1093"/>
      <w:bookmarkEnd w:id="1094"/>
      <w:bookmarkEnd w:id="1095"/>
      <w:r>
        <w:t>8.1.5. Ocjena fiskalne situacije i njezine perspektive na području Općine</w:t>
      </w:r>
    </w:p>
    <w:p w:rsidR="008F0D85" w:rsidRDefault="008F0D85">
      <w:pPr>
        <w:rPr>
          <w:lang w:eastAsia="hr-HR"/>
        </w:rPr>
      </w:pPr>
    </w:p>
    <w:p w:rsidR="008F0D85" w:rsidRDefault="00AE42A1">
      <w:pPr>
        <w:widowControl w:val="0"/>
        <w:tabs>
          <w:tab w:val="left" w:pos="720"/>
        </w:tabs>
        <w:suppressAutoHyphens/>
        <w:spacing w:after="0"/>
        <w:textAlignment w:val="baseline"/>
        <w:rPr>
          <w:szCs w:val="24"/>
          <w:lang w:eastAsia="hr-HR"/>
        </w:rPr>
      </w:pPr>
      <w:bookmarkStart w:id="1096" w:name="_Hlk511026271"/>
      <w:bookmarkEnd w:id="1096"/>
      <w:r>
        <w:rPr>
          <w:szCs w:val="24"/>
          <w:lang w:eastAsia="hr-HR"/>
        </w:rPr>
        <w:t xml:space="preserve">Sredstva na financiranje sustava civilne zaštite određena su proračunom Općine za 2018.god. Proračunom su utvrđeni izvori i način financiranja sustava </w:t>
      </w:r>
      <w:r>
        <w:rPr>
          <w:szCs w:val="24"/>
          <w:lang w:eastAsia="hr-HR"/>
        </w:rPr>
        <w:t>civilne zaštite na području Općine, a u svrhu racionalnog i učinkovitog djelovanja sustava civilne zaštite Općine.</w:t>
      </w:r>
    </w:p>
    <w:p w:rsidR="008F0D85" w:rsidRDefault="00AE42A1">
      <w:pPr>
        <w:rPr>
          <w:szCs w:val="24"/>
        </w:rPr>
      </w:pPr>
      <w:r>
        <w:rPr>
          <w:szCs w:val="24"/>
        </w:rPr>
        <w:t>Proračunom Općine za poslove civilne zaštite izdvojeno je 25.000,00 kn (Tablica 17.).</w:t>
      </w:r>
    </w:p>
    <w:p w:rsidR="008F0D85" w:rsidRDefault="00AE42A1">
      <w:pPr>
        <w:pStyle w:val="Naslov3"/>
      </w:pPr>
      <w:bookmarkStart w:id="1097" w:name="_Toc513643684"/>
      <w:bookmarkStart w:id="1098" w:name="_Toc514240268"/>
      <w:bookmarkStart w:id="1099" w:name="_Toc516128356"/>
      <w:bookmarkStart w:id="1100" w:name="_Toc527969466"/>
      <w:bookmarkEnd w:id="1097"/>
      <w:bookmarkEnd w:id="1098"/>
      <w:bookmarkEnd w:id="1099"/>
      <w:bookmarkEnd w:id="1100"/>
      <w:r>
        <w:lastRenderedPageBreak/>
        <w:t>8.1.6. Baza podataka</w:t>
      </w:r>
    </w:p>
    <w:p w:rsidR="008F0D85" w:rsidRDefault="008F0D85">
      <w:pPr>
        <w:rPr>
          <w:lang w:eastAsia="hr-HR"/>
        </w:rPr>
      </w:pPr>
    </w:p>
    <w:p w:rsidR="008F0D85" w:rsidRDefault="00AE42A1">
      <w:pPr>
        <w:spacing w:after="0"/>
        <w:rPr>
          <w:lang w:eastAsia="hr-HR"/>
        </w:rPr>
      </w:pPr>
      <w:r>
        <w:rPr>
          <w:lang w:eastAsia="hr-HR"/>
        </w:rPr>
        <w:t>Bazu podataka označava skup međus</w:t>
      </w:r>
      <w:r>
        <w:rPr>
          <w:lang w:eastAsia="hr-HR"/>
        </w:rPr>
        <w:t>obno povezanih podataka koji omogućavaju pregled sposobnosti operativnih snaga sustava civilne zaštite, a koji se na odgovarajući način i pod određenim uvjetima koristi za potrebe sustava civilne zaštite, odnosno koji se koristi za provođenje mjera i aktiv</w:t>
      </w:r>
      <w:r>
        <w:rPr>
          <w:lang w:eastAsia="hr-HR"/>
        </w:rPr>
        <w:t xml:space="preserve">nosti sustava civilne zaštite u velikim nesrećama i katastrofama kao i za potrebe provođenja osposobljavanja. </w:t>
      </w:r>
      <w:r>
        <w:rPr>
          <w:shd w:val="clear" w:color="auto" w:fill="FFFFFF"/>
          <w:lang w:eastAsia="hr-HR"/>
        </w:rPr>
        <w:t>Općina vodi „Evidenciju o pripadnicima operativnih snaga sustava civilne zaštite“ za članove stožera civilne zaštite, pripadnike postrojbi civilne</w:t>
      </w:r>
      <w:r>
        <w:rPr>
          <w:shd w:val="clear" w:color="auto" w:fill="FFFFFF"/>
          <w:lang w:eastAsia="hr-HR"/>
        </w:rPr>
        <w:t xml:space="preserve"> zaštite i povjerenike i zamjenike povjerenika te pravne osobe u sustavu civilne zaštite. </w:t>
      </w:r>
      <w:bookmarkStart w:id="1101" w:name="_Hlk511026347"/>
      <w:bookmarkEnd w:id="1101"/>
      <w:r>
        <w:rPr>
          <w:lang w:eastAsia="hr-HR"/>
        </w:rPr>
        <w:t>Razina spremnosti ove kategorije je procijenjena vrlo visokom.</w:t>
      </w:r>
    </w:p>
    <w:p w:rsidR="008F0D85" w:rsidRDefault="008F0D85">
      <w:pPr>
        <w:spacing w:after="0"/>
        <w:jc w:val="center"/>
        <w:rPr>
          <w:lang w:eastAsia="hr-HR"/>
        </w:rPr>
      </w:pPr>
    </w:p>
    <w:p w:rsidR="008F0D85" w:rsidRDefault="00AE42A1">
      <w:pPr>
        <w:spacing w:after="0" w:line="360" w:lineRule="auto"/>
        <w:jc w:val="center"/>
        <w:rPr>
          <w:rFonts w:cs="Arial"/>
          <w:b/>
          <w:bCs/>
          <w:sz w:val="20"/>
          <w:szCs w:val="20"/>
          <w:lang w:eastAsia="hr-HR"/>
        </w:rPr>
      </w:pPr>
      <w:bookmarkStart w:id="1102" w:name="_Toc513643758"/>
      <w:bookmarkStart w:id="1103" w:name="_Toc514240366"/>
      <w:bookmarkStart w:id="1104" w:name="_Toc516128448"/>
      <w:bookmarkStart w:id="1105" w:name="_Toc527969551"/>
      <w:r>
        <w:rPr>
          <w:rFonts w:cs="Arial"/>
          <w:b/>
          <w:bCs/>
          <w:sz w:val="20"/>
          <w:szCs w:val="20"/>
        </w:rPr>
        <w:t xml:space="preserve">Tablica </w:t>
      </w:r>
      <w:r>
        <w:rPr>
          <w:rFonts w:cs="Arial"/>
          <w:b/>
          <w:bCs/>
          <w:sz w:val="20"/>
          <w:szCs w:val="20"/>
        </w:rPr>
        <w:fldChar w:fldCharType="begin"/>
      </w:r>
      <w:r>
        <w:instrText>SEQ Tablica \* ARABIC</w:instrText>
      </w:r>
      <w:r>
        <w:fldChar w:fldCharType="separate"/>
      </w:r>
      <w:r>
        <w:t>69</w:t>
      </w:r>
      <w:r>
        <w:fldChar w:fldCharType="end"/>
      </w:r>
      <w:bookmarkEnd w:id="1102"/>
      <w:bookmarkEnd w:id="1103"/>
      <w:bookmarkEnd w:id="1104"/>
      <w:bookmarkEnd w:id="1105"/>
      <w:r>
        <w:rPr>
          <w:rFonts w:cs="Arial"/>
          <w:b/>
          <w:bCs/>
          <w:sz w:val="20"/>
          <w:szCs w:val="20"/>
        </w:rPr>
        <w:t>: Analiza sustava civilne zaštite - Područje preventive</w:t>
      </w:r>
    </w:p>
    <w:tbl>
      <w:tblPr>
        <w:tblW w:w="9209"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2992"/>
        <w:gridCol w:w="1536"/>
        <w:gridCol w:w="1560"/>
        <w:gridCol w:w="1560"/>
        <w:gridCol w:w="1561"/>
      </w:tblGrid>
      <w:tr w:rsidR="008F0D85">
        <w:trPr>
          <w:trHeight w:val="352"/>
        </w:trPr>
        <w:tc>
          <w:tcPr>
            <w:tcW w:w="2992"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pPr>
            <w:bookmarkStart w:id="1106" w:name="_Hlk511026374"/>
            <w:bookmarkEnd w:id="1106"/>
            <w:r>
              <w:rPr>
                <w:b/>
                <w:sz w:val="22"/>
                <w:szCs w:val="20"/>
              </w:rPr>
              <w:t>PODRUČJE PREVENTIVE</w:t>
            </w: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pPr>
            <w:r>
              <w:rPr>
                <w:b/>
                <w:sz w:val="22"/>
                <w:szCs w:val="20"/>
              </w:rPr>
              <w:t>Vrlo 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pPr>
            <w:r>
              <w:rPr>
                <w:b/>
                <w:sz w:val="22"/>
                <w:szCs w:val="20"/>
              </w:rPr>
              <w:t>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pPr>
            <w:r>
              <w:rPr>
                <w:b/>
                <w:sz w:val="22"/>
                <w:szCs w:val="20"/>
              </w:rPr>
              <w:t>Visoka spremnost</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pPr>
            <w:r>
              <w:rPr>
                <w:b/>
                <w:sz w:val="22"/>
                <w:szCs w:val="20"/>
              </w:rPr>
              <w:t>Vrlo visoka spremnost</w:t>
            </w:r>
          </w:p>
        </w:tc>
      </w:tr>
      <w:tr w:rsidR="008F0D85">
        <w:trPr>
          <w:trHeight w:val="278"/>
        </w:trPr>
        <w:tc>
          <w:tcPr>
            <w:tcW w:w="2992"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rPr>
                <w:b/>
                <w:szCs w:val="20"/>
              </w:rPr>
            </w:pP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jc w:val="center"/>
            </w:pPr>
            <w:r>
              <w:rPr>
                <w:b/>
                <w:sz w:val="22"/>
                <w:szCs w:val="20"/>
              </w:rPr>
              <w:t>4</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jc w:val="center"/>
            </w:pPr>
            <w:r>
              <w:rPr>
                <w:b/>
                <w:sz w:val="22"/>
                <w:szCs w:val="20"/>
              </w:rPr>
              <w:t>3</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jc w:val="center"/>
            </w:pPr>
            <w:r>
              <w:rPr>
                <w:b/>
                <w:sz w:val="22"/>
                <w:szCs w:val="20"/>
              </w:rPr>
              <w:t>2</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jc w:val="center"/>
            </w:pPr>
            <w:r>
              <w:rPr>
                <w:b/>
                <w:sz w:val="22"/>
                <w:szCs w:val="20"/>
              </w:rPr>
              <w:t>1</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bookmarkStart w:id="1107" w:name="_Hlk508269039"/>
            <w:bookmarkEnd w:id="1107"/>
            <w:r>
              <w:rPr>
                <w:sz w:val="20"/>
                <w:szCs w:val="20"/>
              </w:rPr>
              <w:t>Usvojenost strategija, normativne uređenosti te izrađenost procjena i planova od značaja za sustav civilne zaštite</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jc w:val="center"/>
              <w:rPr>
                <w:b/>
                <w:sz w:val="20"/>
                <w:szCs w:val="20"/>
              </w:rPr>
            </w:pPr>
            <w:r>
              <w:rPr>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 xml:space="preserve">Sustavi ranog </w:t>
            </w:r>
            <w:r>
              <w:rPr>
                <w:sz w:val="20"/>
                <w:szCs w:val="20"/>
              </w:rPr>
              <w:t>upozoravanja i suradnja sa susjednim jedinicama lokalne i područne (regionalne) samouprave</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jc w:val="center"/>
              <w:rPr>
                <w:b/>
                <w:sz w:val="20"/>
                <w:szCs w:val="20"/>
              </w:rPr>
            </w:pPr>
            <w:r>
              <w:rPr>
                <w:b/>
                <w:sz w:val="20"/>
                <w:szCs w:val="20"/>
              </w:rPr>
              <w:t>X</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jc w:val="left"/>
              <w:rPr>
                <w:sz w:val="20"/>
                <w:szCs w:val="20"/>
              </w:rPr>
            </w:pPr>
            <w:r>
              <w:rPr>
                <w:sz w:val="20"/>
                <w:szCs w:val="20"/>
              </w:rPr>
              <w:t>Stanje svijesti pojedinaca, pripadnika ranjivih skupina, upravljačkih i odgovornih tijela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jc w:val="center"/>
              <w:rPr>
                <w:b/>
                <w:sz w:val="20"/>
                <w:szCs w:val="20"/>
              </w:rPr>
            </w:pPr>
            <w:r>
              <w:rPr>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jc w:val="left"/>
              <w:rPr>
                <w:sz w:val="20"/>
                <w:szCs w:val="20"/>
              </w:rPr>
            </w:pPr>
            <w:r>
              <w:rPr>
                <w:sz w:val="20"/>
                <w:szCs w:val="20"/>
              </w:rPr>
              <w:t xml:space="preserve">Ocjena stanja prostornog planiranja, izrade </w:t>
            </w:r>
            <w:r>
              <w:rPr>
                <w:sz w:val="20"/>
                <w:szCs w:val="20"/>
              </w:rPr>
              <w:t>prostornih i urbanističkih planova razvoja, planskog korištenja zemljišta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jc w:val="center"/>
              <w:rPr>
                <w:b/>
                <w:sz w:val="20"/>
                <w:szCs w:val="20"/>
              </w:rPr>
            </w:pPr>
            <w:r>
              <w:rPr>
                <w:b/>
                <w:sz w:val="20"/>
                <w:szCs w:val="20"/>
              </w:rPr>
              <w:t>X</w:t>
            </w: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jc w:val="left"/>
              <w:rPr>
                <w:sz w:val="20"/>
                <w:szCs w:val="20"/>
              </w:rPr>
            </w:pPr>
            <w:r>
              <w:rPr>
                <w:sz w:val="20"/>
                <w:szCs w:val="20"/>
              </w:rPr>
              <w:t>Ocjena fiskalne situacije i njezine perspektive</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jc w:val="center"/>
              <w:rPr>
                <w:b/>
                <w:sz w:val="20"/>
                <w:szCs w:val="20"/>
              </w:rPr>
            </w:pPr>
            <w:r>
              <w:rPr>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rPr>
                <w:sz w:val="20"/>
                <w:szCs w:val="20"/>
              </w:rPr>
            </w:pPr>
            <w:r>
              <w:rPr>
                <w:sz w:val="20"/>
                <w:szCs w:val="20"/>
              </w:rPr>
              <w:t>Baze podataka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jc w:val="center"/>
              <w:rPr>
                <w:b/>
                <w:sz w:val="20"/>
                <w:szCs w:val="20"/>
              </w:rPr>
            </w:pPr>
            <w:r>
              <w:rPr>
                <w:b/>
                <w:sz w:val="20"/>
                <w:szCs w:val="20"/>
              </w:rPr>
              <w:t>X</w:t>
            </w: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rPr>
                <w:b/>
                <w:sz w:val="20"/>
                <w:szCs w:val="20"/>
              </w:rPr>
            </w:pPr>
            <w:r>
              <w:rPr>
                <w:b/>
                <w:sz w:val="20"/>
                <w:szCs w:val="20"/>
              </w:rPr>
              <w:t>Područje preventive - ZBIRNO</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jc w:val="center"/>
              <w:rPr>
                <w:b/>
                <w:sz w:val="20"/>
                <w:szCs w:val="20"/>
              </w:rPr>
            </w:pPr>
            <w:r>
              <w:rPr>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jc w:val="center"/>
              <w:rPr>
                <w:b/>
                <w:sz w:val="20"/>
                <w:szCs w:val="20"/>
              </w:rPr>
            </w:pPr>
          </w:p>
        </w:tc>
      </w:tr>
    </w:tbl>
    <w:p w:rsidR="008F0D85" w:rsidRDefault="00AE42A1">
      <w:pPr>
        <w:pStyle w:val="Naslov2"/>
      </w:pPr>
      <w:bookmarkStart w:id="1108" w:name="_Toc513643685"/>
      <w:bookmarkStart w:id="1109" w:name="_Toc514240269"/>
      <w:bookmarkStart w:id="1110" w:name="_Toc516128357"/>
      <w:bookmarkStart w:id="1111" w:name="_Toc527969467"/>
      <w:bookmarkStart w:id="1112" w:name="_Hlk5110263741"/>
      <w:bookmarkEnd w:id="1108"/>
      <w:bookmarkEnd w:id="1109"/>
      <w:bookmarkEnd w:id="1110"/>
      <w:bookmarkEnd w:id="1111"/>
      <w:bookmarkEnd w:id="1112"/>
      <w:r>
        <w:t>8.2. Analiza na području reagiranja</w:t>
      </w:r>
    </w:p>
    <w:p w:rsidR="008F0D85" w:rsidRDefault="00AE42A1">
      <w:pPr>
        <w:pStyle w:val="Naslov3"/>
      </w:pPr>
      <w:bookmarkStart w:id="1113" w:name="_Toc513643686"/>
      <w:bookmarkStart w:id="1114" w:name="_Toc514240270"/>
      <w:bookmarkStart w:id="1115" w:name="_Toc516128358"/>
      <w:bookmarkStart w:id="1116" w:name="_Toc527969468"/>
      <w:bookmarkEnd w:id="1113"/>
      <w:bookmarkEnd w:id="1114"/>
      <w:bookmarkEnd w:id="1115"/>
      <w:bookmarkEnd w:id="1116"/>
      <w:r>
        <w:t xml:space="preserve">8.2.1. Spremnost </w:t>
      </w:r>
      <w:r>
        <w:t>odgovornih i upravljačkih kapaciteta Općine</w:t>
      </w:r>
    </w:p>
    <w:p w:rsidR="008F0D85" w:rsidRDefault="008F0D85">
      <w:pPr>
        <w:rPr>
          <w:lang w:eastAsia="hr-HR"/>
        </w:rPr>
      </w:pPr>
    </w:p>
    <w:p w:rsidR="008F0D85" w:rsidRDefault="00AE42A1">
      <w:pPr>
        <w:spacing w:after="0"/>
      </w:pPr>
      <w:r>
        <w:t>Procjena spremnosti sustava civilne zaštite na temelju spremnosti odgovornih i upravljačkih kapaciteta sustava civilne zaštite provedena je analizom podataka o razini odgovornosti, osposobljenosti i uvježbanosti</w:t>
      </w:r>
      <w:r>
        <w:t xml:space="preserve">: </w:t>
      </w:r>
    </w:p>
    <w:p w:rsidR="008F0D85" w:rsidRDefault="00AE42A1">
      <w:pPr>
        <w:numPr>
          <w:ilvl w:val="0"/>
          <w:numId w:val="85"/>
        </w:numPr>
        <w:spacing w:after="0"/>
        <w:ind w:hanging="294"/>
      </w:pPr>
      <w:r>
        <w:lastRenderedPageBreak/>
        <w:t xml:space="preserve">svih čelnih osoba Općine za provođenje zakonom utvrđenih operativnih obveza u fazi reagiranja sustava civilne zaštite na razinama njihove odgovornosti, </w:t>
      </w:r>
    </w:p>
    <w:p w:rsidR="008F0D85" w:rsidRDefault="00AE42A1">
      <w:pPr>
        <w:numPr>
          <w:ilvl w:val="0"/>
          <w:numId w:val="85"/>
        </w:numPr>
        <w:spacing w:after="0"/>
        <w:ind w:hanging="294"/>
      </w:pPr>
      <w:r>
        <w:t xml:space="preserve">spremnosti Stožera civilne zaštite Općine, </w:t>
      </w:r>
    </w:p>
    <w:p w:rsidR="008F0D85" w:rsidRDefault="00AE42A1">
      <w:pPr>
        <w:numPr>
          <w:ilvl w:val="0"/>
          <w:numId w:val="85"/>
        </w:numPr>
        <w:spacing w:after="0"/>
        <w:ind w:hanging="294"/>
      </w:pPr>
      <w:r>
        <w:t>spremnosti koordinatora na mjestu izvanrednog događaja.</w:t>
      </w:r>
    </w:p>
    <w:p w:rsidR="008F0D85" w:rsidRDefault="008F0D85">
      <w:pPr>
        <w:spacing w:after="0"/>
      </w:pPr>
    </w:p>
    <w:p w:rsidR="008F0D85" w:rsidRDefault="00AE42A1">
      <w:pPr>
        <w:spacing w:after="0"/>
      </w:pPr>
      <w:r>
        <w:t>Odgovornost je mjerljiva kroz analizu provedbe formalnih obaveza propisanih Zakonom o sustavu civilne zaštite i provedbenih propisa, osobito izrade i usvajanja procjena, planova o drugih dokumenata na području civilne zaštite, stanja svijesti tih sposobno</w:t>
      </w:r>
      <w:r>
        <w:t>sti sustava te analize rezultata njihovog rada/doprinosa u provođenju mjera i aktivnosti sustava civilne zaštite na njihovim razinama u stvarnim situacijama.</w:t>
      </w:r>
    </w:p>
    <w:p w:rsidR="008F0D85" w:rsidRDefault="00AE42A1">
      <w:pPr>
        <w:spacing w:after="0"/>
      </w:pPr>
      <w:r>
        <w:t>Osposobljenost se procjenjuje na temelju podataka o polaženju formalnih programa neformalnog obraz</w:t>
      </w:r>
      <w:r>
        <w:t xml:space="preserve">ovanja za izvršavanja zakonskih obaveza u sustavu civilne zaštite te njihovog stvarnog rada u realnim situacijama. </w:t>
      </w:r>
    </w:p>
    <w:p w:rsidR="008F0D85" w:rsidRDefault="00AE42A1">
      <w:pPr>
        <w:spacing w:after="0"/>
      </w:pPr>
      <w:bookmarkStart w:id="1117" w:name="_Hlk511027921"/>
      <w:bookmarkEnd w:id="1117"/>
      <w:r>
        <w:t>Uvježbanost se procjenjuje na temelju podataka o sudjelovanju u organizaciji i provođenju svih vrsta vježbi civilne zaštite u određenim vrem</w:t>
      </w:r>
      <w:r>
        <w:t xml:space="preserve">enskim razdobljima. </w:t>
      </w:r>
    </w:p>
    <w:p w:rsidR="008F0D85" w:rsidRDefault="008F0D85">
      <w:pPr>
        <w:rPr>
          <w:lang w:eastAsia="hr-HR"/>
        </w:rPr>
      </w:pPr>
    </w:p>
    <w:p w:rsidR="008F0D85" w:rsidRDefault="00AE42A1">
      <w:pPr>
        <w:numPr>
          <w:ilvl w:val="0"/>
          <w:numId w:val="79"/>
        </w:numPr>
        <w:contextualSpacing/>
        <w:rPr>
          <w:szCs w:val="24"/>
          <w:lang w:val="en-US" w:eastAsia="hr-HR"/>
        </w:rPr>
      </w:pPr>
      <w:bookmarkStart w:id="1118" w:name="_Hlk511027934"/>
      <w:bookmarkEnd w:id="1118"/>
      <w:r>
        <w:rPr>
          <w:b/>
          <w:szCs w:val="24"/>
          <w:lang w:val="en-US" w:eastAsia="hr-HR"/>
        </w:rPr>
        <w:t>Čelne osobe:</w:t>
      </w:r>
      <w:r>
        <w:rPr>
          <w:szCs w:val="24"/>
          <w:lang w:val="en-US" w:eastAsia="hr-HR"/>
        </w:rPr>
        <w:t xml:space="preserve"> </w:t>
      </w:r>
      <w:r>
        <w:rPr>
          <w:rFonts w:cs="Arial"/>
          <w:szCs w:val="24"/>
          <w:shd w:val="clear" w:color="auto" w:fill="FFFFFF"/>
          <w:lang w:val="en-US"/>
        </w:rPr>
        <w:t>načelnik Općine osposobljen je za obavljanje poslova civilne zaštite, sukladno Zakonu o sustavu civilne zaštite, prema programu osposobljavanja koje provodi Državna uprava.</w:t>
      </w:r>
    </w:p>
    <w:p w:rsidR="008F0D85" w:rsidRDefault="008F0D85">
      <w:pPr>
        <w:ind w:left="720"/>
        <w:contextualSpacing/>
        <w:rPr>
          <w:szCs w:val="24"/>
          <w:lang w:val="en-US" w:eastAsia="hr-HR"/>
        </w:rPr>
      </w:pPr>
    </w:p>
    <w:p w:rsidR="008F0D85" w:rsidRDefault="00AE42A1">
      <w:pPr>
        <w:spacing w:after="0" w:line="360" w:lineRule="auto"/>
        <w:jc w:val="center"/>
        <w:rPr>
          <w:rFonts w:cs="Arial"/>
          <w:b/>
          <w:bCs/>
          <w:sz w:val="20"/>
          <w:szCs w:val="20"/>
          <w:lang w:eastAsia="hr-HR"/>
        </w:rPr>
      </w:pPr>
      <w:bookmarkStart w:id="1119" w:name="_Hlk5110279341"/>
      <w:bookmarkStart w:id="1120" w:name="_Toc513643759"/>
      <w:bookmarkStart w:id="1121" w:name="_Toc514240367"/>
      <w:bookmarkStart w:id="1122" w:name="_Toc516128449"/>
      <w:bookmarkStart w:id="1123" w:name="_Toc527969552"/>
      <w:bookmarkEnd w:id="1119"/>
      <w:r>
        <w:rPr>
          <w:rFonts w:cs="Arial"/>
          <w:b/>
          <w:bCs/>
          <w:sz w:val="20"/>
          <w:szCs w:val="20"/>
        </w:rPr>
        <w:t xml:space="preserve">Tablica </w:t>
      </w:r>
      <w:r>
        <w:rPr>
          <w:rFonts w:cs="Arial"/>
          <w:b/>
          <w:bCs/>
          <w:sz w:val="20"/>
          <w:szCs w:val="20"/>
        </w:rPr>
        <w:fldChar w:fldCharType="begin"/>
      </w:r>
      <w:r>
        <w:instrText>SEQ Tablica \* ARABIC</w:instrText>
      </w:r>
      <w:r>
        <w:fldChar w:fldCharType="separate"/>
      </w:r>
      <w:r>
        <w:t>70</w:t>
      </w:r>
      <w:r>
        <w:fldChar w:fldCharType="end"/>
      </w:r>
      <w:bookmarkEnd w:id="1120"/>
      <w:bookmarkEnd w:id="1121"/>
      <w:bookmarkEnd w:id="1122"/>
      <w:bookmarkEnd w:id="1123"/>
      <w:r>
        <w:rPr>
          <w:rFonts w:cs="Arial"/>
          <w:b/>
          <w:bCs/>
          <w:sz w:val="20"/>
          <w:szCs w:val="20"/>
        </w:rPr>
        <w:t xml:space="preserve">: </w:t>
      </w:r>
      <w:r>
        <w:rPr>
          <w:rFonts w:cs="Arial"/>
          <w:b/>
          <w:bCs/>
          <w:sz w:val="20"/>
          <w:szCs w:val="20"/>
        </w:rPr>
        <w:t>Prikaz spremnosti kapaciteta čelnih osoba sustava civilne zaštite Općine</w:t>
      </w:r>
    </w:p>
    <w:tbl>
      <w:tblPr>
        <w:tblW w:w="9209"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2992"/>
        <w:gridCol w:w="1536"/>
        <w:gridCol w:w="1560"/>
        <w:gridCol w:w="1560"/>
        <w:gridCol w:w="1561"/>
      </w:tblGrid>
      <w:tr w:rsidR="008F0D85">
        <w:trPr>
          <w:trHeight w:val="352"/>
        </w:trPr>
        <w:tc>
          <w:tcPr>
            <w:tcW w:w="2992"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b/>
                <w:sz w:val="20"/>
                <w:szCs w:val="20"/>
              </w:rPr>
              <w:t>PODRUČJE REAGIRANJA</w:t>
            </w: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Visoka spremnost</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visoka spremnost</w:t>
            </w:r>
          </w:p>
        </w:tc>
      </w:tr>
      <w:tr w:rsidR="008F0D85">
        <w:trPr>
          <w:trHeight w:val="278"/>
        </w:trPr>
        <w:tc>
          <w:tcPr>
            <w:tcW w:w="2992"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rPr>
                <w:rFonts w:cs="Calibri"/>
                <w:b/>
                <w:sz w:val="20"/>
                <w:szCs w:val="20"/>
              </w:rPr>
            </w:pP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4</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3</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2</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1</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sz w:val="20"/>
                <w:szCs w:val="20"/>
              </w:rPr>
            </w:pPr>
            <w:r>
              <w:rPr>
                <w:rFonts w:cs="Calibri"/>
                <w:sz w:val="20"/>
                <w:szCs w:val="20"/>
              </w:rPr>
              <w:t>Odgovornost.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sz w:val="20"/>
                <w:szCs w:val="20"/>
              </w:rPr>
            </w:pPr>
            <w:r>
              <w:rPr>
                <w:rFonts w:cs="Calibri"/>
                <w:sz w:val="20"/>
                <w:szCs w:val="20"/>
              </w:rPr>
              <w:t>Osposobljenost.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sz w:val="20"/>
                <w:szCs w:val="20"/>
              </w:rPr>
            </w:pPr>
            <w:r>
              <w:rPr>
                <w:rFonts w:cs="Calibri"/>
                <w:sz w:val="20"/>
                <w:szCs w:val="20"/>
              </w:rPr>
              <w:t>Uvježbanost.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b/>
                <w:sz w:val="20"/>
                <w:szCs w:val="20"/>
              </w:rPr>
            </w:pPr>
            <w:r>
              <w:rPr>
                <w:rFonts w:cs="Calibri"/>
                <w:b/>
                <w:sz w:val="20"/>
                <w:szCs w:val="20"/>
              </w:rPr>
              <w:t>ZBIRNO:</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bookmarkStart w:id="1124" w:name="_Hlk511030422"/>
            <w:bookmarkEnd w:id="1124"/>
          </w:p>
        </w:tc>
      </w:tr>
    </w:tbl>
    <w:p w:rsidR="008F0D85" w:rsidRDefault="008F0D85">
      <w:pPr>
        <w:rPr>
          <w:szCs w:val="24"/>
        </w:rPr>
      </w:pPr>
    </w:p>
    <w:p w:rsidR="008F0D85" w:rsidRDefault="008F0D85">
      <w:pPr>
        <w:rPr>
          <w:szCs w:val="24"/>
        </w:rPr>
      </w:pPr>
    </w:p>
    <w:p w:rsidR="008F0D85" w:rsidRDefault="008F0D85">
      <w:pPr>
        <w:rPr>
          <w:szCs w:val="24"/>
        </w:rPr>
      </w:pPr>
    </w:p>
    <w:p w:rsidR="008F0D85" w:rsidRDefault="00AE42A1">
      <w:pPr>
        <w:numPr>
          <w:ilvl w:val="0"/>
          <w:numId w:val="86"/>
        </w:numPr>
        <w:suppressAutoHyphens/>
        <w:spacing w:after="0"/>
        <w:textAlignment w:val="baseline"/>
        <w:rPr>
          <w:rFonts w:cs="Calibri"/>
          <w:szCs w:val="24"/>
        </w:rPr>
      </w:pPr>
      <w:r>
        <w:rPr>
          <w:b/>
          <w:szCs w:val="24"/>
          <w:lang w:eastAsia="hr-HR"/>
        </w:rPr>
        <w:t xml:space="preserve">Stožer civilne zaštite: </w:t>
      </w:r>
      <w:r>
        <w:rPr>
          <w:szCs w:val="24"/>
          <w:lang w:eastAsia="hr-HR"/>
        </w:rPr>
        <w:t xml:space="preserve">Stožer civilne zaštite Općine Kloštar Podravski osnovan je Odlukom načelnika Općine (KLASA: 810-01/16-01/02, URBROJ: 2137/16-16-1, Kloštar Podravski, 26.10.2016.god.). </w:t>
      </w:r>
      <w:r>
        <w:rPr>
          <w:szCs w:val="24"/>
        </w:rPr>
        <w:t>Stožer civilne zaštite Općine sastoji se od načelnika Stožera,</w:t>
      </w:r>
      <w:r>
        <w:rPr>
          <w:szCs w:val="24"/>
        </w:rPr>
        <w:t xml:space="preserve"> zamjenika načelnika Stožera te 6 članova Stožera. </w:t>
      </w:r>
      <w:bookmarkStart w:id="1125" w:name="_Hlk511030746"/>
      <w:r>
        <w:rPr>
          <w:szCs w:val="24"/>
        </w:rPr>
        <w:t>Stožer civilne zaštite je stručno, operativno i koordinativno tijelo za provođenje mjera i aktivnosti civilne zaštite u velikim nesrećama i katastrofama. Stožer civilne zaštite je stručno, operativno i koo</w:t>
      </w:r>
      <w:r>
        <w:rPr>
          <w:szCs w:val="24"/>
        </w:rPr>
        <w:t xml:space="preserve">rdinativno tijelo za provođenje mjera i aktivnosti civilne zaštite u </w:t>
      </w:r>
      <w:r>
        <w:rPr>
          <w:szCs w:val="24"/>
        </w:rPr>
        <w:lastRenderedPageBreak/>
        <w:t>velikim nesrećama i katastrofama. Stožer civilne zaštite obavlja zadaće koje se odnose na prikupljanje i obradu informacija ranog upozoravanja o mogućnosti nastanka velike nesreće i katas</w:t>
      </w:r>
      <w:r>
        <w:rPr>
          <w:szCs w:val="24"/>
        </w:rPr>
        <w:t>trofe, razvija plan djelovanja sustava civilne zaštite na svom području, upravlja reagiranjem sustava civilne zaštite, obavlja poslove informiranja javnosti i predlaže donošenje odluke o prestanku provođenja mjera i aktivnosti u sustavu civilne zaštite. Ra</w:t>
      </w:r>
      <w:r>
        <w:rPr>
          <w:szCs w:val="24"/>
        </w:rPr>
        <w:t>dom Stožera civilne zaštite Općine rukovodi načelnik Stožera, a kada se proglasi velika nesreća, rukovođenje preuzima načelnik Općine. Stožer civilne zaštite Općine upoznat je sa Zakonom o sustavu civilne zaštite te drugim zakonskim aktima, načinom djelova</w:t>
      </w:r>
      <w:r>
        <w:rPr>
          <w:szCs w:val="24"/>
        </w:rPr>
        <w:t>nja sustava civilne zaštite, načelima sustava civilne zaštite te sl. Većina članova Stožera civilne zaštite Općine osposobljena je za provođenja mjera i aktivnosti u sustavu civilne zaštite. Temeljem članka 6. st.2 Pravilnika o mobilizaciji, uvjetima i nač</w:t>
      </w:r>
      <w:r>
        <w:rPr>
          <w:szCs w:val="24"/>
        </w:rPr>
        <w:t>inu rada operativnih snaga sustava civilne zaštite („Narodne Novine“ broj 69/16), u slučaju velike nesreće, Stožer civilne zaštite Općine može predložiti organiziranje volontera i način njihovog uključivanja u provođenje određenih mjera i aktivnosti u veli</w:t>
      </w:r>
      <w:r>
        <w:rPr>
          <w:szCs w:val="24"/>
        </w:rPr>
        <w:t xml:space="preserve">kim nesrećama i katastrofama, u suradnji sa središnjim tijelom državne uprave nadležnim za organiziranje volontera. </w:t>
      </w:r>
      <w:bookmarkEnd w:id="1125"/>
      <w:r>
        <w:rPr>
          <w:szCs w:val="24"/>
        </w:rPr>
        <w:t>Način rada Stožera uređuje se Poslovnikom koji donosi općinski načelnik (KLASA: /810-01/17-01/02, URBROJ: 2137/16-17-1, Kloštar Podravski, 1</w:t>
      </w:r>
      <w:r>
        <w:rPr>
          <w:szCs w:val="24"/>
        </w:rPr>
        <w:t xml:space="preserve">4.02.2017.god.). </w:t>
      </w:r>
      <w:bookmarkStart w:id="1126" w:name="_Hlk511030844"/>
      <w:bookmarkEnd w:id="1126"/>
      <w:r>
        <w:rPr>
          <w:szCs w:val="24"/>
          <w:lang w:eastAsia="hr-HR"/>
        </w:rPr>
        <w:t>Dio članova Stožera civilne zaštite Općine završilo je osposobljavanje, sukladno Zakonu o sustavu civilne zaštite,  koje provodi Državna uprava prema programu osposobljavanja članova stožera civilne zaštite koji donosi čelnik Državne uprav</w:t>
      </w:r>
      <w:r>
        <w:rPr>
          <w:szCs w:val="24"/>
          <w:lang w:eastAsia="hr-HR"/>
        </w:rPr>
        <w:t>e.</w:t>
      </w:r>
    </w:p>
    <w:p w:rsidR="008F0D85" w:rsidRDefault="008F0D85">
      <w:pPr>
        <w:suppressAutoHyphens/>
        <w:spacing w:after="0"/>
        <w:ind w:left="720"/>
        <w:textAlignment w:val="baseline"/>
        <w:rPr>
          <w:rFonts w:cs="Calibri"/>
          <w:szCs w:val="24"/>
        </w:rPr>
      </w:pPr>
    </w:p>
    <w:p w:rsidR="008F0D85" w:rsidRDefault="00AE42A1">
      <w:pPr>
        <w:spacing w:after="0" w:line="360" w:lineRule="auto"/>
        <w:jc w:val="center"/>
        <w:rPr>
          <w:rFonts w:cs="Arial"/>
          <w:b/>
          <w:bCs/>
          <w:sz w:val="20"/>
          <w:szCs w:val="20"/>
          <w:lang w:eastAsia="hr-HR"/>
        </w:rPr>
      </w:pPr>
      <w:bookmarkStart w:id="1127" w:name="_Toc513643760"/>
      <w:bookmarkStart w:id="1128" w:name="_Toc514240368"/>
      <w:bookmarkStart w:id="1129" w:name="_Toc516128450"/>
      <w:bookmarkStart w:id="1130" w:name="_Toc527969553"/>
      <w:r>
        <w:rPr>
          <w:rFonts w:cs="Arial"/>
          <w:b/>
          <w:bCs/>
          <w:sz w:val="20"/>
          <w:szCs w:val="20"/>
        </w:rPr>
        <w:t xml:space="preserve">Tablica </w:t>
      </w:r>
      <w:r>
        <w:rPr>
          <w:rFonts w:cs="Arial"/>
          <w:b/>
          <w:bCs/>
          <w:sz w:val="20"/>
          <w:szCs w:val="20"/>
        </w:rPr>
        <w:fldChar w:fldCharType="begin"/>
      </w:r>
      <w:r>
        <w:instrText>SEQ Tablica \* ARABIC</w:instrText>
      </w:r>
      <w:r>
        <w:fldChar w:fldCharType="separate"/>
      </w:r>
      <w:r>
        <w:t>71</w:t>
      </w:r>
      <w:r>
        <w:fldChar w:fldCharType="end"/>
      </w:r>
      <w:bookmarkEnd w:id="1127"/>
      <w:bookmarkEnd w:id="1128"/>
      <w:bookmarkEnd w:id="1129"/>
      <w:bookmarkEnd w:id="1130"/>
      <w:r>
        <w:rPr>
          <w:rFonts w:cs="Arial"/>
          <w:b/>
          <w:bCs/>
          <w:sz w:val="20"/>
          <w:szCs w:val="20"/>
        </w:rPr>
        <w:t>: Prikaz spremnosti kapaciteta Stožera civilne zaštite</w:t>
      </w:r>
    </w:p>
    <w:tbl>
      <w:tblPr>
        <w:tblW w:w="9209"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2992"/>
        <w:gridCol w:w="1536"/>
        <w:gridCol w:w="1560"/>
        <w:gridCol w:w="1560"/>
        <w:gridCol w:w="1561"/>
      </w:tblGrid>
      <w:tr w:rsidR="008F0D85">
        <w:trPr>
          <w:trHeight w:val="352"/>
        </w:trPr>
        <w:tc>
          <w:tcPr>
            <w:tcW w:w="2992"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b/>
                <w:sz w:val="20"/>
                <w:szCs w:val="20"/>
              </w:rPr>
              <w:t>PODRUČJE REAGIRANJA</w:t>
            </w: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Visoka spremnost</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visoka spremnost</w:t>
            </w:r>
          </w:p>
        </w:tc>
      </w:tr>
      <w:tr w:rsidR="008F0D85">
        <w:trPr>
          <w:trHeight w:val="278"/>
        </w:trPr>
        <w:tc>
          <w:tcPr>
            <w:tcW w:w="2992"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rPr>
                <w:rFonts w:cs="Calibri"/>
                <w:b/>
                <w:sz w:val="20"/>
                <w:szCs w:val="20"/>
              </w:rPr>
            </w:pP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4</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3</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2</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1</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sz w:val="20"/>
                <w:szCs w:val="20"/>
              </w:rPr>
            </w:pPr>
            <w:r>
              <w:rPr>
                <w:rFonts w:cs="Calibri"/>
                <w:sz w:val="20"/>
                <w:szCs w:val="20"/>
              </w:rPr>
              <w:t>Odgovornost.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sz w:val="20"/>
                <w:szCs w:val="20"/>
              </w:rPr>
            </w:pPr>
            <w:r>
              <w:rPr>
                <w:rFonts w:cs="Calibri"/>
                <w:sz w:val="20"/>
                <w:szCs w:val="20"/>
              </w:rPr>
              <w:t>Osposobljenost.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sz w:val="20"/>
                <w:szCs w:val="20"/>
              </w:rPr>
            </w:pPr>
            <w:r>
              <w:rPr>
                <w:rFonts w:cs="Calibri"/>
                <w:sz w:val="20"/>
                <w:szCs w:val="20"/>
              </w:rPr>
              <w:t>Uvježbanost.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b/>
                <w:sz w:val="20"/>
                <w:szCs w:val="20"/>
              </w:rPr>
            </w:pPr>
            <w:r>
              <w:rPr>
                <w:rFonts w:cs="Calibri"/>
                <w:b/>
                <w:sz w:val="20"/>
                <w:szCs w:val="20"/>
              </w:rPr>
              <w:t>ZBIRNO:</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bookmarkStart w:id="1131" w:name="_Hlk511030861"/>
            <w:bookmarkEnd w:id="1131"/>
          </w:p>
        </w:tc>
      </w:tr>
    </w:tbl>
    <w:p w:rsidR="008F0D85" w:rsidRDefault="008F0D85">
      <w:pPr>
        <w:rPr>
          <w:lang w:eastAsia="hr-HR"/>
        </w:rPr>
      </w:pPr>
    </w:p>
    <w:p w:rsidR="008F0D85" w:rsidRDefault="008F0D85">
      <w:pPr>
        <w:rPr>
          <w:lang w:eastAsia="hr-HR"/>
        </w:rPr>
      </w:pPr>
    </w:p>
    <w:p w:rsidR="008F0D85" w:rsidRDefault="00AE42A1">
      <w:pPr>
        <w:numPr>
          <w:ilvl w:val="0"/>
          <w:numId w:val="86"/>
        </w:numPr>
        <w:suppressAutoHyphens/>
        <w:spacing w:after="0"/>
        <w:textAlignment w:val="baseline"/>
      </w:pPr>
      <w:r>
        <w:rPr>
          <w:rFonts w:cs="Calibri"/>
          <w:b/>
          <w:szCs w:val="24"/>
        </w:rPr>
        <w:t>Koordinator na lokaciji:</w:t>
      </w:r>
      <w:bookmarkStart w:id="1132" w:name="_Hlk511030908"/>
      <w:bookmarkEnd w:id="1132"/>
      <w:r>
        <w:rPr>
          <w:rFonts w:cs="Calibri"/>
          <w:szCs w:val="24"/>
        </w:rPr>
        <w:t xml:space="preserve"> Sukladno specifičnostima izvanrednog događaja, načelnik Stožera civilne zaštite određuje koordinatora na lokaciji. Koordinator na lokaciji procjenjuje nastalu situaciju i njezine posljedice na terenu te u suradnji s nadležnim Stožerom civilne zaštite uskl</w:t>
      </w:r>
      <w:r>
        <w:rPr>
          <w:rFonts w:cs="Calibri"/>
          <w:szCs w:val="24"/>
        </w:rPr>
        <w:t xml:space="preserve">ađuje djelovanje operativnih snaga sustava civilne zaštite, poradi poduzimanja mjera i aktivnosti za otklanjanje posljedice izvanrednog događaja, temeljem čl. 26. st. 2. Pravilnika o mobilizaciji, uvjetima i načinu rada </w:t>
      </w:r>
      <w:r>
        <w:rPr>
          <w:rFonts w:cs="Calibri"/>
          <w:szCs w:val="24"/>
        </w:rPr>
        <w:lastRenderedPageBreak/>
        <w:t>operativnih snaga sustava civilne za</w:t>
      </w:r>
      <w:r>
        <w:rPr>
          <w:rFonts w:cs="Calibri"/>
          <w:szCs w:val="24"/>
        </w:rPr>
        <w:t>štite („Narodne Novine“ br. 69/16). Načelnik Stožera Odlukom nije imenovao koordinatore na lokaciji za svaki od rizika obrađenih u Procjeni rizika od velikih nesreća za Općinu Kloštar Podravski.</w:t>
      </w:r>
    </w:p>
    <w:p w:rsidR="008F0D85" w:rsidRDefault="008F0D85">
      <w:pPr>
        <w:suppressAutoHyphens/>
        <w:spacing w:after="0"/>
        <w:textAlignment w:val="baseline"/>
        <w:rPr>
          <w:rFonts w:cs="Calibri"/>
          <w:b/>
          <w:szCs w:val="24"/>
        </w:rPr>
      </w:pPr>
    </w:p>
    <w:p w:rsidR="008F0D85" w:rsidRDefault="00AE42A1">
      <w:pPr>
        <w:spacing w:after="0" w:line="360" w:lineRule="auto"/>
        <w:jc w:val="center"/>
        <w:rPr>
          <w:rFonts w:cs="Calibri"/>
          <w:bCs/>
          <w:sz w:val="20"/>
          <w:szCs w:val="24"/>
        </w:rPr>
      </w:pPr>
      <w:bookmarkStart w:id="1133" w:name="_Toc513643761"/>
      <w:bookmarkStart w:id="1134" w:name="_Toc514240369"/>
      <w:bookmarkStart w:id="1135" w:name="_Toc516128451"/>
      <w:bookmarkStart w:id="1136" w:name="_Toc527969554"/>
      <w:r>
        <w:rPr>
          <w:rFonts w:cs="Arial"/>
          <w:b/>
          <w:bCs/>
          <w:sz w:val="20"/>
          <w:szCs w:val="20"/>
        </w:rPr>
        <w:t xml:space="preserve">Tablica </w:t>
      </w:r>
      <w:r>
        <w:rPr>
          <w:rFonts w:cs="Arial"/>
          <w:b/>
          <w:bCs/>
          <w:sz w:val="20"/>
          <w:szCs w:val="20"/>
        </w:rPr>
        <w:fldChar w:fldCharType="begin"/>
      </w:r>
      <w:r>
        <w:instrText>SEQ Tablica \* ARABIC</w:instrText>
      </w:r>
      <w:r>
        <w:fldChar w:fldCharType="separate"/>
      </w:r>
      <w:r>
        <w:t>72</w:t>
      </w:r>
      <w:r>
        <w:fldChar w:fldCharType="end"/>
      </w:r>
      <w:bookmarkEnd w:id="1133"/>
      <w:bookmarkEnd w:id="1134"/>
      <w:bookmarkEnd w:id="1135"/>
      <w:bookmarkEnd w:id="1136"/>
      <w:r>
        <w:rPr>
          <w:rFonts w:cs="Arial"/>
          <w:b/>
          <w:bCs/>
          <w:sz w:val="20"/>
          <w:szCs w:val="20"/>
        </w:rPr>
        <w:t>: Prikaz spremnosti kapaci</w:t>
      </w:r>
      <w:r>
        <w:rPr>
          <w:rFonts w:cs="Arial"/>
          <w:b/>
          <w:bCs/>
          <w:sz w:val="20"/>
          <w:szCs w:val="20"/>
        </w:rPr>
        <w:t>teta koordinatora na lokaciji sustava civilne zaštite Općine</w:t>
      </w:r>
    </w:p>
    <w:tbl>
      <w:tblPr>
        <w:tblW w:w="9209"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2992"/>
        <w:gridCol w:w="1536"/>
        <w:gridCol w:w="1560"/>
        <w:gridCol w:w="1560"/>
        <w:gridCol w:w="1561"/>
      </w:tblGrid>
      <w:tr w:rsidR="008F0D85">
        <w:trPr>
          <w:trHeight w:val="352"/>
        </w:trPr>
        <w:tc>
          <w:tcPr>
            <w:tcW w:w="2992"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b/>
                <w:sz w:val="20"/>
                <w:szCs w:val="20"/>
              </w:rPr>
              <w:t>PODRUČJE REAGIRANJA</w:t>
            </w: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Visoka spremnost</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visoka spremnost</w:t>
            </w:r>
          </w:p>
        </w:tc>
      </w:tr>
      <w:tr w:rsidR="008F0D85">
        <w:trPr>
          <w:trHeight w:val="278"/>
        </w:trPr>
        <w:tc>
          <w:tcPr>
            <w:tcW w:w="2992"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rPr>
                <w:rFonts w:cs="Calibri"/>
                <w:b/>
                <w:sz w:val="20"/>
                <w:szCs w:val="20"/>
              </w:rPr>
            </w:pP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4</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3</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2</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1</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sz w:val="20"/>
                <w:szCs w:val="20"/>
              </w:rPr>
            </w:pPr>
            <w:r>
              <w:rPr>
                <w:rFonts w:cs="Calibri"/>
                <w:sz w:val="20"/>
                <w:szCs w:val="20"/>
              </w:rPr>
              <w:t>Odgovornost.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sz w:val="20"/>
                <w:szCs w:val="20"/>
              </w:rPr>
            </w:pPr>
            <w:r>
              <w:rPr>
                <w:rFonts w:cs="Calibri"/>
                <w:sz w:val="20"/>
                <w:szCs w:val="20"/>
              </w:rPr>
              <w:t>Osposobljenost.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sz w:val="20"/>
                <w:szCs w:val="20"/>
              </w:rPr>
            </w:pPr>
            <w:r>
              <w:rPr>
                <w:rFonts w:cs="Calibri"/>
                <w:sz w:val="20"/>
                <w:szCs w:val="20"/>
              </w:rPr>
              <w:t>Uvježbanost.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b/>
                <w:sz w:val="20"/>
                <w:szCs w:val="20"/>
              </w:rPr>
            </w:pPr>
            <w:r>
              <w:rPr>
                <w:rFonts w:cs="Calibri"/>
                <w:b/>
                <w:sz w:val="20"/>
                <w:szCs w:val="20"/>
              </w:rPr>
              <w:t>ZBIRNO:</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bookmarkStart w:id="1137" w:name="_Hlk511030929"/>
            <w:bookmarkEnd w:id="1137"/>
          </w:p>
        </w:tc>
      </w:tr>
    </w:tbl>
    <w:p w:rsidR="008F0D85" w:rsidRDefault="008F0D85">
      <w:pPr>
        <w:rPr>
          <w:lang w:eastAsia="hr-HR"/>
        </w:rPr>
      </w:pPr>
    </w:p>
    <w:p w:rsidR="008F0D85" w:rsidRDefault="00AE42A1">
      <w:pPr>
        <w:pStyle w:val="Naslov3"/>
      </w:pPr>
      <w:bookmarkStart w:id="1138" w:name="_Toc513643687"/>
      <w:bookmarkStart w:id="1139" w:name="_Toc514240271"/>
      <w:bookmarkStart w:id="1140" w:name="_Toc516128359"/>
      <w:bookmarkStart w:id="1141" w:name="_Toc527969469"/>
      <w:bookmarkEnd w:id="1138"/>
      <w:bookmarkEnd w:id="1139"/>
      <w:bookmarkEnd w:id="1140"/>
      <w:bookmarkEnd w:id="1141"/>
      <w:r>
        <w:t xml:space="preserve">8.2.2. </w:t>
      </w:r>
      <w:r>
        <w:t>Spremnost operativnih kapaciteta Općine</w:t>
      </w:r>
    </w:p>
    <w:p w:rsidR="008F0D85" w:rsidRDefault="008F0D85">
      <w:pPr>
        <w:suppressAutoHyphens/>
        <w:spacing w:after="0"/>
        <w:textAlignment w:val="baseline"/>
      </w:pPr>
    </w:p>
    <w:p w:rsidR="008F0D85" w:rsidRDefault="00AE42A1">
      <w:pPr>
        <w:spacing w:after="0"/>
      </w:pPr>
      <w:r>
        <w:t>Procjena spremnosti sustava civilne zaštite provodi se na temelju spremnosti operativnih kapaciteta sustava civilne zaštite za provođenje svih mjera i aktivnosti sustava civilne zaštite. Spremnost operativnih kapaci</w:t>
      </w:r>
      <w:r>
        <w:t>teta analizirana je po sljedećim parametrima:</w:t>
      </w:r>
    </w:p>
    <w:p w:rsidR="008F0D85" w:rsidRDefault="00AE42A1">
      <w:pPr>
        <w:numPr>
          <w:ilvl w:val="0"/>
          <w:numId w:val="85"/>
        </w:numPr>
        <w:spacing w:after="0"/>
        <w:ind w:hanging="294"/>
      </w:pPr>
      <w:r>
        <w:t>osposobljenosti ljudstva i zapovjednog osoblja,</w:t>
      </w:r>
    </w:p>
    <w:p w:rsidR="008F0D85" w:rsidRDefault="00AE42A1">
      <w:pPr>
        <w:numPr>
          <w:ilvl w:val="0"/>
          <w:numId w:val="85"/>
        </w:numPr>
        <w:spacing w:after="0"/>
        <w:ind w:hanging="294"/>
      </w:pPr>
      <w:r>
        <w:t>uvježbanosti,</w:t>
      </w:r>
    </w:p>
    <w:p w:rsidR="008F0D85" w:rsidRDefault="00AE42A1">
      <w:pPr>
        <w:numPr>
          <w:ilvl w:val="0"/>
          <w:numId w:val="85"/>
        </w:numPr>
        <w:spacing w:after="0"/>
        <w:ind w:hanging="294"/>
      </w:pPr>
      <w:r>
        <w:t>opremljenosti materijalnim sredstvima i opremom,</w:t>
      </w:r>
    </w:p>
    <w:p w:rsidR="008F0D85" w:rsidRDefault="00AE42A1">
      <w:pPr>
        <w:numPr>
          <w:ilvl w:val="0"/>
          <w:numId w:val="85"/>
        </w:numPr>
        <w:spacing w:after="0"/>
        <w:ind w:hanging="294"/>
      </w:pPr>
      <w:r>
        <w:t>vremenu mobilizacijske spremnosti/operativne gotovosti,</w:t>
      </w:r>
    </w:p>
    <w:p w:rsidR="008F0D85" w:rsidRDefault="00AE42A1">
      <w:pPr>
        <w:numPr>
          <w:ilvl w:val="0"/>
          <w:numId w:val="85"/>
        </w:numPr>
        <w:spacing w:after="0"/>
        <w:ind w:hanging="294"/>
      </w:pPr>
      <w:r>
        <w:t>samodostatnosti i logističkoj potpori.</w:t>
      </w:r>
    </w:p>
    <w:p w:rsidR="008F0D85" w:rsidRDefault="008F0D85">
      <w:pPr>
        <w:spacing w:after="0"/>
      </w:pPr>
    </w:p>
    <w:p w:rsidR="008F0D85" w:rsidRDefault="008F0D85">
      <w:pPr>
        <w:spacing w:after="0"/>
      </w:pPr>
    </w:p>
    <w:p w:rsidR="008F0D85" w:rsidRDefault="008F0D85">
      <w:pPr>
        <w:spacing w:after="0"/>
      </w:pPr>
    </w:p>
    <w:p w:rsidR="008F0D85" w:rsidRDefault="008F0D85">
      <w:pPr>
        <w:spacing w:after="0"/>
      </w:pPr>
    </w:p>
    <w:p w:rsidR="008F0D85" w:rsidRDefault="008F0D85">
      <w:pPr>
        <w:spacing w:after="0"/>
      </w:pPr>
    </w:p>
    <w:p w:rsidR="008F0D85" w:rsidRDefault="008F0D85">
      <w:pPr>
        <w:spacing w:after="0"/>
      </w:pPr>
    </w:p>
    <w:p w:rsidR="008F0D85" w:rsidRDefault="008F0D85">
      <w:pPr>
        <w:spacing w:after="0"/>
      </w:pPr>
    </w:p>
    <w:p w:rsidR="008F0D85" w:rsidRDefault="008F0D85">
      <w:pPr>
        <w:spacing w:after="0"/>
      </w:pPr>
    </w:p>
    <w:p w:rsidR="008F0D85" w:rsidRDefault="008F0D85">
      <w:pPr>
        <w:spacing w:after="0"/>
      </w:pPr>
    </w:p>
    <w:p w:rsidR="008F0D85" w:rsidRDefault="008F0D85">
      <w:pPr>
        <w:spacing w:after="0"/>
      </w:pPr>
    </w:p>
    <w:p w:rsidR="008F0D85" w:rsidRDefault="00AE42A1">
      <w:pPr>
        <w:pStyle w:val="Odlomakpopisa"/>
        <w:numPr>
          <w:ilvl w:val="0"/>
          <w:numId w:val="86"/>
        </w:numPr>
        <w:spacing w:after="0"/>
        <w:jc w:val="both"/>
        <w:rPr>
          <w:rFonts w:cs="Calibri"/>
          <w:b/>
          <w:sz w:val="24"/>
          <w:szCs w:val="24"/>
        </w:rPr>
      </w:pPr>
      <w:r>
        <w:rPr>
          <w:rFonts w:cs="Calibri"/>
          <w:b/>
          <w:sz w:val="24"/>
          <w:szCs w:val="24"/>
        </w:rPr>
        <w:t xml:space="preserve">Operativne snage vatrogastva: </w:t>
      </w:r>
      <w:r>
        <w:rPr>
          <w:rFonts w:cs="Calibri"/>
          <w:sz w:val="24"/>
          <w:szCs w:val="24"/>
        </w:rPr>
        <w:t>Na području Općine nema profesionalne vatrogasne postrojbe, Općina ima ugovor s JVP Đurđevac o pružanju usluga na području Općine. Na području Općine djeluje Dobrovoljno vatrogasno društvo Kloštar Podravski, Dobrovoljno</w:t>
      </w:r>
      <w:r>
        <w:rPr>
          <w:rFonts w:cs="Calibri"/>
          <w:sz w:val="24"/>
          <w:szCs w:val="24"/>
        </w:rPr>
        <w:t xml:space="preserve"> vatrogasno društvo Kozarevac i Dobrovoljno vatrogasno društvo Prugovac. Navedeni DVD-i čine Vatrogasnu zajednicu Općine Kloštar Podravski te operativno pokrivaju područje Općine. </w:t>
      </w:r>
    </w:p>
    <w:p w:rsidR="008F0D85" w:rsidRDefault="008F0D85">
      <w:pPr>
        <w:spacing w:after="0"/>
        <w:jc w:val="center"/>
        <w:rPr>
          <w:b/>
          <w:szCs w:val="24"/>
        </w:rPr>
      </w:pPr>
    </w:p>
    <w:p w:rsidR="008F0D85" w:rsidRDefault="00AE42A1">
      <w:pPr>
        <w:pStyle w:val="Opisslike"/>
        <w:jc w:val="center"/>
        <w:rPr>
          <w:b w:val="0"/>
          <w:szCs w:val="24"/>
        </w:rPr>
      </w:pPr>
      <w:bookmarkStart w:id="1142" w:name="_Toc527969555"/>
      <w:r>
        <w:lastRenderedPageBreak/>
        <w:t xml:space="preserve">Tablica </w:t>
      </w:r>
      <w:r>
        <w:fldChar w:fldCharType="begin"/>
      </w:r>
      <w:r>
        <w:instrText>SEQ Tablica \* ARABIC</w:instrText>
      </w:r>
      <w:r>
        <w:fldChar w:fldCharType="separate"/>
      </w:r>
      <w:r>
        <w:t>73</w:t>
      </w:r>
      <w:r>
        <w:fldChar w:fldCharType="end"/>
      </w:r>
      <w:bookmarkEnd w:id="1142"/>
      <w:r>
        <w:t>: Prikaz opreme i članstva operativnih s</w:t>
      </w:r>
      <w:r>
        <w:t>naga vatrogastva na području Općine</w:t>
      </w:r>
    </w:p>
    <w:tbl>
      <w:tblPr>
        <w:tblW w:w="8142" w:type="dxa"/>
        <w:tblInd w:w="46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93" w:type="dxa"/>
        </w:tblCellMar>
        <w:tblLook w:val="00A0" w:firstRow="1" w:lastRow="0" w:firstColumn="1" w:lastColumn="0" w:noHBand="0" w:noVBand="0"/>
      </w:tblPr>
      <w:tblGrid>
        <w:gridCol w:w="2547"/>
        <w:gridCol w:w="1849"/>
        <w:gridCol w:w="1850"/>
        <w:gridCol w:w="1896"/>
      </w:tblGrid>
      <w:tr w:rsidR="008F0D85">
        <w:tc>
          <w:tcPr>
            <w:tcW w:w="2546" w:type="dxa"/>
            <w:tcBorders>
              <w:top w:val="single" w:sz="4" w:space="0" w:color="000001"/>
              <w:left w:val="single" w:sz="4" w:space="0" w:color="000001"/>
              <w:bottom w:val="single" w:sz="4" w:space="0" w:color="000001"/>
              <w:right w:val="single" w:sz="4" w:space="0" w:color="000001"/>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Vatrogasno društvo</w:t>
            </w:r>
          </w:p>
        </w:tc>
        <w:tc>
          <w:tcPr>
            <w:tcW w:w="1849" w:type="dxa"/>
            <w:tcBorders>
              <w:top w:val="single" w:sz="4" w:space="0" w:color="000001"/>
              <w:left w:val="single" w:sz="4" w:space="0" w:color="000001"/>
              <w:bottom w:val="single" w:sz="4" w:space="0" w:color="000001"/>
              <w:right w:val="single" w:sz="4" w:space="0" w:color="000001"/>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Ukupan broj vatrogasaca</w:t>
            </w:r>
          </w:p>
        </w:tc>
        <w:tc>
          <w:tcPr>
            <w:tcW w:w="1850" w:type="dxa"/>
            <w:tcBorders>
              <w:top w:val="single" w:sz="4" w:space="0" w:color="000001"/>
              <w:left w:val="single" w:sz="4" w:space="0" w:color="000001"/>
              <w:bottom w:val="single" w:sz="4" w:space="0" w:color="000001"/>
              <w:right w:val="single" w:sz="4" w:space="0" w:color="000001"/>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Broj operativnih vatrogasaca</w:t>
            </w:r>
          </w:p>
        </w:tc>
        <w:tc>
          <w:tcPr>
            <w:tcW w:w="1896" w:type="dxa"/>
            <w:tcBorders>
              <w:top w:val="single" w:sz="4" w:space="0" w:color="000001"/>
              <w:left w:val="single" w:sz="4" w:space="0" w:color="000001"/>
              <w:bottom w:val="single" w:sz="4" w:space="0" w:color="000001"/>
              <w:right w:val="single" w:sz="4" w:space="0" w:color="000001"/>
            </w:tcBorders>
            <w:shd w:val="clear" w:color="auto" w:fill="F2F2F2"/>
            <w:tcMar>
              <w:left w:w="93" w:type="dxa"/>
            </w:tcMar>
          </w:tcPr>
          <w:p w:rsidR="008F0D85" w:rsidRDefault="00AE42A1">
            <w:pPr>
              <w:spacing w:after="0" w:line="240" w:lineRule="auto"/>
              <w:jc w:val="center"/>
              <w:rPr>
                <w:rFonts w:cs="Calibri"/>
                <w:b/>
                <w:sz w:val="20"/>
                <w:szCs w:val="20"/>
              </w:rPr>
            </w:pPr>
            <w:r>
              <w:rPr>
                <w:rFonts w:cs="Calibri"/>
                <w:b/>
                <w:sz w:val="20"/>
                <w:szCs w:val="20"/>
              </w:rPr>
              <w:t>MTS</w:t>
            </w:r>
          </w:p>
        </w:tc>
      </w:tr>
      <w:tr w:rsidR="008F0D85">
        <w:tc>
          <w:tcPr>
            <w:tcW w:w="2546"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DVD Kloštar Podravski</w:t>
            </w:r>
          </w:p>
        </w:tc>
        <w:tc>
          <w:tcPr>
            <w:tcW w:w="1849"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53</w:t>
            </w:r>
          </w:p>
        </w:tc>
        <w:tc>
          <w:tcPr>
            <w:tcW w:w="1850"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10</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-autocisterna,</w:t>
            </w:r>
          </w:p>
          <w:p w:rsidR="008F0D85" w:rsidRDefault="00AE42A1">
            <w:pPr>
              <w:spacing w:after="0" w:line="240" w:lineRule="auto"/>
              <w:jc w:val="left"/>
              <w:rPr>
                <w:rFonts w:cs="Calibri"/>
                <w:sz w:val="20"/>
                <w:szCs w:val="20"/>
              </w:rPr>
            </w:pPr>
            <w:r>
              <w:rPr>
                <w:rFonts w:cs="Calibri"/>
                <w:sz w:val="20"/>
                <w:szCs w:val="20"/>
              </w:rPr>
              <w:t>-terensko vozilo,</w:t>
            </w:r>
          </w:p>
          <w:p w:rsidR="008F0D85" w:rsidRDefault="00AE42A1">
            <w:pPr>
              <w:spacing w:after="0" w:line="240" w:lineRule="auto"/>
              <w:jc w:val="left"/>
              <w:rPr>
                <w:rFonts w:cs="Calibri"/>
                <w:sz w:val="20"/>
                <w:szCs w:val="20"/>
              </w:rPr>
            </w:pPr>
            <w:r>
              <w:rPr>
                <w:rFonts w:cs="Calibri"/>
                <w:sz w:val="20"/>
                <w:szCs w:val="20"/>
              </w:rPr>
              <w:t>-kombi vozilo,</w:t>
            </w:r>
          </w:p>
        </w:tc>
      </w:tr>
      <w:tr w:rsidR="008F0D85">
        <w:tc>
          <w:tcPr>
            <w:tcW w:w="2546"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DVD Kozarevac</w:t>
            </w:r>
          </w:p>
        </w:tc>
        <w:tc>
          <w:tcPr>
            <w:tcW w:w="1849"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54</w:t>
            </w:r>
          </w:p>
        </w:tc>
        <w:tc>
          <w:tcPr>
            <w:tcW w:w="1850"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-autocisterna (4500 l),</w:t>
            </w:r>
          </w:p>
          <w:p w:rsidR="008F0D85" w:rsidRDefault="00AE42A1">
            <w:pPr>
              <w:spacing w:after="0" w:line="240" w:lineRule="auto"/>
              <w:jc w:val="left"/>
              <w:rPr>
                <w:rFonts w:cs="Calibri"/>
                <w:sz w:val="20"/>
                <w:szCs w:val="20"/>
              </w:rPr>
            </w:pPr>
            <w:r>
              <w:rPr>
                <w:rFonts w:cs="Calibri"/>
                <w:sz w:val="20"/>
                <w:szCs w:val="20"/>
              </w:rPr>
              <w:t xml:space="preserve">-traktorska </w:t>
            </w:r>
            <w:r>
              <w:rPr>
                <w:rFonts w:cs="Calibri"/>
                <w:sz w:val="20"/>
                <w:szCs w:val="20"/>
              </w:rPr>
              <w:t>cisterna (3000 l)</w:t>
            </w:r>
          </w:p>
        </w:tc>
      </w:tr>
      <w:tr w:rsidR="008F0D85">
        <w:tc>
          <w:tcPr>
            <w:tcW w:w="2546"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DVD Prugovac</w:t>
            </w:r>
          </w:p>
        </w:tc>
        <w:tc>
          <w:tcPr>
            <w:tcW w:w="1849"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24</w:t>
            </w:r>
          </w:p>
        </w:tc>
        <w:tc>
          <w:tcPr>
            <w:tcW w:w="1850"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spacing w:after="0" w:line="240" w:lineRule="auto"/>
              <w:jc w:val="center"/>
              <w:rPr>
                <w:rFonts w:cs="Calibri"/>
                <w:sz w:val="20"/>
                <w:szCs w:val="20"/>
              </w:rPr>
            </w:pPr>
            <w:r>
              <w:rPr>
                <w:rFonts w:cs="Calibri"/>
                <w:sz w:val="20"/>
                <w:szCs w:val="20"/>
              </w:rPr>
              <w:t>5</w:t>
            </w:r>
          </w:p>
        </w:tc>
        <w:tc>
          <w:tcPr>
            <w:tcW w:w="1896" w:type="dxa"/>
            <w:tcBorders>
              <w:top w:val="single" w:sz="4" w:space="0" w:color="000001"/>
              <w:left w:val="single" w:sz="4" w:space="0" w:color="000001"/>
              <w:bottom w:val="single" w:sz="4" w:space="0" w:color="000001"/>
              <w:right w:val="single" w:sz="4" w:space="0" w:color="000001"/>
            </w:tcBorders>
            <w:shd w:val="clear" w:color="auto" w:fill="auto"/>
            <w:tcMar>
              <w:left w:w="93" w:type="dxa"/>
            </w:tcMar>
          </w:tcPr>
          <w:p w:rsidR="008F0D85" w:rsidRDefault="00AE42A1">
            <w:pPr>
              <w:spacing w:after="0" w:line="240" w:lineRule="auto"/>
              <w:jc w:val="left"/>
              <w:rPr>
                <w:rFonts w:cs="Calibri"/>
                <w:sz w:val="20"/>
                <w:szCs w:val="20"/>
              </w:rPr>
            </w:pPr>
            <w:r>
              <w:rPr>
                <w:rFonts w:cs="Calibri"/>
                <w:sz w:val="20"/>
                <w:szCs w:val="20"/>
              </w:rPr>
              <w:t>-autocisterna(8000 l),</w:t>
            </w:r>
          </w:p>
          <w:p w:rsidR="008F0D85" w:rsidRDefault="00AE42A1">
            <w:pPr>
              <w:spacing w:after="0" w:line="240" w:lineRule="auto"/>
              <w:jc w:val="left"/>
              <w:rPr>
                <w:rFonts w:cs="Calibri"/>
                <w:sz w:val="20"/>
                <w:szCs w:val="20"/>
              </w:rPr>
            </w:pPr>
            <w:r>
              <w:rPr>
                <w:rFonts w:cs="Calibri"/>
                <w:sz w:val="20"/>
                <w:szCs w:val="20"/>
              </w:rPr>
              <w:t>-traktorska cisterna (3000 l)</w:t>
            </w:r>
          </w:p>
        </w:tc>
      </w:tr>
    </w:tbl>
    <w:p w:rsidR="008F0D85" w:rsidRDefault="008F0D85">
      <w:pPr>
        <w:spacing w:after="0"/>
        <w:jc w:val="center"/>
        <w:rPr>
          <w:b/>
          <w:szCs w:val="24"/>
        </w:rPr>
      </w:pPr>
    </w:p>
    <w:p w:rsidR="008F0D85" w:rsidRDefault="00AE42A1">
      <w:pPr>
        <w:spacing w:after="0" w:line="360" w:lineRule="auto"/>
        <w:jc w:val="center"/>
        <w:rPr>
          <w:rFonts w:cs="Calibri"/>
          <w:b/>
          <w:bCs/>
          <w:sz w:val="20"/>
          <w:szCs w:val="24"/>
        </w:rPr>
      </w:pPr>
      <w:bookmarkStart w:id="1143" w:name="_Toc513643762"/>
      <w:bookmarkStart w:id="1144" w:name="_Toc514240371"/>
      <w:bookmarkStart w:id="1145" w:name="_Toc516128453"/>
      <w:bookmarkStart w:id="1146" w:name="_Toc527969556"/>
      <w:r>
        <w:rPr>
          <w:rFonts w:cs="Arial"/>
          <w:b/>
          <w:bCs/>
          <w:sz w:val="20"/>
          <w:szCs w:val="20"/>
        </w:rPr>
        <w:t xml:space="preserve">Tablica </w:t>
      </w:r>
      <w:r>
        <w:rPr>
          <w:rFonts w:cs="Arial"/>
          <w:b/>
          <w:bCs/>
          <w:sz w:val="20"/>
          <w:szCs w:val="20"/>
        </w:rPr>
        <w:fldChar w:fldCharType="begin"/>
      </w:r>
      <w:r>
        <w:instrText>SEQ Tablica \* ARABIC</w:instrText>
      </w:r>
      <w:r>
        <w:fldChar w:fldCharType="separate"/>
      </w:r>
      <w:r>
        <w:t>74</w:t>
      </w:r>
      <w:r>
        <w:fldChar w:fldCharType="end"/>
      </w:r>
      <w:bookmarkEnd w:id="1143"/>
      <w:bookmarkEnd w:id="1144"/>
      <w:bookmarkEnd w:id="1145"/>
      <w:bookmarkEnd w:id="1146"/>
      <w:r>
        <w:rPr>
          <w:rFonts w:cs="Arial"/>
          <w:b/>
          <w:bCs/>
          <w:sz w:val="20"/>
          <w:szCs w:val="20"/>
        </w:rPr>
        <w:t>: Prikaz spremnosti operativnih snaga vatrogastva na području Općine</w:t>
      </w:r>
    </w:p>
    <w:tbl>
      <w:tblPr>
        <w:tblW w:w="9209"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2992"/>
        <w:gridCol w:w="1536"/>
        <w:gridCol w:w="1560"/>
        <w:gridCol w:w="1560"/>
        <w:gridCol w:w="1561"/>
      </w:tblGrid>
      <w:tr w:rsidR="008F0D85">
        <w:trPr>
          <w:trHeight w:val="352"/>
        </w:trPr>
        <w:tc>
          <w:tcPr>
            <w:tcW w:w="2992"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b/>
                <w:sz w:val="20"/>
                <w:szCs w:val="20"/>
              </w:rPr>
              <w:t>PODRUČJE REAGIRANJA</w:t>
            </w: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 xml:space="preserve">Niska </w:t>
            </w:r>
            <w:r>
              <w:rPr>
                <w:rFonts w:cs="Calibri"/>
                <w:b/>
                <w:sz w:val="20"/>
                <w:szCs w:val="20"/>
              </w:rPr>
              <w:t>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Visoka spremnost</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visoka spremnost</w:t>
            </w:r>
          </w:p>
        </w:tc>
      </w:tr>
      <w:tr w:rsidR="008F0D85">
        <w:trPr>
          <w:trHeight w:val="278"/>
        </w:trPr>
        <w:tc>
          <w:tcPr>
            <w:tcW w:w="2992"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rPr>
                <w:rFonts w:cs="Calibri"/>
                <w:b/>
                <w:sz w:val="20"/>
                <w:szCs w:val="20"/>
              </w:rPr>
            </w:pP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4</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3</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2</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1</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Popunjenost ljudstvom.</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Spremnost zapovjednog osoblja.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rPr>
                <w:rFonts w:cs="Calibri"/>
                <w:sz w:val="20"/>
                <w:szCs w:val="20"/>
              </w:rPr>
            </w:pPr>
            <w:r>
              <w:rPr>
                <w:rFonts w:cs="Calibri"/>
                <w:sz w:val="20"/>
                <w:szCs w:val="20"/>
              </w:rPr>
              <w:t>Osposobljenost ljudstva i zapovjednog osoblja.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rPr>
                <w:rFonts w:cs="Calibri"/>
                <w:sz w:val="20"/>
                <w:szCs w:val="20"/>
              </w:rPr>
            </w:pPr>
            <w:r>
              <w:rPr>
                <w:rFonts w:cs="Calibri"/>
                <w:sz w:val="20"/>
                <w:szCs w:val="20"/>
              </w:rPr>
              <w:t>Uvježbanost.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Opremljenost materijalnim sredstvima i opremom.</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sz w:val="20"/>
                <w:szCs w:val="20"/>
              </w:rPr>
            </w:pPr>
            <w:r>
              <w:rPr>
                <w:rFonts w:cs="Calibri"/>
                <w:sz w:val="20"/>
                <w:szCs w:val="20"/>
              </w:rPr>
              <w:t>Vrijeme mobilizacijske spremnosti/operativne gotovosti.</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sz w:val="20"/>
                <w:szCs w:val="20"/>
              </w:rPr>
            </w:pPr>
            <w:r>
              <w:rPr>
                <w:rFonts w:cs="Calibri"/>
                <w:sz w:val="20"/>
                <w:szCs w:val="20"/>
              </w:rPr>
              <w:t>Samodostatnost i logistička potpora.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b/>
                <w:sz w:val="20"/>
                <w:szCs w:val="20"/>
              </w:rPr>
            </w:pPr>
            <w:r>
              <w:rPr>
                <w:rFonts w:cs="Calibri"/>
                <w:b/>
                <w:sz w:val="20"/>
                <w:szCs w:val="20"/>
              </w:rPr>
              <w:t>ZBIRNO:</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bookmarkStart w:id="1147" w:name="_Hlk511032190"/>
            <w:bookmarkEnd w:id="1147"/>
          </w:p>
        </w:tc>
      </w:tr>
    </w:tbl>
    <w:p w:rsidR="008F0D85" w:rsidRDefault="008F0D85">
      <w:pPr>
        <w:rPr>
          <w:lang w:eastAsia="hr-HR"/>
        </w:rPr>
      </w:pPr>
    </w:p>
    <w:p w:rsidR="008F0D85" w:rsidRDefault="008F0D85">
      <w:pPr>
        <w:rPr>
          <w:lang w:eastAsia="hr-HR"/>
        </w:rPr>
      </w:pPr>
    </w:p>
    <w:p w:rsidR="008F0D85" w:rsidRDefault="008F0D85">
      <w:pPr>
        <w:rPr>
          <w:lang w:eastAsia="hr-HR"/>
        </w:rPr>
      </w:pPr>
    </w:p>
    <w:p w:rsidR="008F0D85" w:rsidRDefault="008F0D85">
      <w:pPr>
        <w:rPr>
          <w:lang w:eastAsia="hr-HR"/>
        </w:rPr>
      </w:pPr>
    </w:p>
    <w:p w:rsidR="008F0D85" w:rsidRDefault="00AE42A1">
      <w:pPr>
        <w:pStyle w:val="Odlomakpopisa"/>
        <w:numPr>
          <w:ilvl w:val="0"/>
          <w:numId w:val="86"/>
        </w:numPr>
        <w:jc w:val="both"/>
        <w:rPr>
          <w:sz w:val="24"/>
          <w:szCs w:val="24"/>
          <w:lang w:eastAsia="hr-HR"/>
        </w:rPr>
      </w:pPr>
      <w:r>
        <w:rPr>
          <w:b/>
          <w:sz w:val="24"/>
          <w:szCs w:val="24"/>
          <w:lang w:eastAsia="hr-HR"/>
        </w:rPr>
        <w:t>Postrojba civilne zaštite</w:t>
      </w:r>
      <w:r>
        <w:rPr>
          <w:sz w:val="24"/>
          <w:szCs w:val="24"/>
          <w:lang w:eastAsia="hr-HR"/>
        </w:rPr>
        <w:t xml:space="preserve">: Na području Općine osnovana je postrojba civilne zaštite Opće namjene koja u svom sastavu ima 23 </w:t>
      </w:r>
      <w:r>
        <w:rPr>
          <w:sz w:val="24"/>
          <w:szCs w:val="24"/>
          <w:lang w:eastAsia="hr-HR"/>
        </w:rPr>
        <w:t>pripadnika (Odluka o osnivanju i ustroju postrojbi civilne zaštite Općine Kloštar Podravski, KLASA: 810-05/11-01/01, URBROJ: 2137/16-11-1, Kloštar Podravski, 28.02.2011.god.)</w:t>
      </w:r>
    </w:p>
    <w:p w:rsidR="008F0D85" w:rsidRDefault="00AE42A1">
      <w:pPr>
        <w:spacing w:after="0"/>
        <w:ind w:left="709"/>
        <w:rPr>
          <w:rFonts w:cs="Calibri"/>
          <w:color w:val="000000"/>
          <w:szCs w:val="24"/>
        </w:rPr>
      </w:pPr>
      <w:r>
        <w:rPr>
          <w:rFonts w:cs="Calibri"/>
          <w:color w:val="000000"/>
          <w:szCs w:val="24"/>
        </w:rPr>
        <w:t>Po donošenju Procjene rizika od velikih nesreća Općina će osnovati novu postrojbu</w:t>
      </w:r>
      <w:r>
        <w:rPr>
          <w:rFonts w:cs="Calibri"/>
          <w:color w:val="000000"/>
          <w:szCs w:val="24"/>
        </w:rPr>
        <w:t xml:space="preserve"> Odlukom koja će biti u skladu sa Zakonom o sustavu civilne zaštite (“Narodne Novine” </w:t>
      </w:r>
      <w:r>
        <w:rPr>
          <w:rFonts w:cs="Calibri"/>
          <w:color w:val="000000"/>
          <w:szCs w:val="24"/>
        </w:rPr>
        <w:lastRenderedPageBreak/>
        <w:t>br. 82/15) te Uredbom o sustavu i strukturi postrojbi civilne zaštite (“Narodne Novine” br. 27/17), prema kojoj će se postrojba sastojati od upravljačke skupine i operati</w:t>
      </w:r>
      <w:r>
        <w:rPr>
          <w:rFonts w:cs="Calibri"/>
          <w:color w:val="000000"/>
          <w:szCs w:val="24"/>
        </w:rPr>
        <w:t xml:space="preserve">vne skupine. Upravljačka skupina sastoji se od dva pripadnika, a svaka operativna skupina sastoji se od 8 do 10 pripadnika. Postrojba može imati najmanje dvije operativne skupine i svaka ima svog voditelja. </w:t>
      </w:r>
    </w:p>
    <w:p w:rsidR="008F0D85" w:rsidRDefault="008F0D85">
      <w:pPr>
        <w:spacing w:after="0"/>
        <w:ind w:left="709"/>
        <w:rPr>
          <w:rFonts w:cs="Calibri"/>
          <w:color w:val="000000"/>
          <w:szCs w:val="24"/>
        </w:rPr>
      </w:pPr>
    </w:p>
    <w:p w:rsidR="008F0D85" w:rsidRDefault="00AE42A1">
      <w:pPr>
        <w:pStyle w:val="Odlomakpopisa"/>
        <w:spacing w:after="0" w:line="360" w:lineRule="auto"/>
        <w:jc w:val="center"/>
        <w:rPr>
          <w:rFonts w:cs="Arial"/>
          <w:b/>
          <w:bCs/>
          <w:sz w:val="20"/>
          <w:szCs w:val="24"/>
          <w:lang w:eastAsia="hr-HR"/>
        </w:rPr>
      </w:pPr>
      <w:bookmarkStart w:id="1148" w:name="_Toc513643763"/>
      <w:bookmarkStart w:id="1149" w:name="_Toc514240372"/>
      <w:bookmarkStart w:id="1150" w:name="_Toc516128454"/>
      <w:bookmarkStart w:id="1151" w:name="_Toc527969557"/>
      <w:r>
        <w:rPr>
          <w:rFonts w:cs="Arial"/>
          <w:b/>
          <w:bCs/>
          <w:sz w:val="20"/>
          <w:szCs w:val="20"/>
        </w:rPr>
        <w:t xml:space="preserve">Tablica </w:t>
      </w:r>
      <w:r>
        <w:rPr>
          <w:rFonts w:cs="Arial"/>
          <w:b/>
          <w:bCs/>
          <w:sz w:val="20"/>
          <w:szCs w:val="20"/>
        </w:rPr>
        <w:fldChar w:fldCharType="begin"/>
      </w:r>
      <w:r>
        <w:instrText>SEQ Tablica \* ARABIC</w:instrText>
      </w:r>
      <w:r>
        <w:fldChar w:fldCharType="separate"/>
      </w:r>
      <w:r>
        <w:t>75</w:t>
      </w:r>
      <w:r>
        <w:fldChar w:fldCharType="end"/>
      </w:r>
      <w:bookmarkEnd w:id="1148"/>
      <w:bookmarkEnd w:id="1149"/>
      <w:bookmarkEnd w:id="1150"/>
      <w:bookmarkEnd w:id="1151"/>
      <w:r>
        <w:rPr>
          <w:rFonts w:cs="Arial"/>
          <w:b/>
          <w:bCs/>
          <w:sz w:val="20"/>
          <w:szCs w:val="20"/>
        </w:rPr>
        <w:t>: Prikaz spre</w:t>
      </w:r>
      <w:r>
        <w:rPr>
          <w:rFonts w:cs="Arial"/>
          <w:b/>
          <w:bCs/>
          <w:sz w:val="20"/>
          <w:szCs w:val="20"/>
        </w:rPr>
        <w:t>mnosti operativnih snaga postrojbe civilne zaštite Općine</w:t>
      </w:r>
    </w:p>
    <w:tbl>
      <w:tblPr>
        <w:tblW w:w="9209"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2992"/>
        <w:gridCol w:w="1536"/>
        <w:gridCol w:w="1560"/>
        <w:gridCol w:w="1560"/>
        <w:gridCol w:w="1561"/>
      </w:tblGrid>
      <w:tr w:rsidR="008F0D85">
        <w:trPr>
          <w:trHeight w:val="352"/>
        </w:trPr>
        <w:tc>
          <w:tcPr>
            <w:tcW w:w="2992"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b/>
                <w:sz w:val="20"/>
                <w:szCs w:val="20"/>
              </w:rPr>
              <w:t>PODRUČJE REAGIRANJA</w:t>
            </w: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Visoka spremnost</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visoka spremnost</w:t>
            </w:r>
          </w:p>
        </w:tc>
      </w:tr>
      <w:tr w:rsidR="008F0D85">
        <w:trPr>
          <w:trHeight w:val="278"/>
        </w:trPr>
        <w:tc>
          <w:tcPr>
            <w:tcW w:w="2992"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rPr>
                <w:rFonts w:cs="Calibri"/>
                <w:b/>
                <w:sz w:val="20"/>
                <w:szCs w:val="20"/>
              </w:rPr>
            </w:pP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4</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3</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2</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1</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Popunjenost ljudstvom.</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Spremnost zapovjednog osoblja.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rPr>
                <w:rFonts w:cs="Calibri"/>
                <w:sz w:val="20"/>
                <w:szCs w:val="20"/>
              </w:rPr>
            </w:pPr>
            <w:r>
              <w:rPr>
                <w:rFonts w:cs="Calibri"/>
                <w:sz w:val="20"/>
                <w:szCs w:val="20"/>
              </w:rPr>
              <w:t>Osposobljenost ljudstva i zapovjednog osoblja.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rPr>
                <w:rFonts w:cs="Calibri"/>
                <w:sz w:val="20"/>
                <w:szCs w:val="20"/>
              </w:rPr>
            </w:pPr>
            <w:r>
              <w:rPr>
                <w:rFonts w:cs="Calibri"/>
                <w:sz w:val="20"/>
                <w:szCs w:val="20"/>
              </w:rPr>
              <w:t>Uvježbanost.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Opremljenost materijalnim sredstvima i opremom.</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sz w:val="20"/>
                <w:szCs w:val="20"/>
              </w:rPr>
            </w:pPr>
            <w:r>
              <w:rPr>
                <w:rFonts w:cs="Calibri"/>
                <w:sz w:val="20"/>
                <w:szCs w:val="20"/>
              </w:rPr>
              <w:t>Vrijeme mobilizacijske spremnosti/operativne gotovosti.</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sz w:val="20"/>
                <w:szCs w:val="20"/>
              </w:rPr>
            </w:pPr>
            <w:r>
              <w:rPr>
                <w:rFonts w:cs="Calibri"/>
                <w:sz w:val="20"/>
                <w:szCs w:val="20"/>
              </w:rPr>
              <w:t>Samodostatnost i logistička potpora.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b/>
                <w:sz w:val="20"/>
                <w:szCs w:val="20"/>
              </w:rPr>
            </w:pPr>
            <w:r>
              <w:rPr>
                <w:rFonts w:cs="Calibri"/>
                <w:b/>
                <w:sz w:val="20"/>
                <w:szCs w:val="20"/>
              </w:rPr>
              <w:t>ZBIRNO:</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bookmarkStart w:id="1152" w:name="_Hlk517164330"/>
            <w:bookmarkStart w:id="1153" w:name="_Hlk511032544"/>
            <w:bookmarkEnd w:id="1152"/>
            <w:bookmarkEnd w:id="1153"/>
          </w:p>
        </w:tc>
      </w:tr>
    </w:tbl>
    <w:p w:rsidR="008F0D85" w:rsidRDefault="008F0D85">
      <w:pPr>
        <w:rPr>
          <w:szCs w:val="24"/>
          <w:lang w:eastAsia="hr-HR"/>
        </w:rPr>
      </w:pPr>
    </w:p>
    <w:p w:rsidR="008F0D85" w:rsidRDefault="008F0D85">
      <w:pPr>
        <w:rPr>
          <w:szCs w:val="24"/>
          <w:lang w:eastAsia="hr-HR"/>
        </w:rPr>
      </w:pPr>
    </w:p>
    <w:p w:rsidR="008F0D85" w:rsidRDefault="008F0D85">
      <w:pPr>
        <w:rPr>
          <w:szCs w:val="24"/>
          <w:lang w:eastAsia="hr-HR"/>
        </w:rPr>
      </w:pPr>
    </w:p>
    <w:p w:rsidR="008F0D85" w:rsidRDefault="008F0D85">
      <w:pPr>
        <w:rPr>
          <w:szCs w:val="24"/>
          <w:lang w:eastAsia="hr-HR"/>
        </w:rPr>
      </w:pPr>
    </w:p>
    <w:p w:rsidR="008F0D85" w:rsidRDefault="008F0D85">
      <w:pPr>
        <w:rPr>
          <w:szCs w:val="24"/>
          <w:lang w:eastAsia="hr-HR"/>
        </w:rPr>
      </w:pPr>
    </w:p>
    <w:p w:rsidR="008F0D85" w:rsidRDefault="008F0D85">
      <w:pPr>
        <w:rPr>
          <w:szCs w:val="24"/>
          <w:lang w:eastAsia="hr-HR"/>
        </w:rPr>
      </w:pPr>
    </w:p>
    <w:p w:rsidR="008F0D85" w:rsidRDefault="008F0D85">
      <w:pPr>
        <w:rPr>
          <w:szCs w:val="24"/>
          <w:lang w:eastAsia="hr-HR"/>
        </w:rPr>
      </w:pPr>
    </w:p>
    <w:p w:rsidR="008F0D85" w:rsidRDefault="00AE42A1">
      <w:pPr>
        <w:numPr>
          <w:ilvl w:val="0"/>
          <w:numId w:val="86"/>
        </w:numPr>
        <w:contextualSpacing/>
        <w:rPr>
          <w:rFonts w:cs="Calibri"/>
          <w:b/>
          <w:szCs w:val="24"/>
          <w:lang w:val="en-US" w:eastAsia="hr-HR"/>
        </w:rPr>
      </w:pPr>
      <w:r>
        <w:rPr>
          <w:rFonts w:cs="Calibri"/>
          <w:b/>
          <w:szCs w:val="24"/>
          <w:lang w:val="en-US" w:eastAsia="hr-HR"/>
        </w:rPr>
        <w:t xml:space="preserve">Povjerenici civilne zaštite: </w:t>
      </w:r>
      <w:r>
        <w:rPr>
          <w:rFonts w:cs="Calibri"/>
          <w:szCs w:val="24"/>
          <w:lang w:val="en-US" w:eastAsia="hr-HR"/>
        </w:rPr>
        <w:t>Općinski načelnik Općine Kloštar Podravski 02.07.2015.god. donio je Odluku (KLASA: 351-01/15-01/06, URBROJ: 2137/16-15-1) o imenovanju Povjerenika civilne zaštite na području Općine Kloštar Podravski. Odlukom su imenovana 4 pov</w:t>
      </w:r>
      <w:r>
        <w:rPr>
          <w:rFonts w:cs="Calibri"/>
          <w:szCs w:val="24"/>
          <w:lang w:val="en-US" w:eastAsia="hr-HR"/>
        </w:rPr>
        <w:t>jerenika civilne zaštite, po 1 za svako naselje Općine.</w:t>
      </w:r>
    </w:p>
    <w:p w:rsidR="008F0D85" w:rsidRDefault="00AE42A1">
      <w:pPr>
        <w:ind w:left="720"/>
        <w:contextualSpacing/>
        <w:rPr>
          <w:rFonts w:cs="Calibri"/>
          <w:b/>
          <w:szCs w:val="24"/>
          <w:lang w:val="en-US" w:eastAsia="hr-HR"/>
        </w:rPr>
      </w:pPr>
      <w:r>
        <w:rPr>
          <w:rFonts w:cs="Calibri"/>
          <w:szCs w:val="24"/>
          <w:lang w:eastAsia="hr-HR"/>
        </w:rPr>
        <w:t xml:space="preserve">Po donošenju Procjene rizika od velikih nesreća za Općinu Kloštar Podravski, Općina će donijeti Odluku o imenovanju povjerenika i zamjenika povjerenika u skladu s </w:t>
      </w:r>
      <w:bookmarkStart w:id="1154" w:name="_Hlk511033034"/>
      <w:bookmarkEnd w:id="1154"/>
      <w:r>
        <w:rPr>
          <w:rFonts w:cs="Calibri"/>
          <w:szCs w:val="24"/>
        </w:rPr>
        <w:t xml:space="preserve">Pravilnikom o mobilizaciji, uvjetima i načinu rada operativnih snaga sustava civilne </w:t>
      </w:r>
      <w:r>
        <w:rPr>
          <w:rFonts w:cs="Calibri"/>
          <w:szCs w:val="24"/>
        </w:rPr>
        <w:lastRenderedPageBreak/>
        <w:t xml:space="preserve">zaštite </w:t>
      </w:r>
      <w:r>
        <w:rPr>
          <w:rFonts w:cs="Calibri"/>
          <w:szCs w:val="24"/>
        </w:rPr>
        <w:t xml:space="preserve">(„Narodne Novine“ br. 69/16), sukladno članku 21. stavku 1., koji konstatira da se po jedan povjerenik i zamjenik povjerenika imenuju na maksimalno 300 stanovnika.  </w:t>
      </w:r>
    </w:p>
    <w:p w:rsidR="008F0D85" w:rsidRDefault="008F0D85">
      <w:pPr>
        <w:contextualSpacing/>
        <w:rPr>
          <w:rFonts w:cs="Calibri"/>
          <w:b/>
          <w:szCs w:val="24"/>
          <w:lang w:val="en-US" w:eastAsia="hr-HR"/>
        </w:rPr>
      </w:pPr>
    </w:p>
    <w:p w:rsidR="008F0D85" w:rsidRDefault="00AE42A1">
      <w:pPr>
        <w:spacing w:after="0" w:line="360" w:lineRule="auto"/>
        <w:jc w:val="center"/>
        <w:rPr>
          <w:rFonts w:cs="Calibri"/>
          <w:b/>
          <w:bCs/>
          <w:szCs w:val="24"/>
          <w:lang w:eastAsia="hr-HR"/>
        </w:rPr>
      </w:pPr>
      <w:bookmarkStart w:id="1155" w:name="_Toc513643764"/>
      <w:bookmarkStart w:id="1156" w:name="_Toc514240373"/>
      <w:bookmarkStart w:id="1157" w:name="_Toc516128455"/>
      <w:bookmarkStart w:id="1158" w:name="_Toc527969558"/>
      <w:r>
        <w:rPr>
          <w:rFonts w:cs="Arial"/>
          <w:b/>
          <w:bCs/>
          <w:sz w:val="20"/>
          <w:szCs w:val="20"/>
        </w:rPr>
        <w:t xml:space="preserve">Tablica </w:t>
      </w:r>
      <w:r>
        <w:rPr>
          <w:rFonts w:cs="Arial"/>
          <w:b/>
          <w:bCs/>
          <w:sz w:val="20"/>
          <w:szCs w:val="20"/>
        </w:rPr>
        <w:fldChar w:fldCharType="begin"/>
      </w:r>
      <w:r>
        <w:instrText>SEQ Tablica \* ARABIC</w:instrText>
      </w:r>
      <w:r>
        <w:fldChar w:fldCharType="separate"/>
      </w:r>
      <w:r>
        <w:t>76</w:t>
      </w:r>
      <w:r>
        <w:fldChar w:fldCharType="end"/>
      </w:r>
      <w:bookmarkEnd w:id="1155"/>
      <w:bookmarkEnd w:id="1156"/>
      <w:bookmarkEnd w:id="1157"/>
      <w:bookmarkEnd w:id="1158"/>
      <w:r>
        <w:rPr>
          <w:rFonts w:cs="Arial"/>
          <w:b/>
          <w:bCs/>
          <w:sz w:val="20"/>
          <w:szCs w:val="20"/>
        </w:rPr>
        <w:t>: Prikaz sposobnosti operativnih snaga povjerenika i za</w:t>
      </w:r>
      <w:r>
        <w:rPr>
          <w:rFonts w:cs="Arial"/>
          <w:b/>
          <w:bCs/>
          <w:sz w:val="20"/>
          <w:szCs w:val="20"/>
        </w:rPr>
        <w:t>mjenika povjerenika sustava civilne zaštite Općine</w:t>
      </w:r>
    </w:p>
    <w:tbl>
      <w:tblPr>
        <w:tblW w:w="9209"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2992"/>
        <w:gridCol w:w="1536"/>
        <w:gridCol w:w="1560"/>
        <w:gridCol w:w="1560"/>
        <w:gridCol w:w="1561"/>
      </w:tblGrid>
      <w:tr w:rsidR="008F0D85">
        <w:trPr>
          <w:trHeight w:val="352"/>
        </w:trPr>
        <w:tc>
          <w:tcPr>
            <w:tcW w:w="2992"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b/>
                <w:sz w:val="20"/>
                <w:szCs w:val="20"/>
              </w:rPr>
              <w:t>PODRUČJE REAGIRANJA</w:t>
            </w: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Visoka spremnost</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visoka spremnost</w:t>
            </w:r>
          </w:p>
        </w:tc>
      </w:tr>
      <w:tr w:rsidR="008F0D85">
        <w:trPr>
          <w:trHeight w:val="278"/>
        </w:trPr>
        <w:tc>
          <w:tcPr>
            <w:tcW w:w="2992"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rPr>
                <w:rFonts w:cs="Calibri"/>
                <w:b/>
                <w:sz w:val="20"/>
                <w:szCs w:val="20"/>
              </w:rPr>
            </w:pP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4</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3</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2</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1</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Popunjenost ljudstvom.</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Spremnost zapovjednog osoblja.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rPr>
                <w:rFonts w:cs="Calibri"/>
                <w:sz w:val="20"/>
                <w:szCs w:val="20"/>
              </w:rPr>
            </w:pPr>
            <w:r>
              <w:rPr>
                <w:rFonts w:cs="Calibri"/>
                <w:sz w:val="20"/>
                <w:szCs w:val="20"/>
              </w:rPr>
              <w:t xml:space="preserve">Osposobljenost ljudstva i </w:t>
            </w:r>
            <w:r>
              <w:rPr>
                <w:rFonts w:cs="Calibri"/>
                <w:sz w:val="20"/>
                <w:szCs w:val="20"/>
              </w:rPr>
              <w:t>zapovjednog osoblja.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rPr>
                <w:rFonts w:cs="Calibri"/>
                <w:sz w:val="20"/>
                <w:szCs w:val="20"/>
              </w:rPr>
            </w:pPr>
            <w:r>
              <w:rPr>
                <w:rFonts w:cs="Calibri"/>
                <w:sz w:val="20"/>
                <w:szCs w:val="20"/>
              </w:rPr>
              <w:t>Uvježbanost.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Opremljenost materijalnim sredstvima i opremom.</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sz w:val="20"/>
                <w:szCs w:val="20"/>
              </w:rPr>
            </w:pPr>
            <w:r>
              <w:rPr>
                <w:rFonts w:cs="Calibri"/>
                <w:sz w:val="20"/>
                <w:szCs w:val="20"/>
              </w:rPr>
              <w:t>Vrijeme mobilizacijske spremnosti/operativne gotovosti.</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sz w:val="20"/>
                <w:szCs w:val="20"/>
              </w:rPr>
            </w:pPr>
            <w:r>
              <w:rPr>
                <w:rFonts w:cs="Calibri"/>
                <w:sz w:val="20"/>
                <w:szCs w:val="20"/>
              </w:rPr>
              <w:t>Samodostatnost i logistička potpora.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b/>
                <w:sz w:val="20"/>
                <w:szCs w:val="20"/>
              </w:rPr>
            </w:pPr>
            <w:r>
              <w:rPr>
                <w:rFonts w:cs="Calibri"/>
                <w:b/>
                <w:sz w:val="20"/>
                <w:szCs w:val="20"/>
              </w:rPr>
              <w:t>ZBIRNO:</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bookmarkStart w:id="1159" w:name="_Hlk511033067"/>
            <w:bookmarkEnd w:id="1159"/>
          </w:p>
        </w:tc>
      </w:tr>
    </w:tbl>
    <w:p w:rsidR="008F0D85" w:rsidRDefault="008F0D85">
      <w:pPr>
        <w:rPr>
          <w:rFonts w:cs="Calibri"/>
          <w:b/>
          <w:szCs w:val="24"/>
          <w:lang w:eastAsia="hr-HR"/>
        </w:rPr>
      </w:pPr>
    </w:p>
    <w:p w:rsidR="008F0D85" w:rsidRDefault="008F0D85">
      <w:pPr>
        <w:rPr>
          <w:rFonts w:cs="Calibri"/>
          <w:b/>
          <w:szCs w:val="24"/>
          <w:lang w:eastAsia="hr-HR"/>
        </w:rPr>
      </w:pPr>
    </w:p>
    <w:p w:rsidR="008F0D85" w:rsidRDefault="008F0D85">
      <w:pPr>
        <w:rPr>
          <w:rFonts w:cs="Calibri"/>
          <w:b/>
          <w:szCs w:val="24"/>
          <w:lang w:eastAsia="hr-HR"/>
        </w:rPr>
      </w:pPr>
    </w:p>
    <w:p w:rsidR="008F0D85" w:rsidRDefault="008F0D85">
      <w:pPr>
        <w:rPr>
          <w:rFonts w:cs="Calibri"/>
          <w:b/>
          <w:szCs w:val="24"/>
          <w:lang w:eastAsia="hr-HR"/>
        </w:rPr>
      </w:pPr>
    </w:p>
    <w:p w:rsidR="008F0D85" w:rsidRDefault="008F0D85">
      <w:pPr>
        <w:rPr>
          <w:rFonts w:cs="Calibri"/>
          <w:b/>
          <w:szCs w:val="24"/>
          <w:lang w:eastAsia="hr-HR"/>
        </w:rPr>
      </w:pPr>
    </w:p>
    <w:p w:rsidR="008F0D85" w:rsidRDefault="008F0D85">
      <w:pPr>
        <w:rPr>
          <w:rFonts w:cs="Calibri"/>
          <w:b/>
          <w:szCs w:val="24"/>
          <w:lang w:eastAsia="hr-HR"/>
        </w:rPr>
      </w:pPr>
    </w:p>
    <w:p w:rsidR="008F0D85" w:rsidRDefault="008F0D85">
      <w:pPr>
        <w:rPr>
          <w:rFonts w:cs="Calibri"/>
          <w:b/>
          <w:szCs w:val="24"/>
          <w:lang w:eastAsia="hr-HR"/>
        </w:rPr>
      </w:pPr>
    </w:p>
    <w:p w:rsidR="008F0D85" w:rsidRDefault="008F0D85">
      <w:pPr>
        <w:rPr>
          <w:rFonts w:cs="Calibri"/>
          <w:b/>
          <w:szCs w:val="24"/>
          <w:lang w:eastAsia="hr-HR"/>
        </w:rPr>
      </w:pPr>
    </w:p>
    <w:p w:rsidR="008F0D85" w:rsidRDefault="00AE42A1">
      <w:pPr>
        <w:numPr>
          <w:ilvl w:val="0"/>
          <w:numId w:val="87"/>
        </w:numPr>
        <w:contextualSpacing/>
        <w:rPr>
          <w:szCs w:val="24"/>
          <w:lang w:val="en-US"/>
        </w:rPr>
      </w:pPr>
      <w:r>
        <w:rPr>
          <w:rFonts w:cs="Calibri"/>
          <w:b/>
          <w:szCs w:val="24"/>
          <w:lang w:val="en-US" w:eastAsia="hr-HR"/>
        </w:rPr>
        <w:t xml:space="preserve">Pravne osobe od </w:t>
      </w:r>
      <w:r>
        <w:rPr>
          <w:rFonts w:cs="Calibri"/>
          <w:b/>
          <w:szCs w:val="24"/>
          <w:lang w:val="en-US" w:eastAsia="hr-HR"/>
        </w:rPr>
        <w:t>interesa za sustav civilne zaštite:</w:t>
      </w:r>
      <w:r>
        <w:rPr>
          <w:rFonts w:cs="Calibri"/>
          <w:szCs w:val="24"/>
          <w:lang w:val="en-US" w:eastAsia="hr-HR"/>
        </w:rPr>
        <w:t xml:space="preserve"> Pravne osobe od interesa za sustav civilne zaštite određene su Odlukom Općinskog vijeća (KLASA: 810-01/16-01/03, URBROJ: 2137/16-16-3, Kloštar Podravski, 15.11.2016.god.) o određivanju operativnih snaga i pravnih osoba o</w:t>
      </w:r>
      <w:r>
        <w:rPr>
          <w:rFonts w:cs="Calibri"/>
          <w:szCs w:val="24"/>
          <w:lang w:val="en-US" w:eastAsia="hr-HR"/>
        </w:rPr>
        <w:t xml:space="preserve">d interesa za sustav civilne zaštite na području Općine Kloštar Podravski. </w:t>
      </w:r>
      <w:r>
        <w:rPr>
          <w:szCs w:val="24"/>
          <w:lang w:val="en-US"/>
        </w:rPr>
        <w:t>Pravne osobe koje će sudjelovati u akcijama spašavanja stanovništva, materijalnih i kulturnih dobara te okoliša Općine, određene člankom 1. iste Odluke te koje će dobiti zadaću su:</w:t>
      </w:r>
    </w:p>
    <w:p w:rsidR="008F0D85" w:rsidRDefault="008F0D85">
      <w:pPr>
        <w:contextualSpacing/>
        <w:rPr>
          <w:szCs w:val="24"/>
          <w:lang w:val="en-US"/>
        </w:rPr>
      </w:pPr>
    </w:p>
    <w:p w:rsidR="008F0D85" w:rsidRDefault="00AE42A1">
      <w:pPr>
        <w:numPr>
          <w:ilvl w:val="0"/>
          <w:numId w:val="14"/>
        </w:numPr>
        <w:contextualSpacing/>
        <w:rPr>
          <w:rFonts w:cs="Calibri"/>
          <w:szCs w:val="24"/>
          <w:lang w:val="en-US"/>
        </w:rPr>
      </w:pPr>
      <w:r>
        <w:rPr>
          <w:rFonts w:cs="Calibri"/>
          <w:szCs w:val="24"/>
          <w:lang w:val="en-US"/>
        </w:rPr>
        <w:t>Stožer civilne zaštite Općine Kloštar Podravski</w:t>
      </w:r>
    </w:p>
    <w:p w:rsidR="008F0D85" w:rsidRDefault="00AE42A1">
      <w:pPr>
        <w:numPr>
          <w:ilvl w:val="0"/>
          <w:numId w:val="14"/>
        </w:numPr>
        <w:contextualSpacing/>
        <w:rPr>
          <w:rFonts w:cs="Calibri"/>
          <w:szCs w:val="24"/>
          <w:lang w:val="en-US"/>
        </w:rPr>
      </w:pPr>
      <w:r>
        <w:rPr>
          <w:rFonts w:cs="Calibri"/>
          <w:szCs w:val="24"/>
          <w:lang w:val="en-US"/>
        </w:rPr>
        <w:t>Postrojba civilne zaštite opće namjene Općine Kloštar Podravski</w:t>
      </w:r>
    </w:p>
    <w:p w:rsidR="008F0D85" w:rsidRDefault="00AE42A1">
      <w:pPr>
        <w:numPr>
          <w:ilvl w:val="0"/>
          <w:numId w:val="14"/>
        </w:numPr>
        <w:contextualSpacing/>
        <w:rPr>
          <w:rFonts w:cs="Calibri"/>
          <w:szCs w:val="24"/>
          <w:lang w:val="en-US"/>
        </w:rPr>
      </w:pPr>
      <w:r>
        <w:rPr>
          <w:rFonts w:cs="Calibri"/>
          <w:szCs w:val="24"/>
          <w:lang w:val="en-US"/>
        </w:rPr>
        <w:t>Vatrogasna zajednica Općine Kloštar Podravski</w:t>
      </w:r>
    </w:p>
    <w:p w:rsidR="008F0D85" w:rsidRDefault="00AE42A1">
      <w:pPr>
        <w:numPr>
          <w:ilvl w:val="0"/>
          <w:numId w:val="14"/>
        </w:numPr>
        <w:contextualSpacing/>
        <w:rPr>
          <w:rFonts w:cs="Calibri"/>
          <w:szCs w:val="24"/>
          <w:lang w:val="en-US"/>
        </w:rPr>
      </w:pPr>
      <w:r>
        <w:rPr>
          <w:rFonts w:cs="Calibri"/>
          <w:szCs w:val="24"/>
          <w:lang w:val="en-US"/>
        </w:rPr>
        <w:t>DVD Kloštar Podravski</w:t>
      </w:r>
    </w:p>
    <w:p w:rsidR="008F0D85" w:rsidRDefault="00AE42A1">
      <w:pPr>
        <w:numPr>
          <w:ilvl w:val="0"/>
          <w:numId w:val="14"/>
        </w:numPr>
        <w:contextualSpacing/>
        <w:rPr>
          <w:rFonts w:cs="Calibri"/>
          <w:szCs w:val="24"/>
          <w:lang w:val="en-US"/>
        </w:rPr>
      </w:pPr>
      <w:r>
        <w:rPr>
          <w:rFonts w:cs="Calibri"/>
          <w:szCs w:val="24"/>
          <w:lang w:val="en-US"/>
        </w:rPr>
        <w:t>DVD Prugovac</w:t>
      </w:r>
    </w:p>
    <w:p w:rsidR="008F0D85" w:rsidRDefault="00AE42A1">
      <w:pPr>
        <w:numPr>
          <w:ilvl w:val="0"/>
          <w:numId w:val="14"/>
        </w:numPr>
        <w:contextualSpacing/>
        <w:rPr>
          <w:rFonts w:cs="Calibri"/>
          <w:szCs w:val="24"/>
          <w:lang w:val="en-US"/>
        </w:rPr>
      </w:pPr>
      <w:r>
        <w:rPr>
          <w:rFonts w:cs="Calibri"/>
          <w:szCs w:val="24"/>
          <w:lang w:val="en-US"/>
        </w:rPr>
        <w:t>DVD Kozarevac</w:t>
      </w:r>
    </w:p>
    <w:p w:rsidR="008F0D85" w:rsidRDefault="00AE42A1">
      <w:pPr>
        <w:numPr>
          <w:ilvl w:val="0"/>
          <w:numId w:val="14"/>
        </w:numPr>
        <w:contextualSpacing/>
        <w:rPr>
          <w:rFonts w:cs="Calibri"/>
          <w:szCs w:val="24"/>
          <w:lang w:val="en-US"/>
        </w:rPr>
      </w:pPr>
      <w:r>
        <w:rPr>
          <w:rFonts w:cs="Calibri"/>
          <w:szCs w:val="24"/>
          <w:lang w:val="en-US"/>
        </w:rPr>
        <w:t>Hrvatska gorska služba spašavanja – Stanica Kopr</w:t>
      </w:r>
      <w:r>
        <w:rPr>
          <w:rFonts w:cs="Calibri"/>
          <w:szCs w:val="24"/>
          <w:lang w:val="en-US"/>
        </w:rPr>
        <w:t>ivnica</w:t>
      </w:r>
    </w:p>
    <w:p w:rsidR="008F0D85" w:rsidRDefault="00AE42A1">
      <w:pPr>
        <w:numPr>
          <w:ilvl w:val="0"/>
          <w:numId w:val="14"/>
        </w:numPr>
        <w:contextualSpacing/>
        <w:rPr>
          <w:rFonts w:cs="Calibri"/>
          <w:szCs w:val="24"/>
          <w:lang w:val="en-US"/>
        </w:rPr>
      </w:pPr>
      <w:r>
        <w:rPr>
          <w:rFonts w:cs="Calibri"/>
          <w:szCs w:val="24"/>
          <w:lang w:val="en-US"/>
        </w:rPr>
        <w:t>Hrvatski – crveni križ – Gradsko društvo Crvenog križa Đurđevac,</w:t>
      </w:r>
    </w:p>
    <w:p w:rsidR="008F0D85" w:rsidRDefault="00AE42A1">
      <w:pPr>
        <w:numPr>
          <w:ilvl w:val="0"/>
          <w:numId w:val="14"/>
        </w:numPr>
        <w:contextualSpacing/>
        <w:rPr>
          <w:rFonts w:cs="Calibri"/>
          <w:b/>
          <w:szCs w:val="24"/>
          <w:lang w:val="en-US"/>
        </w:rPr>
      </w:pPr>
      <w:r>
        <w:rPr>
          <w:rFonts w:cs="Calibri"/>
          <w:b/>
          <w:szCs w:val="24"/>
          <w:lang w:val="en-US"/>
        </w:rPr>
        <w:t>KOMUNALNO KP d.o.o.</w:t>
      </w:r>
    </w:p>
    <w:p w:rsidR="008F0D85" w:rsidRDefault="00AE42A1">
      <w:pPr>
        <w:numPr>
          <w:ilvl w:val="0"/>
          <w:numId w:val="14"/>
        </w:numPr>
        <w:contextualSpacing/>
        <w:rPr>
          <w:rFonts w:cs="Calibri"/>
          <w:szCs w:val="24"/>
          <w:lang w:val="en-US"/>
        </w:rPr>
      </w:pPr>
      <w:r>
        <w:rPr>
          <w:rFonts w:cs="Calibri"/>
          <w:szCs w:val="24"/>
          <w:lang w:val="en-US"/>
        </w:rPr>
        <w:t>Lovačko društvo “Vepar”, Prugovac</w:t>
      </w:r>
    </w:p>
    <w:p w:rsidR="008F0D85" w:rsidRDefault="00AE42A1">
      <w:pPr>
        <w:numPr>
          <w:ilvl w:val="0"/>
          <w:numId w:val="14"/>
        </w:numPr>
        <w:contextualSpacing/>
        <w:rPr>
          <w:rFonts w:cs="Calibri"/>
          <w:szCs w:val="24"/>
          <w:lang w:val="en-US"/>
        </w:rPr>
      </w:pPr>
      <w:r>
        <w:rPr>
          <w:rFonts w:cs="Calibri"/>
          <w:szCs w:val="24"/>
          <w:lang w:val="en-US"/>
        </w:rPr>
        <w:t>Lovačko društvo “Srndać”, Kloštar Podravski</w:t>
      </w:r>
    </w:p>
    <w:p w:rsidR="008F0D85" w:rsidRDefault="008F0D85">
      <w:pPr>
        <w:rPr>
          <w:rFonts w:cs="Calibri"/>
          <w:szCs w:val="24"/>
        </w:rPr>
      </w:pPr>
    </w:p>
    <w:p w:rsidR="008F0D85" w:rsidRDefault="00AE42A1">
      <w:pPr>
        <w:ind w:left="709"/>
        <w:rPr>
          <w:rFonts w:cs="Calibri"/>
          <w:szCs w:val="24"/>
        </w:rPr>
      </w:pPr>
      <w:r>
        <w:rPr>
          <w:rFonts w:cs="Calibri"/>
          <w:szCs w:val="24"/>
        </w:rPr>
        <w:t xml:space="preserve">Sukladno Zakonu o sustavu civilne zaštite („Narodne Novine“ br. 82/15), članku 20. </w:t>
      </w:r>
      <w:r>
        <w:rPr>
          <w:rFonts w:cs="Calibri"/>
          <w:szCs w:val="24"/>
        </w:rPr>
        <w:t>operativne snage sustava civilne zaštite su: stožeri civilne zaštite, operativne snage vatrogastva, operativne snage Hrvatskog Crvenog križa, operativne snage Hrvatske gorske službe spašavanja, udruge, postrojbe i povjerenici, koordinatori na lokaciji te p</w:t>
      </w:r>
      <w:r>
        <w:rPr>
          <w:rFonts w:cs="Calibri"/>
          <w:szCs w:val="24"/>
        </w:rPr>
        <w:t>ravne osobe od interesa za sustav civilne zaštite. Navedene operativne snage u Procjeni rizika od velikih nesreća za Općinu Kloštar Podravski obrađuju se pojedinačno u zasebnim točkama. Kao pravna osoba u Odluci o određivanju operativnih snaga i pravnih os</w:t>
      </w:r>
      <w:r>
        <w:rPr>
          <w:rFonts w:cs="Calibri"/>
          <w:szCs w:val="24"/>
        </w:rPr>
        <w:t>oba od interesa za sustav civilne zaštite Općine Kloštar Podravski navodi se KOMUNALNO KP d.o.o. te prema tome analiza koja slijedi (Tablica: 85) odnosi se na KOMUNALNO KP d.o.o.</w:t>
      </w: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8F0D85">
      <w:pPr>
        <w:rPr>
          <w:rFonts w:cs="Calibri"/>
          <w:szCs w:val="24"/>
        </w:rPr>
      </w:pPr>
    </w:p>
    <w:p w:rsidR="008F0D85" w:rsidRDefault="00AE42A1">
      <w:pPr>
        <w:spacing w:after="0" w:line="360" w:lineRule="auto"/>
        <w:rPr>
          <w:rFonts w:cs="Calibri"/>
          <w:b/>
          <w:bCs/>
          <w:sz w:val="20"/>
          <w:szCs w:val="24"/>
          <w:lang w:eastAsia="hr-HR"/>
        </w:rPr>
      </w:pPr>
      <w:bookmarkStart w:id="1160" w:name="_Toc513643765"/>
      <w:bookmarkStart w:id="1161" w:name="_Toc514240374"/>
      <w:bookmarkStart w:id="1162" w:name="_Toc516128456"/>
      <w:bookmarkStart w:id="1163" w:name="_Toc527969559"/>
      <w:r>
        <w:rPr>
          <w:rFonts w:cs="Arial"/>
          <w:b/>
          <w:bCs/>
          <w:sz w:val="20"/>
          <w:szCs w:val="20"/>
        </w:rPr>
        <w:t xml:space="preserve">Tablica </w:t>
      </w:r>
      <w:r>
        <w:rPr>
          <w:rFonts w:cs="Arial"/>
          <w:b/>
          <w:bCs/>
          <w:sz w:val="20"/>
          <w:szCs w:val="20"/>
        </w:rPr>
        <w:fldChar w:fldCharType="begin"/>
      </w:r>
      <w:r>
        <w:instrText>SEQ Tablica \* ARABIC</w:instrText>
      </w:r>
      <w:r>
        <w:fldChar w:fldCharType="separate"/>
      </w:r>
      <w:r>
        <w:t>77</w:t>
      </w:r>
      <w:r>
        <w:fldChar w:fldCharType="end"/>
      </w:r>
      <w:bookmarkEnd w:id="1160"/>
      <w:bookmarkEnd w:id="1161"/>
      <w:bookmarkEnd w:id="1162"/>
      <w:bookmarkEnd w:id="1163"/>
      <w:r>
        <w:rPr>
          <w:rFonts w:cs="Arial"/>
          <w:b/>
          <w:bCs/>
          <w:sz w:val="20"/>
          <w:szCs w:val="20"/>
        </w:rPr>
        <w:t>: Prikaz spremnosti operativnih kapac</w:t>
      </w:r>
      <w:r>
        <w:rPr>
          <w:rFonts w:cs="Arial"/>
          <w:b/>
          <w:bCs/>
          <w:sz w:val="20"/>
          <w:szCs w:val="20"/>
        </w:rPr>
        <w:t>iteta pravnih osoba od interesa za sustav civilne zaštite Općine</w:t>
      </w:r>
    </w:p>
    <w:tbl>
      <w:tblPr>
        <w:tblW w:w="9209"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2992"/>
        <w:gridCol w:w="1536"/>
        <w:gridCol w:w="1560"/>
        <w:gridCol w:w="1560"/>
        <w:gridCol w:w="1561"/>
      </w:tblGrid>
      <w:tr w:rsidR="008F0D85">
        <w:trPr>
          <w:trHeight w:val="352"/>
        </w:trPr>
        <w:tc>
          <w:tcPr>
            <w:tcW w:w="2992"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b/>
                <w:sz w:val="20"/>
                <w:szCs w:val="20"/>
              </w:rPr>
              <w:t>PODRUČJE REAGIRANJA</w:t>
            </w: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Visoka spremnost</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visoka spremnost</w:t>
            </w:r>
          </w:p>
        </w:tc>
      </w:tr>
      <w:tr w:rsidR="008F0D85">
        <w:trPr>
          <w:trHeight w:val="278"/>
        </w:trPr>
        <w:tc>
          <w:tcPr>
            <w:tcW w:w="2992"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rPr>
                <w:rFonts w:cs="Calibri"/>
                <w:b/>
                <w:sz w:val="20"/>
                <w:szCs w:val="20"/>
              </w:rPr>
            </w:pP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4</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3</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2</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1</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Popunjenost ljudstvom.</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Spremnost zapovjednog osoblja.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rPr>
                <w:rFonts w:cs="Calibri"/>
                <w:sz w:val="20"/>
                <w:szCs w:val="20"/>
              </w:rPr>
            </w:pPr>
            <w:r>
              <w:rPr>
                <w:rFonts w:cs="Calibri"/>
                <w:sz w:val="20"/>
                <w:szCs w:val="20"/>
              </w:rPr>
              <w:lastRenderedPageBreak/>
              <w:t>Osposobljenost ljudstva i zapovjednog osoblja.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rPr>
                <w:rFonts w:cs="Calibri"/>
                <w:sz w:val="20"/>
                <w:szCs w:val="20"/>
              </w:rPr>
            </w:pPr>
            <w:r>
              <w:rPr>
                <w:rFonts w:cs="Calibri"/>
                <w:sz w:val="20"/>
                <w:szCs w:val="20"/>
              </w:rPr>
              <w:t>Uvježbanost.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Opremljenost materijalnim sredstvima i opremom.</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sz w:val="20"/>
                <w:szCs w:val="20"/>
              </w:rPr>
            </w:pPr>
            <w:r>
              <w:rPr>
                <w:rFonts w:cs="Calibri"/>
                <w:sz w:val="20"/>
                <w:szCs w:val="20"/>
              </w:rPr>
              <w:t>Vrijeme mobilizacijske spremnosti/operativne gotovosti.</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sz w:val="20"/>
                <w:szCs w:val="20"/>
              </w:rPr>
            </w:pPr>
            <w:r>
              <w:rPr>
                <w:rFonts w:cs="Calibri"/>
                <w:sz w:val="20"/>
                <w:szCs w:val="20"/>
              </w:rPr>
              <w:t>Samodostatnost i logistička potpora.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b/>
                <w:sz w:val="20"/>
                <w:szCs w:val="20"/>
              </w:rPr>
            </w:pPr>
            <w:r>
              <w:rPr>
                <w:rFonts w:cs="Calibri"/>
                <w:b/>
                <w:sz w:val="20"/>
                <w:szCs w:val="20"/>
              </w:rPr>
              <w:t>ZBIRNO:</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bookmarkStart w:id="1164" w:name="_Hlk511033527"/>
            <w:bookmarkEnd w:id="1164"/>
          </w:p>
        </w:tc>
      </w:tr>
    </w:tbl>
    <w:p w:rsidR="008F0D85" w:rsidRDefault="008F0D85">
      <w:pPr>
        <w:rPr>
          <w:rFonts w:cs="Calibri"/>
          <w:szCs w:val="24"/>
          <w:lang w:eastAsia="hr-HR"/>
        </w:rPr>
      </w:pPr>
      <w:bookmarkStart w:id="1165" w:name="_Hlk520117265"/>
      <w:bookmarkEnd w:id="1165"/>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AE42A1">
      <w:pPr>
        <w:numPr>
          <w:ilvl w:val="0"/>
          <w:numId w:val="88"/>
        </w:numPr>
        <w:spacing w:after="0"/>
        <w:rPr>
          <w:rFonts w:cs="Calibri"/>
          <w:color w:val="000000"/>
          <w:szCs w:val="24"/>
        </w:rPr>
      </w:pPr>
      <w:r>
        <w:rPr>
          <w:rFonts w:cs="Calibri"/>
          <w:b/>
          <w:color w:val="000000"/>
          <w:szCs w:val="24"/>
          <w:lang w:eastAsia="hr-HR"/>
        </w:rPr>
        <w:t>Hrvatska gorska služba spašavanja – Stanica Koprivnica:</w:t>
      </w:r>
      <w:r>
        <w:rPr>
          <w:rFonts w:cs="Calibri"/>
          <w:color w:val="000000"/>
          <w:szCs w:val="24"/>
          <w:lang w:eastAsia="hr-HR"/>
        </w:rPr>
        <w:t xml:space="preserve"> </w:t>
      </w:r>
      <w:bookmarkStart w:id="1166" w:name="_Hlk511033597"/>
      <w:bookmarkEnd w:id="1166"/>
      <w:r>
        <w:rPr>
          <w:rFonts w:cs="Calibri"/>
          <w:color w:val="000000"/>
          <w:szCs w:val="24"/>
        </w:rPr>
        <w:t>HGSS stanica Koprivnica raspolaže s 14 pripadnika te liječnikom, medicinskom sestrom i tehničarom, 2 ronioca te 7 tehničara za spašavanje iz divljih voda i poplavljenih područja. 6 pripadnika pro</w:t>
      </w:r>
      <w:r>
        <w:rPr>
          <w:rFonts w:cs="Calibri"/>
          <w:color w:val="000000"/>
          <w:szCs w:val="24"/>
        </w:rPr>
        <w:t>šlo je dodatne edukacije (4 za voditelje potraga te 2 za digitalnu kartografiju). Stanica je opremljena s 2 vozila (terensko i osobno), 2 plovila, 2 prikolice za plovila i 1 jet-ski, opremom za spašavanje s teško pristupačnih područja, opremom za spašavanj</w:t>
      </w:r>
      <w:r>
        <w:rPr>
          <w:rFonts w:cs="Calibri"/>
          <w:color w:val="000000"/>
          <w:szCs w:val="24"/>
        </w:rPr>
        <w:t xml:space="preserve">e iz divljih voda i poplavljenih područja, GPS uređaji i radio veze, UT nosilo i </w:t>
      </w:r>
      <w:r>
        <w:rPr>
          <w:rFonts w:cs="Calibri"/>
          <w:color w:val="000000"/>
          <w:szCs w:val="24"/>
        </w:rPr>
        <w:lastRenderedPageBreak/>
        <w:t xml:space="preserve">sl. Također, HGSS stanica Koprivnica provela je različite edukacije poput ljetnih tehnika spašavanja, spašavanje iz speleoloških objekata i dr. </w:t>
      </w:r>
    </w:p>
    <w:p w:rsidR="008F0D85" w:rsidRDefault="008F0D85">
      <w:pPr>
        <w:spacing w:after="0"/>
        <w:ind w:left="360"/>
        <w:rPr>
          <w:rFonts w:cs="Calibri"/>
          <w:b/>
          <w:color w:val="000000"/>
          <w:szCs w:val="24"/>
          <w:lang w:eastAsia="hr-HR"/>
        </w:rPr>
      </w:pPr>
    </w:p>
    <w:p w:rsidR="008F0D85" w:rsidRDefault="00AE42A1">
      <w:pPr>
        <w:spacing w:after="0" w:line="360" w:lineRule="auto"/>
        <w:jc w:val="center"/>
        <w:rPr>
          <w:rFonts w:cs="Calibri"/>
          <w:bCs/>
          <w:sz w:val="20"/>
          <w:szCs w:val="20"/>
          <w:lang w:eastAsia="hr-HR"/>
        </w:rPr>
      </w:pPr>
      <w:bookmarkStart w:id="1167" w:name="_Toc513643766"/>
      <w:bookmarkStart w:id="1168" w:name="_Toc514240375"/>
      <w:bookmarkStart w:id="1169" w:name="_Toc516128457"/>
      <w:bookmarkStart w:id="1170" w:name="_Toc527969560"/>
      <w:r>
        <w:rPr>
          <w:rFonts w:cs="Arial"/>
          <w:b/>
          <w:bCs/>
          <w:sz w:val="20"/>
          <w:szCs w:val="20"/>
        </w:rPr>
        <w:t xml:space="preserve">Tablica </w:t>
      </w:r>
      <w:r>
        <w:rPr>
          <w:rFonts w:cs="Arial"/>
          <w:b/>
          <w:bCs/>
          <w:sz w:val="20"/>
          <w:szCs w:val="20"/>
        </w:rPr>
        <w:fldChar w:fldCharType="begin"/>
      </w:r>
      <w:r>
        <w:instrText>SEQ Tablica \* ARABIC</w:instrText>
      </w:r>
      <w:r>
        <w:fldChar w:fldCharType="separate"/>
      </w:r>
      <w:r>
        <w:t>78</w:t>
      </w:r>
      <w:r>
        <w:fldChar w:fldCharType="end"/>
      </w:r>
      <w:bookmarkEnd w:id="1167"/>
      <w:bookmarkEnd w:id="1168"/>
      <w:bookmarkEnd w:id="1169"/>
      <w:bookmarkEnd w:id="1170"/>
      <w:r>
        <w:rPr>
          <w:rFonts w:cs="Arial"/>
          <w:b/>
          <w:bCs/>
          <w:sz w:val="20"/>
          <w:szCs w:val="20"/>
        </w:rPr>
        <w:t>: Prikaz spremnosti operativnih kapaciteta Hrvatske gorske službe spašavanja (HGSS) - Stanica Koprivnica</w:t>
      </w:r>
    </w:p>
    <w:tbl>
      <w:tblPr>
        <w:tblW w:w="9209"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2992"/>
        <w:gridCol w:w="1536"/>
        <w:gridCol w:w="1560"/>
        <w:gridCol w:w="1560"/>
        <w:gridCol w:w="1561"/>
      </w:tblGrid>
      <w:tr w:rsidR="008F0D85">
        <w:trPr>
          <w:trHeight w:val="352"/>
        </w:trPr>
        <w:tc>
          <w:tcPr>
            <w:tcW w:w="2992"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b/>
                <w:sz w:val="20"/>
                <w:szCs w:val="20"/>
              </w:rPr>
              <w:t>PODRUČJE REAGIRANJA</w:t>
            </w: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Visoka spremnost</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visoka spremnost</w:t>
            </w:r>
          </w:p>
        </w:tc>
      </w:tr>
      <w:tr w:rsidR="008F0D85">
        <w:trPr>
          <w:trHeight w:val="278"/>
        </w:trPr>
        <w:tc>
          <w:tcPr>
            <w:tcW w:w="2992"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rPr>
                <w:rFonts w:cs="Calibri"/>
                <w:b/>
                <w:sz w:val="20"/>
                <w:szCs w:val="20"/>
              </w:rPr>
            </w:pP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4</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3</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2</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1</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Popunjenost ljudstvom.</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Spremnost zapovjednog osoblja.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rPr>
                <w:rFonts w:cs="Calibri"/>
                <w:sz w:val="20"/>
                <w:szCs w:val="20"/>
              </w:rPr>
            </w:pPr>
            <w:r>
              <w:rPr>
                <w:rFonts w:cs="Calibri"/>
                <w:sz w:val="20"/>
                <w:szCs w:val="20"/>
              </w:rPr>
              <w:t>Osposobljenost ljudstva i zapovjednog osoblja.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rPr>
                <w:rFonts w:cs="Calibri"/>
                <w:sz w:val="20"/>
                <w:szCs w:val="20"/>
              </w:rPr>
            </w:pPr>
            <w:r>
              <w:rPr>
                <w:rFonts w:cs="Calibri"/>
                <w:sz w:val="20"/>
                <w:szCs w:val="20"/>
              </w:rPr>
              <w:t>Uvježbanost.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Opremljenost materijalnim sredstvima i opremom.</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sz w:val="20"/>
                <w:szCs w:val="20"/>
              </w:rPr>
            </w:pPr>
            <w:r>
              <w:rPr>
                <w:rFonts w:cs="Calibri"/>
                <w:sz w:val="20"/>
                <w:szCs w:val="20"/>
              </w:rPr>
              <w:t>Vrijeme mobilizacijske spremnosti/operativne gotovosti.</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sz w:val="20"/>
                <w:szCs w:val="20"/>
              </w:rPr>
            </w:pPr>
            <w:r>
              <w:rPr>
                <w:rFonts w:cs="Calibri"/>
                <w:sz w:val="20"/>
                <w:szCs w:val="20"/>
              </w:rPr>
              <w:t xml:space="preserve">Samodostatnost i </w:t>
            </w:r>
            <w:r>
              <w:rPr>
                <w:rFonts w:cs="Calibri"/>
                <w:sz w:val="20"/>
                <w:szCs w:val="20"/>
              </w:rPr>
              <w:t>logistička potpora.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b/>
                <w:sz w:val="20"/>
                <w:szCs w:val="20"/>
              </w:rPr>
            </w:pPr>
            <w:r>
              <w:rPr>
                <w:rFonts w:cs="Calibri"/>
                <w:b/>
                <w:sz w:val="20"/>
                <w:szCs w:val="20"/>
              </w:rPr>
              <w:t>ZBIRNO:</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bookmarkStart w:id="1171" w:name="_Hlk511033610"/>
            <w:bookmarkEnd w:id="1171"/>
          </w:p>
        </w:tc>
      </w:tr>
    </w:tbl>
    <w:p w:rsidR="008F0D85" w:rsidRDefault="008F0D85">
      <w:pPr>
        <w:rPr>
          <w:rFonts w:cs="Calibri"/>
          <w:szCs w:val="24"/>
          <w:lang w:eastAsia="hr-HR"/>
        </w:rPr>
      </w:pPr>
      <w:bookmarkStart w:id="1172" w:name="_Hlk520117472"/>
      <w:bookmarkEnd w:id="1172"/>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AE42A1">
      <w:pPr>
        <w:numPr>
          <w:ilvl w:val="0"/>
          <w:numId w:val="88"/>
        </w:numPr>
        <w:contextualSpacing/>
        <w:rPr>
          <w:rFonts w:cs="Calibri"/>
          <w:b/>
          <w:szCs w:val="24"/>
          <w:lang w:val="en-US" w:eastAsia="hr-HR"/>
        </w:rPr>
      </w:pPr>
      <w:r>
        <w:rPr>
          <w:rFonts w:cs="Calibri"/>
          <w:b/>
          <w:szCs w:val="24"/>
          <w:lang w:val="en-US" w:eastAsia="hr-HR"/>
        </w:rPr>
        <w:t xml:space="preserve">Hrvatski Crveni križ – Gradsko društvo Crvenog križa Đurđevac: </w:t>
      </w:r>
      <w:r>
        <w:rPr>
          <w:rFonts w:cs="Calibri"/>
          <w:szCs w:val="24"/>
          <w:lang w:val="en-US"/>
        </w:rPr>
        <w:t xml:space="preserve">Gradsko društvo Crvenoga križa Đurđevac kao vodeća humanitarna organizacija s područja grada Đurđevca i susjednih općina brine se o </w:t>
      </w:r>
      <w:r>
        <w:rPr>
          <w:rFonts w:cs="Calibri"/>
          <w:szCs w:val="24"/>
          <w:lang w:val="en-US"/>
        </w:rPr>
        <w:t>siromašnim osobama u društvu i pomaže im prema mogućnostima, organizira i druge humanitarne akcije sukladno Planu i programu Hrvatskog Crvenog križa. Kao jedna od zadaća je osposobljavanje članstva i građana za njihovu samozaštitnu funkciju u oružanim suko</w:t>
      </w:r>
      <w:r>
        <w:rPr>
          <w:rFonts w:cs="Calibri"/>
          <w:szCs w:val="24"/>
          <w:lang w:val="en-US"/>
        </w:rPr>
        <w:t xml:space="preserve">bima i drugim izvanrednim situacijama, kao i ustrojavanje, obučavanje i opremanje ekipa prve pomoći za izvršenje zadaća u slučaju velikih nesreća, epidemija i oružanih sukoba. Za ovu ulogu </w:t>
      </w:r>
      <w:r>
        <w:rPr>
          <w:rFonts w:cs="Calibri"/>
          <w:szCs w:val="24"/>
          <w:lang w:val="en-US"/>
        </w:rPr>
        <w:lastRenderedPageBreak/>
        <w:t>potrebno je obnoviti i kvalitetno opremiti ekipe, jer postojeća opr</w:t>
      </w:r>
      <w:r>
        <w:rPr>
          <w:rFonts w:cs="Calibri"/>
          <w:szCs w:val="24"/>
          <w:lang w:val="en-US"/>
        </w:rPr>
        <w:t>ema je zastarjela i dotrajala, kako bi mogle dati svoj doprinos u slučaju potrebe aktiviranja sustava zaštite i spašavanja.</w:t>
      </w:r>
    </w:p>
    <w:p w:rsidR="008F0D85" w:rsidRDefault="008F0D85">
      <w:pPr>
        <w:ind w:left="720"/>
        <w:contextualSpacing/>
        <w:jc w:val="center"/>
        <w:rPr>
          <w:rFonts w:cs="Calibri"/>
          <w:b/>
          <w:szCs w:val="24"/>
          <w:lang w:val="en-US" w:eastAsia="hr-HR"/>
        </w:rPr>
      </w:pPr>
    </w:p>
    <w:p w:rsidR="008F0D85" w:rsidRDefault="00AE42A1">
      <w:pPr>
        <w:spacing w:after="0" w:line="360" w:lineRule="auto"/>
        <w:jc w:val="center"/>
        <w:rPr>
          <w:rFonts w:cs="Arial"/>
          <w:b/>
          <w:bCs/>
          <w:sz w:val="20"/>
          <w:szCs w:val="20"/>
          <w:lang w:eastAsia="hr-HR"/>
        </w:rPr>
      </w:pPr>
      <w:bookmarkStart w:id="1173" w:name="_Toc516128458"/>
      <w:bookmarkStart w:id="1174" w:name="_Toc527969561"/>
      <w:r>
        <w:rPr>
          <w:rFonts w:cs="Arial"/>
          <w:b/>
          <w:bCs/>
          <w:sz w:val="20"/>
          <w:szCs w:val="20"/>
        </w:rPr>
        <w:t xml:space="preserve">Tablica </w:t>
      </w:r>
      <w:r>
        <w:rPr>
          <w:rFonts w:cs="Arial"/>
          <w:b/>
          <w:bCs/>
          <w:sz w:val="20"/>
          <w:szCs w:val="20"/>
        </w:rPr>
        <w:fldChar w:fldCharType="begin"/>
      </w:r>
      <w:r>
        <w:instrText>SEQ Tablica \* ARABIC</w:instrText>
      </w:r>
      <w:r>
        <w:fldChar w:fldCharType="separate"/>
      </w:r>
      <w:r>
        <w:t>79</w:t>
      </w:r>
      <w:r>
        <w:fldChar w:fldCharType="end"/>
      </w:r>
      <w:r>
        <w:rPr>
          <w:rFonts w:cs="Arial"/>
          <w:b/>
          <w:bCs/>
          <w:sz w:val="20"/>
          <w:szCs w:val="20"/>
        </w:rPr>
        <w:t xml:space="preserve">: Prikaz spremnosti operativnih kapaciteta Gradskog društva Crvenog križa </w:t>
      </w:r>
      <w:bookmarkEnd w:id="1173"/>
      <w:bookmarkEnd w:id="1174"/>
      <w:r>
        <w:rPr>
          <w:rFonts w:cs="Arial"/>
          <w:b/>
          <w:sz w:val="20"/>
          <w:szCs w:val="20"/>
        </w:rPr>
        <w:t>Đurđevac</w:t>
      </w:r>
    </w:p>
    <w:tbl>
      <w:tblPr>
        <w:tblW w:w="9209"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2992"/>
        <w:gridCol w:w="1536"/>
        <w:gridCol w:w="1560"/>
        <w:gridCol w:w="1560"/>
        <w:gridCol w:w="1561"/>
      </w:tblGrid>
      <w:tr w:rsidR="008F0D85">
        <w:trPr>
          <w:trHeight w:val="352"/>
        </w:trPr>
        <w:tc>
          <w:tcPr>
            <w:tcW w:w="2992"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b/>
                <w:sz w:val="20"/>
                <w:szCs w:val="20"/>
              </w:rPr>
              <w:t>PODRUČJE REAGIRANJA</w:t>
            </w: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Visoka spremnost</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visoka spremnost</w:t>
            </w:r>
          </w:p>
        </w:tc>
      </w:tr>
      <w:tr w:rsidR="008F0D85">
        <w:trPr>
          <w:trHeight w:val="278"/>
        </w:trPr>
        <w:tc>
          <w:tcPr>
            <w:tcW w:w="2992"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rPr>
                <w:rFonts w:cs="Calibri"/>
                <w:b/>
                <w:sz w:val="20"/>
                <w:szCs w:val="20"/>
              </w:rPr>
            </w:pP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4</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3</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2</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1</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Popunjenost ljudstvom.</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Spremnost zapovjednog osoblja.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rPr>
                <w:rFonts w:cs="Calibri"/>
                <w:sz w:val="20"/>
                <w:szCs w:val="20"/>
              </w:rPr>
            </w:pPr>
            <w:r>
              <w:rPr>
                <w:rFonts w:cs="Calibri"/>
                <w:sz w:val="20"/>
                <w:szCs w:val="20"/>
              </w:rPr>
              <w:t>Osposobljenost ljudstva i zapovjednog osoblja.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rPr>
                <w:rFonts w:cs="Calibri"/>
                <w:sz w:val="20"/>
                <w:szCs w:val="20"/>
              </w:rPr>
            </w:pPr>
            <w:r>
              <w:rPr>
                <w:rFonts w:cs="Calibri"/>
                <w:sz w:val="20"/>
                <w:szCs w:val="20"/>
              </w:rPr>
              <w:t>Uvježbanost.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Opremljenost materijalnim sredstvima i opremom.</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sz w:val="20"/>
                <w:szCs w:val="20"/>
              </w:rPr>
            </w:pPr>
            <w:r>
              <w:rPr>
                <w:rFonts w:cs="Calibri"/>
                <w:sz w:val="20"/>
                <w:szCs w:val="20"/>
              </w:rPr>
              <w:t>Vrijeme mobilizacijske spremnosti/operativne gotovosti.</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sz w:val="20"/>
                <w:szCs w:val="20"/>
              </w:rPr>
            </w:pPr>
            <w:r>
              <w:rPr>
                <w:rFonts w:cs="Calibri"/>
                <w:sz w:val="20"/>
                <w:szCs w:val="20"/>
              </w:rPr>
              <w:t>Samodostatnost i logistička potpora.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b/>
                <w:sz w:val="20"/>
                <w:szCs w:val="20"/>
              </w:rPr>
            </w:pPr>
            <w:r>
              <w:rPr>
                <w:rFonts w:cs="Calibri"/>
                <w:b/>
                <w:sz w:val="20"/>
                <w:szCs w:val="20"/>
              </w:rPr>
              <w:t>ZBIRNO:</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bookmarkStart w:id="1175" w:name="_Hlk511033738"/>
            <w:bookmarkEnd w:id="1175"/>
          </w:p>
        </w:tc>
      </w:tr>
    </w:tbl>
    <w:p w:rsidR="008F0D85" w:rsidRDefault="008F0D85">
      <w:pPr>
        <w:rPr>
          <w:rFonts w:cs="Calibri"/>
          <w:szCs w:val="24"/>
          <w:lang w:eastAsia="hr-HR"/>
        </w:rPr>
      </w:pPr>
      <w:bookmarkStart w:id="1176" w:name="_Hlk520118086"/>
      <w:bookmarkEnd w:id="1176"/>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AE42A1">
      <w:pPr>
        <w:numPr>
          <w:ilvl w:val="0"/>
          <w:numId w:val="88"/>
        </w:numPr>
        <w:contextualSpacing/>
        <w:rPr>
          <w:szCs w:val="24"/>
          <w:lang w:val="en-US" w:eastAsia="hr-HR"/>
        </w:rPr>
      </w:pPr>
      <w:bookmarkStart w:id="1177" w:name="_Hlk511033833"/>
      <w:bookmarkEnd w:id="1177"/>
      <w:r>
        <w:rPr>
          <w:b/>
          <w:szCs w:val="24"/>
          <w:lang w:val="en-US" w:eastAsia="hr-HR"/>
        </w:rPr>
        <w:t>Udruge:</w:t>
      </w:r>
      <w:r>
        <w:rPr>
          <w:szCs w:val="24"/>
          <w:lang w:val="en-US" w:eastAsia="hr-HR"/>
        </w:rPr>
        <w:t xml:space="preserve"> Zakonom o sustavu civilne zaštite (“Narodne Novine br. 82/15), članak 20. Udruge su određene kao operativne snage sustava civilne zaštite. Udruge koje nemaju javne ovlasti, a od interesa su za sustav civilne zaštite, pričuvni su dio operativnih snaga sust</w:t>
      </w:r>
      <w:r>
        <w:rPr>
          <w:szCs w:val="24"/>
          <w:lang w:val="en-US" w:eastAsia="hr-HR"/>
        </w:rPr>
        <w:t>ava civilne zaštite koji je osposobljen za provođenje pojedinih mjera i aktivnosti sustava civilne zaštite, svojim sposobnostima nadopunjavaju sposobnosti temeljnih operativnih snaga i specijalističkih i intervencijskih postrojbi civilne zaštite te se uklj</w:t>
      </w:r>
      <w:r>
        <w:rPr>
          <w:szCs w:val="24"/>
          <w:lang w:val="en-US" w:eastAsia="hr-HR"/>
        </w:rPr>
        <w:t xml:space="preserve">učuju u provođenje mjera i aktivnosti sustava civilne zaštite.   </w:t>
      </w:r>
    </w:p>
    <w:p w:rsidR="008F0D85" w:rsidRDefault="00AE42A1">
      <w:pPr>
        <w:ind w:left="720"/>
        <w:contextualSpacing/>
        <w:rPr>
          <w:szCs w:val="24"/>
          <w:lang w:val="en-US" w:eastAsia="hr-HR"/>
        </w:rPr>
      </w:pPr>
      <w:r>
        <w:rPr>
          <w:szCs w:val="24"/>
          <w:lang w:val="en-US" w:eastAsia="hr-HR"/>
        </w:rPr>
        <w:lastRenderedPageBreak/>
        <w:t>Udruge samostalno provode osposobljavanje svojih članova i sudjeluje u osposobljavanju i vježbama s drugim operativnim snagama sustav civilne zaštite.</w:t>
      </w:r>
    </w:p>
    <w:p w:rsidR="008F0D85" w:rsidRDefault="00AE42A1">
      <w:pPr>
        <w:ind w:left="720"/>
        <w:contextualSpacing/>
        <w:rPr>
          <w:szCs w:val="24"/>
          <w:lang w:val="en-US" w:eastAsia="hr-HR"/>
        </w:rPr>
      </w:pPr>
      <w:r>
        <w:rPr>
          <w:szCs w:val="24"/>
          <w:lang w:val="en-US" w:eastAsia="hr-HR"/>
        </w:rPr>
        <w:t>Odlukom o određivanju operativnih snaga</w:t>
      </w:r>
      <w:r>
        <w:rPr>
          <w:szCs w:val="24"/>
          <w:lang w:val="en-US" w:eastAsia="hr-HR"/>
        </w:rPr>
        <w:t xml:space="preserve"> i pravnih osoba od interesa za civilnu zaštitu na području Općine Kloštar Podravski (KLASA: 810-01/16-01/03, URBROJ: 2137/16-16-3, Kloštar Podravski, 15.11.2016.god.), udruge Lovačko društvo “Vepar” Prugovac te Lovačko društvo “Srndać” Kloštar Podravski o</w:t>
      </w:r>
      <w:r>
        <w:rPr>
          <w:szCs w:val="24"/>
          <w:lang w:val="en-US" w:eastAsia="hr-HR"/>
        </w:rPr>
        <w:t>dređene su kao pravne osobe od interesa za sustav civilne zaštite Općine Kloštar Podravski te će sukladno tome, prema potrebi dobiti i zadaće.</w:t>
      </w:r>
    </w:p>
    <w:p w:rsidR="008F0D85" w:rsidRDefault="008F0D85">
      <w:pPr>
        <w:ind w:left="720"/>
        <w:contextualSpacing/>
        <w:rPr>
          <w:szCs w:val="24"/>
          <w:lang w:val="en-US" w:eastAsia="hr-HR"/>
        </w:rPr>
      </w:pPr>
    </w:p>
    <w:p w:rsidR="008F0D85" w:rsidRDefault="00AE42A1">
      <w:pPr>
        <w:spacing w:after="0" w:line="360" w:lineRule="auto"/>
        <w:jc w:val="center"/>
        <w:rPr>
          <w:rFonts w:cs="Arial"/>
          <w:b/>
          <w:bCs/>
          <w:sz w:val="20"/>
          <w:szCs w:val="20"/>
          <w:lang w:eastAsia="hr-HR"/>
        </w:rPr>
      </w:pPr>
      <w:bookmarkStart w:id="1178" w:name="_Hlk5110338331"/>
      <w:bookmarkStart w:id="1179" w:name="_Toc513643768"/>
      <w:bookmarkStart w:id="1180" w:name="_Toc514240377"/>
      <w:bookmarkStart w:id="1181" w:name="_Toc516128459"/>
      <w:bookmarkStart w:id="1182" w:name="_Toc527969562"/>
      <w:bookmarkEnd w:id="1178"/>
      <w:r>
        <w:rPr>
          <w:rFonts w:cs="Arial"/>
          <w:b/>
          <w:bCs/>
          <w:sz w:val="20"/>
          <w:szCs w:val="20"/>
        </w:rPr>
        <w:t xml:space="preserve">Tablica </w:t>
      </w:r>
      <w:r>
        <w:rPr>
          <w:rFonts w:cs="Arial"/>
          <w:b/>
          <w:bCs/>
          <w:sz w:val="20"/>
          <w:szCs w:val="20"/>
        </w:rPr>
        <w:fldChar w:fldCharType="begin"/>
      </w:r>
      <w:r>
        <w:instrText>SEQ Tablica \* ARABIC</w:instrText>
      </w:r>
      <w:r>
        <w:fldChar w:fldCharType="separate"/>
      </w:r>
      <w:r>
        <w:t>80</w:t>
      </w:r>
      <w:r>
        <w:fldChar w:fldCharType="end"/>
      </w:r>
      <w:bookmarkEnd w:id="1179"/>
      <w:bookmarkEnd w:id="1180"/>
      <w:bookmarkEnd w:id="1181"/>
      <w:bookmarkEnd w:id="1182"/>
      <w:r>
        <w:rPr>
          <w:rFonts w:cs="Arial"/>
          <w:b/>
          <w:bCs/>
          <w:sz w:val="20"/>
          <w:szCs w:val="20"/>
        </w:rPr>
        <w:t>: Prikaz spremnosti operativnih kapaciteta udruga Općine</w:t>
      </w:r>
    </w:p>
    <w:tbl>
      <w:tblPr>
        <w:tblW w:w="9209"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2992"/>
        <w:gridCol w:w="1536"/>
        <w:gridCol w:w="1560"/>
        <w:gridCol w:w="1560"/>
        <w:gridCol w:w="1561"/>
      </w:tblGrid>
      <w:tr w:rsidR="008F0D85">
        <w:trPr>
          <w:trHeight w:val="352"/>
        </w:trPr>
        <w:tc>
          <w:tcPr>
            <w:tcW w:w="2992"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b/>
                <w:sz w:val="20"/>
                <w:szCs w:val="20"/>
              </w:rPr>
              <w:t>PODRUČJE REAGIRANJA</w:t>
            </w: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w:t>
            </w:r>
            <w:r>
              <w:rPr>
                <w:rFonts w:cs="Calibri"/>
                <w:b/>
                <w:sz w:val="20"/>
                <w:szCs w:val="20"/>
              </w:rPr>
              <w:t>rlo 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Visoka spremnost</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visoka spremnost</w:t>
            </w:r>
          </w:p>
        </w:tc>
      </w:tr>
      <w:tr w:rsidR="008F0D85">
        <w:trPr>
          <w:trHeight w:val="278"/>
        </w:trPr>
        <w:tc>
          <w:tcPr>
            <w:tcW w:w="2992"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rPr>
                <w:rFonts w:cs="Calibri"/>
                <w:b/>
                <w:sz w:val="20"/>
                <w:szCs w:val="20"/>
              </w:rPr>
            </w:pP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4</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3</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2</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1</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Popunjenost ljudstvom.</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Spremnost zapovjednog osoblja.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rPr>
                <w:rFonts w:cs="Calibri"/>
                <w:sz w:val="20"/>
                <w:szCs w:val="20"/>
              </w:rPr>
            </w:pPr>
            <w:r>
              <w:rPr>
                <w:rFonts w:cs="Calibri"/>
                <w:sz w:val="20"/>
                <w:szCs w:val="20"/>
              </w:rPr>
              <w:t>Osposobljenost ljudstva i zapovjednog osoblja.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rPr>
                <w:rFonts w:cs="Calibri"/>
                <w:sz w:val="20"/>
                <w:szCs w:val="20"/>
              </w:rPr>
            </w:pPr>
            <w:r>
              <w:rPr>
                <w:rFonts w:cs="Calibri"/>
                <w:sz w:val="20"/>
                <w:szCs w:val="20"/>
              </w:rPr>
              <w:t>Uvježbanost.</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Opremljenost </w:t>
            </w:r>
            <w:r>
              <w:rPr>
                <w:rFonts w:cs="Calibri"/>
                <w:sz w:val="20"/>
                <w:szCs w:val="20"/>
              </w:rPr>
              <w:t>materijalnim sredstvima i opremom.</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sz w:val="20"/>
                <w:szCs w:val="20"/>
              </w:rPr>
            </w:pPr>
            <w:r>
              <w:rPr>
                <w:rFonts w:cs="Calibri"/>
                <w:sz w:val="20"/>
                <w:szCs w:val="20"/>
              </w:rPr>
              <w:t>Vrijeme mobilizacijske spremnosti/operativne gotovosti.</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sz w:val="20"/>
                <w:szCs w:val="20"/>
              </w:rPr>
            </w:pPr>
            <w:r>
              <w:rPr>
                <w:rFonts w:cs="Calibri"/>
                <w:sz w:val="20"/>
                <w:szCs w:val="20"/>
              </w:rPr>
              <w:t>Samodostatnost i logistička potpora.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b/>
                <w:sz w:val="20"/>
                <w:szCs w:val="20"/>
              </w:rPr>
            </w:pPr>
            <w:r>
              <w:rPr>
                <w:rFonts w:cs="Calibri"/>
                <w:b/>
                <w:sz w:val="20"/>
                <w:szCs w:val="20"/>
              </w:rPr>
              <w:t>ZBIRNO:</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bookmarkStart w:id="1183" w:name="_Hlk511033916"/>
            <w:bookmarkEnd w:id="1183"/>
          </w:p>
        </w:tc>
      </w:tr>
    </w:tbl>
    <w:p w:rsidR="008F0D85" w:rsidRDefault="008F0D85">
      <w:pPr>
        <w:rPr>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AE42A1">
      <w:pPr>
        <w:pStyle w:val="Naslov3"/>
      </w:pPr>
      <w:bookmarkStart w:id="1184" w:name="_Toc513643688"/>
      <w:bookmarkStart w:id="1185" w:name="_Toc514240277"/>
      <w:bookmarkStart w:id="1186" w:name="_Toc516128360"/>
      <w:bookmarkStart w:id="1187" w:name="_Toc527969470"/>
      <w:bookmarkEnd w:id="1184"/>
      <w:bookmarkEnd w:id="1185"/>
      <w:bookmarkEnd w:id="1186"/>
      <w:bookmarkEnd w:id="1187"/>
      <w:r>
        <w:t xml:space="preserve">8.2.3. Stanje mobilnosti operativnih kapaciteta sustava civilne zaštite i stanja </w:t>
      </w:r>
      <w:r>
        <w:t>komunikacijskih kapaciteta</w:t>
      </w:r>
    </w:p>
    <w:p w:rsidR="008F0D85" w:rsidRDefault="008F0D85">
      <w:pPr>
        <w:rPr>
          <w:lang w:eastAsia="hr-HR"/>
        </w:rPr>
      </w:pPr>
    </w:p>
    <w:p w:rsidR="008F0D85" w:rsidRDefault="00AE42A1">
      <w:pPr>
        <w:rPr>
          <w:szCs w:val="24"/>
        </w:rPr>
      </w:pPr>
      <w:bookmarkStart w:id="1188" w:name="_Hlk511033997"/>
      <w:bookmarkEnd w:id="1188"/>
      <w:r>
        <w:rPr>
          <w:szCs w:val="24"/>
        </w:rPr>
        <w:t>Procjena spremnosti sustava civilne zaštite na temelju procjene stanja mobilnosti operativnih kapaciteta sustava civilne zaštite i stanja komunikacijskih kapaciteta na temelju procjene stanja transportne potpore i komunikacijski</w:t>
      </w:r>
      <w:r>
        <w:rPr>
          <w:szCs w:val="24"/>
        </w:rPr>
        <w:t>h kapaciteta Općine, a u slučaju izrade Procjene rizika za područje Koprivničko - križevačke županije.</w:t>
      </w:r>
    </w:p>
    <w:p w:rsidR="008F0D85" w:rsidRDefault="00AE42A1">
      <w:pPr>
        <w:spacing w:after="0" w:line="360" w:lineRule="auto"/>
        <w:jc w:val="center"/>
        <w:rPr>
          <w:rFonts w:cs="Arial"/>
          <w:b/>
          <w:bCs/>
          <w:sz w:val="20"/>
          <w:szCs w:val="24"/>
        </w:rPr>
      </w:pPr>
      <w:bookmarkStart w:id="1189" w:name="_Hlk5110339971"/>
      <w:bookmarkStart w:id="1190" w:name="_Toc513643769"/>
      <w:bookmarkStart w:id="1191" w:name="_Toc514240378"/>
      <w:bookmarkStart w:id="1192" w:name="_Toc516128460"/>
      <w:bookmarkStart w:id="1193" w:name="_Toc527969563"/>
      <w:bookmarkEnd w:id="1189"/>
      <w:r>
        <w:rPr>
          <w:rFonts w:cs="Arial"/>
          <w:b/>
          <w:bCs/>
          <w:sz w:val="20"/>
          <w:szCs w:val="20"/>
        </w:rPr>
        <w:lastRenderedPageBreak/>
        <w:t xml:space="preserve">Tablica </w:t>
      </w:r>
      <w:r>
        <w:rPr>
          <w:rFonts w:cs="Arial"/>
          <w:b/>
          <w:bCs/>
          <w:sz w:val="20"/>
          <w:szCs w:val="20"/>
        </w:rPr>
        <w:fldChar w:fldCharType="begin"/>
      </w:r>
      <w:r>
        <w:instrText>SEQ Tablica \* ARABIC</w:instrText>
      </w:r>
      <w:r>
        <w:fldChar w:fldCharType="separate"/>
      </w:r>
      <w:r>
        <w:t>81</w:t>
      </w:r>
      <w:r>
        <w:fldChar w:fldCharType="end"/>
      </w:r>
      <w:bookmarkEnd w:id="1190"/>
      <w:bookmarkEnd w:id="1191"/>
      <w:bookmarkEnd w:id="1192"/>
      <w:bookmarkEnd w:id="1193"/>
      <w:r>
        <w:rPr>
          <w:rFonts w:cs="Arial"/>
          <w:b/>
          <w:bCs/>
          <w:sz w:val="20"/>
          <w:szCs w:val="20"/>
        </w:rPr>
        <w:t>: Prikaz stanja mobilnosti operativnih kapaciteta sustava civilne zaštite i stanja komunikacijskih kapaciteta</w:t>
      </w:r>
    </w:p>
    <w:tbl>
      <w:tblPr>
        <w:tblW w:w="9209"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2992"/>
        <w:gridCol w:w="1536"/>
        <w:gridCol w:w="1560"/>
        <w:gridCol w:w="1560"/>
        <w:gridCol w:w="1561"/>
      </w:tblGrid>
      <w:tr w:rsidR="008F0D85">
        <w:trPr>
          <w:trHeight w:val="352"/>
        </w:trPr>
        <w:tc>
          <w:tcPr>
            <w:tcW w:w="2992"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b/>
                <w:sz w:val="20"/>
                <w:szCs w:val="20"/>
              </w:rPr>
              <w:t xml:space="preserve">PODRUČJE </w:t>
            </w:r>
            <w:r>
              <w:rPr>
                <w:rFonts w:cs="Calibri"/>
                <w:b/>
                <w:sz w:val="20"/>
                <w:szCs w:val="20"/>
              </w:rPr>
              <w:t>REAGIRANJA</w:t>
            </w: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Visoka spremnost</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visoka spremnost</w:t>
            </w:r>
          </w:p>
        </w:tc>
      </w:tr>
      <w:tr w:rsidR="008F0D85">
        <w:trPr>
          <w:trHeight w:val="278"/>
        </w:trPr>
        <w:tc>
          <w:tcPr>
            <w:tcW w:w="2992"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rPr>
                <w:rFonts w:cs="Calibri"/>
                <w:b/>
                <w:sz w:val="20"/>
                <w:szCs w:val="20"/>
              </w:rPr>
            </w:pP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4</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3</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2</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1</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Stanje transportne potpore.</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Stanje komunikacijskih kapaciteta: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b/>
                <w:sz w:val="20"/>
                <w:szCs w:val="20"/>
              </w:rPr>
            </w:pPr>
            <w:r>
              <w:rPr>
                <w:rFonts w:cs="Calibri"/>
                <w:b/>
                <w:sz w:val="20"/>
                <w:szCs w:val="20"/>
              </w:rPr>
              <w:t>ZBIRNO:</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bookmarkStart w:id="1194" w:name="_Hlk520118151"/>
            <w:bookmarkStart w:id="1195" w:name="_Hlk511034009"/>
            <w:bookmarkEnd w:id="1194"/>
            <w:bookmarkEnd w:id="1195"/>
            <w:r>
              <w:rPr>
                <w:rFonts w:cs="Calibri"/>
                <w:b/>
                <w:sz w:val="20"/>
                <w:szCs w:val="20"/>
              </w:rPr>
              <w:t>X</w:t>
            </w:r>
          </w:p>
        </w:tc>
      </w:tr>
    </w:tbl>
    <w:p w:rsidR="008F0D85" w:rsidRDefault="00AE42A1">
      <w:pPr>
        <w:rPr>
          <w:lang w:eastAsia="hr-HR"/>
        </w:rPr>
      </w:pPr>
      <w:r>
        <w:rPr>
          <w:lang w:eastAsia="hr-HR"/>
        </w:rPr>
        <w:t xml:space="preserve"> </w:t>
      </w: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pPr>
    </w:p>
    <w:p w:rsidR="008F0D85" w:rsidRDefault="008F0D85">
      <w:pPr>
        <w:rPr>
          <w:rFonts w:cs="Calibri"/>
          <w:szCs w:val="24"/>
          <w:lang w:eastAsia="hr-HR"/>
        </w:rPr>
        <w:sectPr w:rsidR="008F0D85">
          <w:headerReference w:type="default" r:id="rId104"/>
          <w:footerReference w:type="default" r:id="rId105"/>
          <w:pgSz w:w="11906" w:h="16838"/>
          <w:pgMar w:top="1418" w:right="1418" w:bottom="1418" w:left="1418" w:header="709" w:footer="709" w:gutter="0"/>
          <w:cols w:space="720"/>
          <w:formProt w:val="0"/>
          <w:docGrid w:linePitch="360"/>
        </w:sectPr>
      </w:pPr>
    </w:p>
    <w:p w:rsidR="008F0D85" w:rsidRDefault="00AE42A1">
      <w:pPr>
        <w:pStyle w:val="Naslov3"/>
      </w:pPr>
      <w:bookmarkStart w:id="1216" w:name="_Toc527969471"/>
      <w:bookmarkStart w:id="1217" w:name="_Toc513643689"/>
      <w:bookmarkStart w:id="1218" w:name="_Toc514240278"/>
      <w:bookmarkStart w:id="1219" w:name="_Toc516128361"/>
      <w:r>
        <w:lastRenderedPageBreak/>
        <w:t>8.2.4. Analiza sustava na području reagiranja za svaki rizik obrađen u Procjeni rizika od velikih nesreća za Općinu</w:t>
      </w:r>
      <w:bookmarkEnd w:id="1216"/>
      <w:bookmarkEnd w:id="1217"/>
      <w:bookmarkEnd w:id="1218"/>
      <w:bookmarkEnd w:id="1219"/>
      <w:r>
        <w:t xml:space="preserve"> Kloštar Podravski</w:t>
      </w:r>
    </w:p>
    <w:p w:rsidR="008F0D85" w:rsidRDefault="00AE42A1">
      <w:pPr>
        <w:pStyle w:val="Naslov4"/>
      </w:pPr>
      <w:bookmarkStart w:id="1220" w:name="_Toc513643690"/>
      <w:bookmarkStart w:id="1221" w:name="_Toc514240279"/>
      <w:bookmarkStart w:id="1222" w:name="_Toc516128362"/>
      <w:bookmarkStart w:id="1223" w:name="_Toc527969472"/>
      <w:bookmarkEnd w:id="1220"/>
      <w:bookmarkEnd w:id="1221"/>
      <w:bookmarkEnd w:id="1222"/>
      <w:bookmarkEnd w:id="1223"/>
      <w:r>
        <w:t xml:space="preserve">8.2.4.1. Epidemije i </w:t>
      </w:r>
      <w:r>
        <w:t>pandemije</w:t>
      </w:r>
    </w:p>
    <w:p w:rsidR="008F0D85" w:rsidRDefault="008F0D85"/>
    <w:p w:rsidR="008F0D85" w:rsidRDefault="00AE42A1">
      <w:pPr>
        <w:rPr>
          <w:color w:val="000000"/>
          <w:szCs w:val="24"/>
        </w:rPr>
      </w:pPr>
      <w:bookmarkStart w:id="1224" w:name="_Hlk511034178"/>
      <w:bookmarkEnd w:id="1224"/>
      <w:r>
        <w:rPr>
          <w:color w:val="000000"/>
          <w:szCs w:val="24"/>
        </w:rPr>
        <w:t>U slučaju pojava epidemija i pandemija na području Općine, Općina nije u stanju zbrinuti oboljelo stanovništvo, prema tome postoji potreba uključivanja pravnih osoba koje djeluju na području Grada Koprivnice i Grada Đurđevca, a koje postupaju pr</w:t>
      </w:r>
      <w:r>
        <w:rPr>
          <w:color w:val="000000"/>
          <w:szCs w:val="24"/>
        </w:rPr>
        <w:t>ema vlastitim operativnim planovima.</w:t>
      </w:r>
    </w:p>
    <w:p w:rsidR="008F0D85" w:rsidRDefault="00AE42A1">
      <w:pPr>
        <w:spacing w:after="0" w:line="360" w:lineRule="auto"/>
        <w:jc w:val="center"/>
        <w:rPr>
          <w:rFonts w:cs="Arial"/>
          <w:b/>
          <w:bCs/>
          <w:color w:val="000000"/>
          <w:sz w:val="20"/>
          <w:szCs w:val="24"/>
        </w:rPr>
      </w:pPr>
      <w:bookmarkStart w:id="1225" w:name="_Hlk5110341781"/>
      <w:bookmarkStart w:id="1226" w:name="_Toc513643770"/>
      <w:bookmarkStart w:id="1227" w:name="_Toc514240379"/>
      <w:bookmarkStart w:id="1228" w:name="_Toc516128461"/>
      <w:bookmarkStart w:id="1229" w:name="_Toc527969564"/>
      <w:bookmarkEnd w:id="1225"/>
      <w:r>
        <w:rPr>
          <w:rFonts w:cs="Arial"/>
          <w:b/>
          <w:bCs/>
          <w:sz w:val="20"/>
          <w:szCs w:val="20"/>
        </w:rPr>
        <w:t xml:space="preserve">Tablica </w:t>
      </w:r>
      <w:r>
        <w:rPr>
          <w:rFonts w:cs="Arial"/>
          <w:b/>
          <w:bCs/>
          <w:sz w:val="20"/>
          <w:szCs w:val="20"/>
        </w:rPr>
        <w:fldChar w:fldCharType="begin"/>
      </w:r>
      <w:r>
        <w:instrText>SEQ Tablica \* ARABIC</w:instrText>
      </w:r>
      <w:r>
        <w:fldChar w:fldCharType="separate"/>
      </w:r>
      <w:r>
        <w:t>82</w:t>
      </w:r>
      <w:r>
        <w:fldChar w:fldCharType="end"/>
      </w:r>
      <w:bookmarkEnd w:id="1226"/>
      <w:bookmarkEnd w:id="1227"/>
      <w:bookmarkEnd w:id="1228"/>
      <w:bookmarkEnd w:id="1229"/>
      <w:r>
        <w:rPr>
          <w:rFonts w:cs="Arial"/>
          <w:b/>
          <w:bCs/>
          <w:sz w:val="20"/>
          <w:szCs w:val="20"/>
        </w:rPr>
        <w:t>: Analiza stanja sustava civilne zaštite - Područje reagiranja - Epidemije i pandemije</w:t>
      </w:r>
    </w:p>
    <w:tbl>
      <w:tblPr>
        <w:tblW w:w="13758"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7217"/>
        <w:gridCol w:w="1689"/>
        <w:gridCol w:w="55"/>
        <w:gridCol w:w="1635"/>
        <w:gridCol w:w="1542"/>
        <w:gridCol w:w="1620"/>
      </w:tblGrid>
      <w:tr w:rsidR="008F0D85">
        <w:trPr>
          <w:trHeight w:val="352"/>
          <w:jc w:val="center"/>
        </w:trPr>
        <w:tc>
          <w:tcPr>
            <w:tcW w:w="7217"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p w:rsidR="008F0D85" w:rsidRDefault="00AE42A1">
            <w:pPr>
              <w:spacing w:after="0" w:line="240" w:lineRule="auto"/>
              <w:rPr>
                <w:rFonts w:cs="Calibri"/>
                <w:b/>
                <w:sz w:val="20"/>
                <w:szCs w:val="20"/>
              </w:rPr>
            </w:pPr>
            <w:r>
              <w:rPr>
                <w:rFonts w:cs="Calibri"/>
                <w:b/>
                <w:sz w:val="20"/>
                <w:szCs w:val="20"/>
              </w:rPr>
              <w:t>PODRUČJE REAGIRANJA</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Vrlo niska spremnost</w:t>
            </w:r>
          </w:p>
        </w:tc>
        <w:tc>
          <w:tcPr>
            <w:tcW w:w="1635"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Niska spremnost</w:t>
            </w:r>
          </w:p>
        </w:tc>
        <w:tc>
          <w:tcPr>
            <w:tcW w:w="1542"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Visoka spremnost</w:t>
            </w:r>
          </w:p>
        </w:tc>
        <w:tc>
          <w:tcPr>
            <w:tcW w:w="1620"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 xml:space="preserve">Vrlo visoka </w:t>
            </w:r>
            <w:r>
              <w:rPr>
                <w:rFonts w:cs="Calibri"/>
                <w:b/>
                <w:sz w:val="20"/>
                <w:szCs w:val="20"/>
              </w:rPr>
              <w:t>spremnost</w:t>
            </w:r>
          </w:p>
        </w:tc>
      </w:tr>
      <w:tr w:rsidR="008F0D85">
        <w:trPr>
          <w:trHeight w:val="278"/>
          <w:jc w:val="center"/>
        </w:trPr>
        <w:tc>
          <w:tcPr>
            <w:tcW w:w="7217"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4</w:t>
            </w: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3</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2</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1</w:t>
            </w:r>
          </w:p>
        </w:tc>
      </w:tr>
      <w:tr w:rsidR="008F0D85">
        <w:trPr>
          <w:trHeight w:val="278"/>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1. Prikaz procjene spremnosti u sustavu civilne zaštite na temelju spremnosti odgovornih i upravljačkih kapaciteta sustava civilne zaštite za Općinu</w:t>
            </w:r>
          </w:p>
        </w:tc>
      </w:tr>
      <w:tr w:rsidR="008F0D85">
        <w:trPr>
          <w:trHeight w:val="278"/>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Čelne osobe </w:t>
            </w: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w:t>
            </w:r>
            <w:r>
              <w:rPr>
                <w:rFonts w:cs="Calibri"/>
                <w:sz w:val="20"/>
                <w:szCs w:val="20"/>
              </w:rPr>
              <w:t>zaciji i provođenju svih vrsta vježbi civilne zaštite u određenim vremenskim razdobljima.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278"/>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Stožer civilne zaštite </w:t>
            </w: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w:t>
            </w:r>
            <w:r>
              <w:rPr>
                <w:rFonts w:cs="Calibri"/>
                <w:sz w:val="20"/>
                <w:szCs w:val="20"/>
              </w:rPr>
              <w:lastRenderedPageBreak/>
              <w:t>neformalnog obrazovanja za izvršavanje zakonskih obaveza u sustavu civilne zaštite te njihovog stvarnog rada u realnim situacijama.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Koordinator na mjestu izvanrednog događaja</w:t>
            </w:r>
          </w:p>
        </w:tc>
      </w:tr>
      <w:tr w:rsidR="008F0D85">
        <w:trPr>
          <w:trHeight w:val="1730"/>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p w:rsidR="008F0D85" w:rsidRDefault="008F0D85">
            <w:pPr>
              <w:spacing w:after="0" w:line="240" w:lineRule="auto"/>
              <w:rPr>
                <w:rFonts w:cs="Calibri"/>
                <w:b/>
                <w:sz w:val="20"/>
                <w:szCs w:val="20"/>
              </w:rPr>
            </w:pPr>
          </w:p>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278"/>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2. Prikaz procjene spremnosti operativnih kapaciteta za Općinu</w:t>
            </w:r>
          </w:p>
        </w:tc>
      </w:tr>
      <w:tr w:rsidR="008F0D85">
        <w:trPr>
          <w:trHeight w:val="278"/>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Operativne snage Crvenog križa – Gradsko društvo Crvenog križa Đurđevac</w:t>
            </w:r>
          </w:p>
        </w:tc>
      </w:tr>
      <w:tr w:rsidR="008F0D85">
        <w:trPr>
          <w:trHeight w:val="278"/>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popunjenosti ljudstvom</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spremnosti zapovjednog osoblja</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osposobljenosti ljudstva i zapovjednog osoblja</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uvježbanosti</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opremljenosti materijalnim sredstvima i opremom</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Vremena mobilizacijske spremnosti/operativne gotovosti</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Samodostatnosti i logističkoj potpori</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u w:val="single"/>
              </w:rPr>
              <w:t>Područje reagiranja - ZBIRNO</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Operativne snage vatrogastva</w:t>
            </w: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Stupnja </w:t>
            </w:r>
            <w:r>
              <w:rPr>
                <w:rFonts w:cs="Calibri"/>
                <w:sz w:val="20"/>
                <w:szCs w:val="20"/>
              </w:rPr>
              <w:t>popunjenosti ljudstvom</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spremnosti zapovjednog osoblja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lastRenderedPageBreak/>
              <w:t>Stupnja osposobljenosti ljudstva i zapovjednog osoblja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opremljenosti materijalnim sredstvima i opremom</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Vremena </w:t>
            </w:r>
            <w:r>
              <w:rPr>
                <w:rFonts w:cs="Calibri"/>
                <w:sz w:val="20"/>
                <w:szCs w:val="20"/>
              </w:rPr>
              <w:t>mobilizacijske spremnosti/operativne gotovosti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278"/>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Postrojba civilne zaštite za opće namjene </w:t>
            </w: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Stupnja spremnosti zapovjednog </w:t>
            </w:r>
            <w:r>
              <w:rPr>
                <w:rFonts w:cs="Calibri"/>
                <w:sz w:val="20"/>
                <w:szCs w:val="20"/>
              </w:rPr>
              <w:t>osoblja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osposobljenosti ljudstva i zapovjednog osoblja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opremljenosti materijalnim sredstvima i opremom</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Vremena mobilizacijske spremnosti/operativne gotovosti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Samodostatnosti i </w:t>
            </w:r>
            <w:r>
              <w:rPr>
                <w:rFonts w:cs="Calibri"/>
                <w:sz w:val="20"/>
                <w:szCs w:val="20"/>
              </w:rPr>
              <w:t>logističkoj potpori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Pravne osobe od interesa za sustav civilne zaštite</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spremnosti zapovjednog osoblja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osposobljenosti ljudstva i zapovjednog osoblja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opremljenosti materijalnim sredstvima i opremom</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Vremena mobilizacijske spremnosti/operativne gotovosti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lastRenderedPageBreak/>
              <w:t xml:space="preserve">3. Prikaz stanja </w:t>
            </w:r>
            <w:r>
              <w:rPr>
                <w:rFonts w:cs="Calibri"/>
                <w:b/>
                <w:sz w:val="20"/>
                <w:szCs w:val="20"/>
              </w:rPr>
              <w:t>mobilnosti operativnih kapaciteta sustava civilne zaštite i stanja komunikacijskih kapaciteta Općine</w:t>
            </w:r>
          </w:p>
        </w:tc>
      </w:tr>
      <w:tr w:rsidR="008F0D85">
        <w:trPr>
          <w:trHeight w:val="362"/>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Operativne snage Crvenog križa – Gradsko društvo Crvenog križa Đurđevac</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Stanje transportne potpore</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Stanje komunikacijskih kapaciteta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Operativne snage vatrogastva</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Postrojba civilne zaštite za opće namjene</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Pravne osobe od interesa za sustav civilne zaštite</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bl>
    <w:p w:rsidR="008F0D85" w:rsidRDefault="008F0D85">
      <w:pPr>
        <w:rPr>
          <w:color w:val="000000"/>
          <w:szCs w:val="24"/>
        </w:rPr>
      </w:pPr>
    </w:p>
    <w:p w:rsidR="008F0D85" w:rsidRDefault="00AE42A1">
      <w:r>
        <w:t xml:space="preserve">U slučaju katastrofalnih posljedica, osim analizom navedenih odgovornih i upravljačkih te operativnih kapaciteta, u sanaciju posljedica prijetnje se uključuju redovne gotove </w:t>
      </w:r>
      <w:r>
        <w:t>snage – pravne osobe, koje postupaju prema vlastitim operativnim planovima, odnosno:</w:t>
      </w:r>
    </w:p>
    <w:p w:rsidR="008F0D85" w:rsidRDefault="00AE42A1">
      <w:pPr>
        <w:numPr>
          <w:ilvl w:val="0"/>
          <w:numId w:val="89"/>
        </w:numPr>
        <w:contextualSpacing/>
        <w:rPr>
          <w:color w:val="000000"/>
          <w:szCs w:val="24"/>
          <w:lang w:val="en-US"/>
        </w:rPr>
      </w:pPr>
      <w:r>
        <w:rPr>
          <w:color w:val="000000"/>
          <w:szCs w:val="24"/>
          <w:lang w:val="en-US"/>
        </w:rPr>
        <w:t>Zavod za javno zdravstvo Koprivničko - križevačke županije</w:t>
      </w:r>
    </w:p>
    <w:p w:rsidR="008F0D85" w:rsidRDefault="00AE42A1">
      <w:pPr>
        <w:numPr>
          <w:ilvl w:val="0"/>
          <w:numId w:val="89"/>
        </w:numPr>
        <w:contextualSpacing/>
        <w:rPr>
          <w:color w:val="000000"/>
          <w:szCs w:val="24"/>
          <w:lang w:val="en-US"/>
        </w:rPr>
      </w:pPr>
      <w:r>
        <w:rPr>
          <w:color w:val="000000"/>
          <w:szCs w:val="24"/>
          <w:lang w:val="en-US"/>
        </w:rPr>
        <w:t>Zavod za hitnu medicinu Koprivničko - križevačke županije</w:t>
      </w:r>
    </w:p>
    <w:p w:rsidR="008F0D85" w:rsidRDefault="00AE42A1">
      <w:pPr>
        <w:numPr>
          <w:ilvl w:val="0"/>
          <w:numId w:val="89"/>
        </w:numPr>
        <w:contextualSpacing/>
        <w:rPr>
          <w:color w:val="000000"/>
          <w:szCs w:val="24"/>
          <w:lang w:val="en-US"/>
        </w:rPr>
      </w:pPr>
      <w:r>
        <w:rPr>
          <w:color w:val="000000"/>
          <w:szCs w:val="24"/>
          <w:lang w:val="en-US"/>
        </w:rPr>
        <w:t>Dom zdravlja Koprivničko - križevačke županije</w:t>
      </w:r>
    </w:p>
    <w:p w:rsidR="008F0D85" w:rsidRDefault="00AE42A1">
      <w:pPr>
        <w:numPr>
          <w:ilvl w:val="0"/>
          <w:numId w:val="89"/>
        </w:numPr>
        <w:contextualSpacing/>
        <w:rPr>
          <w:color w:val="000000"/>
          <w:szCs w:val="24"/>
          <w:lang w:val="en-US"/>
        </w:rPr>
      </w:pPr>
      <w:r>
        <w:rPr>
          <w:color w:val="000000"/>
          <w:szCs w:val="24"/>
          <w:lang w:val="en-US"/>
        </w:rPr>
        <w:t>Dom zdr</w:t>
      </w:r>
      <w:r>
        <w:rPr>
          <w:color w:val="000000"/>
          <w:szCs w:val="24"/>
          <w:lang w:val="en-US"/>
        </w:rPr>
        <w:t>avlja Đurđevac</w:t>
      </w:r>
    </w:p>
    <w:p w:rsidR="008F0D85" w:rsidRDefault="00AE42A1">
      <w:pPr>
        <w:numPr>
          <w:ilvl w:val="0"/>
          <w:numId w:val="89"/>
        </w:numPr>
        <w:contextualSpacing/>
        <w:rPr>
          <w:color w:val="000000"/>
          <w:szCs w:val="24"/>
          <w:lang w:val="en-US"/>
        </w:rPr>
      </w:pPr>
      <w:r>
        <w:rPr>
          <w:color w:val="000000"/>
          <w:szCs w:val="24"/>
          <w:lang w:val="en-US"/>
        </w:rPr>
        <w:lastRenderedPageBreak/>
        <w:t>Ambulanta Kloštar Podravski, NU Dom zdravlja Đurđevac</w:t>
      </w:r>
    </w:p>
    <w:p w:rsidR="008F0D85" w:rsidRDefault="00AE42A1">
      <w:pPr>
        <w:numPr>
          <w:ilvl w:val="0"/>
          <w:numId w:val="89"/>
        </w:numPr>
        <w:contextualSpacing/>
        <w:rPr>
          <w:color w:val="000000"/>
          <w:szCs w:val="24"/>
          <w:lang w:val="en-US"/>
        </w:rPr>
      </w:pPr>
      <w:bookmarkStart w:id="1230" w:name="_Hlk520118606"/>
      <w:bookmarkEnd w:id="1230"/>
      <w:r>
        <w:rPr>
          <w:color w:val="000000"/>
          <w:szCs w:val="24"/>
          <w:lang w:val="en-US"/>
        </w:rPr>
        <w:t>Opća bolnica dr. Tomislav Bradek Koprivnica</w:t>
      </w:r>
    </w:p>
    <w:p w:rsidR="008F0D85" w:rsidRDefault="00AE42A1">
      <w:pPr>
        <w:rPr>
          <w:sz w:val="20"/>
          <w:szCs w:val="20"/>
        </w:rPr>
      </w:pPr>
      <w:r>
        <w:rPr>
          <w:sz w:val="20"/>
          <w:szCs w:val="20"/>
        </w:rPr>
        <w:t xml:space="preserve"> </w:t>
      </w:r>
    </w:p>
    <w:p w:rsidR="008F0D85" w:rsidRDefault="00AE42A1">
      <w:pPr>
        <w:pStyle w:val="Naslov4"/>
      </w:pPr>
      <w:bookmarkStart w:id="1231" w:name="_Toc513643691"/>
      <w:bookmarkStart w:id="1232" w:name="_Toc514240280"/>
      <w:bookmarkStart w:id="1233" w:name="_Toc516128363"/>
      <w:bookmarkStart w:id="1234" w:name="_Toc527969473"/>
      <w:bookmarkStart w:id="1235" w:name="_Hlk520118806"/>
      <w:bookmarkEnd w:id="1231"/>
      <w:bookmarkEnd w:id="1232"/>
      <w:bookmarkEnd w:id="1233"/>
      <w:bookmarkEnd w:id="1234"/>
      <w:bookmarkEnd w:id="1235"/>
      <w:r>
        <w:t>8.2.4.2. Ekstremne vremenske pojave – Ekstremne temperature</w:t>
      </w:r>
    </w:p>
    <w:p w:rsidR="008F0D85" w:rsidRDefault="008F0D85">
      <w:pPr>
        <w:rPr>
          <w:lang w:eastAsia="hr-HR"/>
        </w:rPr>
      </w:pPr>
    </w:p>
    <w:p w:rsidR="008F0D85" w:rsidRDefault="00AE42A1">
      <w:pPr>
        <w:rPr>
          <w:rFonts w:cs="Arial"/>
        </w:rPr>
      </w:pPr>
      <w:bookmarkStart w:id="1236" w:name="_Hlk511034400"/>
      <w:bookmarkEnd w:id="1236"/>
      <w:r>
        <w:rPr>
          <w:szCs w:val="24"/>
          <w:lang w:eastAsia="hr-HR"/>
        </w:rPr>
        <w:t xml:space="preserve">Kod pojave ekstremnih temperatura, </w:t>
      </w:r>
      <w:r>
        <w:rPr>
          <w:rFonts w:cs="Arial"/>
        </w:rPr>
        <w:t xml:space="preserve">postojeće snage civilne zaštite s </w:t>
      </w:r>
      <w:r>
        <w:rPr>
          <w:rFonts w:cs="Arial"/>
        </w:rPr>
        <w:t>područja Općine dovoljne su za provođenje mjera civilne zaštite.</w:t>
      </w:r>
    </w:p>
    <w:p w:rsidR="008F0D85" w:rsidRDefault="00AE42A1">
      <w:pPr>
        <w:spacing w:after="0" w:line="360" w:lineRule="auto"/>
        <w:jc w:val="center"/>
        <w:rPr>
          <w:rFonts w:cs="Arial"/>
          <w:b/>
          <w:bCs/>
          <w:sz w:val="20"/>
          <w:szCs w:val="20"/>
          <w:lang w:eastAsia="hr-HR"/>
        </w:rPr>
      </w:pPr>
      <w:bookmarkStart w:id="1237" w:name="_Hlk5110344001"/>
      <w:bookmarkStart w:id="1238" w:name="_Toc513643771"/>
      <w:bookmarkStart w:id="1239" w:name="_Toc514240380"/>
      <w:bookmarkStart w:id="1240" w:name="_Toc516128462"/>
      <w:bookmarkStart w:id="1241" w:name="_Toc527969565"/>
      <w:bookmarkEnd w:id="1237"/>
      <w:r>
        <w:rPr>
          <w:rFonts w:cs="Arial"/>
          <w:b/>
          <w:bCs/>
          <w:sz w:val="20"/>
          <w:szCs w:val="20"/>
        </w:rPr>
        <w:t xml:space="preserve">Tablica </w:t>
      </w:r>
      <w:r>
        <w:rPr>
          <w:rFonts w:cs="Arial"/>
          <w:b/>
          <w:bCs/>
          <w:sz w:val="20"/>
          <w:szCs w:val="20"/>
        </w:rPr>
        <w:fldChar w:fldCharType="begin"/>
      </w:r>
      <w:r>
        <w:instrText>SEQ Tablica \* ARABIC</w:instrText>
      </w:r>
      <w:r>
        <w:fldChar w:fldCharType="separate"/>
      </w:r>
      <w:r>
        <w:t>83</w:t>
      </w:r>
      <w:r>
        <w:fldChar w:fldCharType="end"/>
      </w:r>
      <w:bookmarkEnd w:id="1238"/>
      <w:bookmarkEnd w:id="1239"/>
      <w:bookmarkEnd w:id="1240"/>
      <w:bookmarkEnd w:id="1241"/>
      <w:r>
        <w:rPr>
          <w:rFonts w:cs="Arial"/>
          <w:b/>
          <w:bCs/>
          <w:sz w:val="20"/>
          <w:szCs w:val="20"/>
        </w:rPr>
        <w:t>: Analiza stanja sustava civilne zaštite - Područje reagiranja - Ekstremne temperature</w:t>
      </w:r>
    </w:p>
    <w:tbl>
      <w:tblPr>
        <w:tblW w:w="13758"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7217"/>
        <w:gridCol w:w="1689"/>
        <w:gridCol w:w="55"/>
        <w:gridCol w:w="1635"/>
        <w:gridCol w:w="1542"/>
        <w:gridCol w:w="1620"/>
      </w:tblGrid>
      <w:tr w:rsidR="008F0D85">
        <w:trPr>
          <w:trHeight w:val="352"/>
          <w:jc w:val="center"/>
        </w:trPr>
        <w:tc>
          <w:tcPr>
            <w:tcW w:w="7217"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p w:rsidR="008F0D85" w:rsidRDefault="00AE42A1">
            <w:pPr>
              <w:spacing w:after="0" w:line="240" w:lineRule="auto"/>
              <w:rPr>
                <w:rFonts w:cs="Calibri"/>
                <w:b/>
                <w:sz w:val="20"/>
                <w:szCs w:val="20"/>
              </w:rPr>
            </w:pPr>
            <w:r>
              <w:rPr>
                <w:rFonts w:cs="Calibri"/>
                <w:b/>
                <w:sz w:val="20"/>
                <w:szCs w:val="20"/>
              </w:rPr>
              <w:t>PODRUČJE REAGIRANJA</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Vrlo niska spremnost</w:t>
            </w:r>
          </w:p>
        </w:tc>
        <w:tc>
          <w:tcPr>
            <w:tcW w:w="1635"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Niska spremnost</w:t>
            </w:r>
          </w:p>
        </w:tc>
        <w:tc>
          <w:tcPr>
            <w:tcW w:w="1542"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Visoka sprem</w:t>
            </w:r>
            <w:r>
              <w:rPr>
                <w:rFonts w:cs="Calibri"/>
                <w:b/>
                <w:sz w:val="20"/>
                <w:szCs w:val="20"/>
              </w:rPr>
              <w:t>nost</w:t>
            </w:r>
          </w:p>
        </w:tc>
        <w:tc>
          <w:tcPr>
            <w:tcW w:w="1620"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Vrlo visoka spremnost</w:t>
            </w:r>
          </w:p>
        </w:tc>
      </w:tr>
      <w:tr w:rsidR="008F0D85">
        <w:trPr>
          <w:trHeight w:val="278"/>
          <w:jc w:val="center"/>
        </w:trPr>
        <w:tc>
          <w:tcPr>
            <w:tcW w:w="7217"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4</w:t>
            </w: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3</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2</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1</w:t>
            </w:r>
          </w:p>
        </w:tc>
      </w:tr>
      <w:tr w:rsidR="008F0D85">
        <w:trPr>
          <w:trHeight w:val="278"/>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1. Prikaz procjene spremnosti u sustavu civilne zaštite na temelju spremnosti odgovornih i upravljačkih kapaciteta sustava civilne zaštite za Općinu</w:t>
            </w:r>
          </w:p>
        </w:tc>
      </w:tr>
      <w:tr w:rsidR="008F0D85">
        <w:trPr>
          <w:trHeight w:val="278"/>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Čelne osobe </w:t>
            </w: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w:t>
            </w:r>
            <w:r>
              <w:rPr>
                <w:rFonts w:cs="Calibri"/>
                <w:sz w:val="20"/>
                <w:szCs w:val="20"/>
              </w:rPr>
              <w:t>zaciji i provođenju svih vrsta vježbi civilne zaštite u određenim vremenskim razdobljima.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278"/>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Stožer civilne zaštite </w:t>
            </w: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w:t>
            </w:r>
            <w:r>
              <w:rPr>
                <w:rFonts w:cs="Calibri"/>
                <w:sz w:val="20"/>
                <w:szCs w:val="20"/>
              </w:rPr>
              <w:lastRenderedPageBreak/>
              <w:t>neformalnog obrazovanja za izvršavanje zakonskih obaveza u sustavu civilne zaštite te njihovog stvarnog rada u realnim situacijama.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Koordinator na mjestu izvanrednog događaja</w:t>
            </w:r>
          </w:p>
        </w:tc>
      </w:tr>
      <w:tr w:rsidR="008F0D85">
        <w:trPr>
          <w:trHeight w:val="1730"/>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278"/>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2. Prikaz procjene spremnosti operativnih kapaciteta za Općinu</w:t>
            </w:r>
          </w:p>
        </w:tc>
      </w:tr>
      <w:tr w:rsidR="008F0D85">
        <w:trPr>
          <w:trHeight w:val="278"/>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Operativne snage Crvenog križa – Gradsko društvo Crvenog križa Đurđevac</w:t>
            </w:r>
          </w:p>
        </w:tc>
      </w:tr>
      <w:tr w:rsidR="008F0D85">
        <w:trPr>
          <w:trHeight w:val="278"/>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popunjenosti ljudstvom</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spremnosti zapovjednog osoblja</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osposobljenosti ljudstva i zapovjednog osoblja</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uvježbanosti</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opremljenosti materijalnim sredstvima i opremom</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Vremena mobilizacijske spremnosti/operativne gotovosti</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Samodostatnosti i logističkoj potpori</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u w:val="single"/>
              </w:rPr>
              <w:t>Područje reagiranja - ZBIRNO</w:t>
            </w:r>
          </w:p>
        </w:tc>
        <w:tc>
          <w:tcPr>
            <w:tcW w:w="1744"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35"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Operativne snage vatrogastva</w:t>
            </w: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Stupnja </w:t>
            </w:r>
            <w:r>
              <w:rPr>
                <w:rFonts w:cs="Calibri"/>
                <w:sz w:val="20"/>
                <w:szCs w:val="20"/>
              </w:rPr>
              <w:t>popunjenosti ljudstvom</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spremnosti zapovjednog osoblja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lastRenderedPageBreak/>
              <w:t>Stupnja osposobljenosti ljudstva i zapovjednog osoblja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opremljenosti materijalnim sredstvima i opremom</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Vremena </w:t>
            </w:r>
            <w:r>
              <w:rPr>
                <w:rFonts w:cs="Calibri"/>
                <w:sz w:val="20"/>
                <w:szCs w:val="20"/>
              </w:rPr>
              <w:t>mobilizacijske spremnosti/operativne gotovosti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278"/>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Postrojba civilne zaštite za opće namjene </w:t>
            </w: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Stupnja spremnosti zapovjednog </w:t>
            </w:r>
            <w:r>
              <w:rPr>
                <w:rFonts w:cs="Calibri"/>
                <w:sz w:val="20"/>
                <w:szCs w:val="20"/>
              </w:rPr>
              <w:t>osoblja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osposobljenosti ljudstva i zapovjednog osoblja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opremljenosti materijalnim sredstvima i opremom</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Vremena mobilizacijske spremnosti/operativne gotovosti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Samodostatnosti i </w:t>
            </w:r>
            <w:r>
              <w:rPr>
                <w:rFonts w:cs="Calibri"/>
                <w:sz w:val="20"/>
                <w:szCs w:val="20"/>
              </w:rPr>
              <w:t>logističkoj potpori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Pravne osobe od interesa za sustav civilne zaštite</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spremnosti zapovjednog osoblja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osposobljenosti ljudstva i zapovjednog osoblja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opremljenosti materijalnim sredstvima i opremom</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Vremena mobilizacijske spremnosti/operativne gotovosti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lastRenderedPageBreak/>
              <w:t xml:space="preserve">3. Prikaz stanja </w:t>
            </w:r>
            <w:r>
              <w:rPr>
                <w:rFonts w:cs="Calibri"/>
                <w:b/>
                <w:sz w:val="20"/>
                <w:szCs w:val="20"/>
              </w:rPr>
              <w:t>mobilnosti operativnih kapaciteta sustava civilne zaštite i stanja komunikacijskih kapaciteta Općine</w:t>
            </w:r>
          </w:p>
        </w:tc>
      </w:tr>
      <w:tr w:rsidR="008F0D85">
        <w:trPr>
          <w:trHeight w:val="362"/>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Operativne snage Crvenog križa – Gradsko društvo Crvenog križa Đurđevac</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Stanje transportne potpore</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Stanje komunikacijskih kapaciteta</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Operativne snage vatrogastva</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Postrojba civilne zaštite za opće namjene</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758"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Pravne osobe od interesa za sustav civilne zaštite</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217"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8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bookmarkStart w:id="1242" w:name="_Hlk511034419"/>
            <w:bookmarkEnd w:id="1242"/>
            <w:r>
              <w:rPr>
                <w:rFonts w:cs="Calibri"/>
                <w:b/>
                <w:sz w:val="20"/>
                <w:szCs w:val="20"/>
              </w:rPr>
              <w:t>X</w:t>
            </w:r>
          </w:p>
        </w:tc>
      </w:tr>
    </w:tbl>
    <w:p w:rsidR="008F0D85" w:rsidRDefault="008F0D85">
      <w:pPr>
        <w:rPr>
          <w:sz w:val="20"/>
          <w:szCs w:val="20"/>
        </w:rPr>
      </w:pPr>
    </w:p>
    <w:p w:rsidR="008F0D85" w:rsidRDefault="008F0D85">
      <w:pPr>
        <w:rPr>
          <w:sz w:val="20"/>
          <w:szCs w:val="20"/>
        </w:rPr>
      </w:pPr>
    </w:p>
    <w:p w:rsidR="008F0D85" w:rsidRDefault="00AE42A1">
      <w:pPr>
        <w:pStyle w:val="Naslov4"/>
      </w:pPr>
      <w:bookmarkStart w:id="1243" w:name="_Toc513643692"/>
      <w:bookmarkStart w:id="1244" w:name="_Toc514240282"/>
      <w:bookmarkStart w:id="1245" w:name="_Toc516128365"/>
      <w:bookmarkStart w:id="1246" w:name="_Toc527969474"/>
      <w:bookmarkStart w:id="1247" w:name="_Hlk520119022"/>
      <w:bookmarkStart w:id="1248" w:name="_Hlk5201188061"/>
      <w:bookmarkEnd w:id="1243"/>
      <w:bookmarkEnd w:id="1244"/>
      <w:bookmarkEnd w:id="1245"/>
      <w:bookmarkEnd w:id="1246"/>
      <w:bookmarkEnd w:id="1247"/>
      <w:bookmarkEnd w:id="1248"/>
      <w:r>
        <w:t>8.2.4.3. Suša</w:t>
      </w:r>
    </w:p>
    <w:p w:rsidR="008F0D85" w:rsidRDefault="008F0D85">
      <w:pPr>
        <w:rPr>
          <w:lang w:eastAsia="hr-HR"/>
        </w:rPr>
      </w:pPr>
    </w:p>
    <w:p w:rsidR="008F0D85" w:rsidRDefault="00AE42A1">
      <w:bookmarkStart w:id="1249" w:name="_Hlk511034536"/>
      <w:bookmarkEnd w:id="1249"/>
      <w:r>
        <w:t>Pri pojavi suše, postojeće operativne snage sustava civilne zaštite Općine dovoljne su kako bi Općina sanirala posljedice nastale prijetnjom.</w:t>
      </w:r>
    </w:p>
    <w:p w:rsidR="008F0D85" w:rsidRDefault="00AE42A1">
      <w:pPr>
        <w:spacing w:after="0" w:line="360" w:lineRule="auto"/>
        <w:jc w:val="center"/>
        <w:rPr>
          <w:rFonts w:cs="Arial"/>
          <w:b/>
          <w:bCs/>
          <w:sz w:val="20"/>
          <w:szCs w:val="20"/>
          <w:lang w:eastAsia="hr-HR"/>
        </w:rPr>
      </w:pPr>
      <w:bookmarkStart w:id="1250" w:name="_Hlk5110345361"/>
      <w:bookmarkStart w:id="1251" w:name="_Hlk5201190221"/>
      <w:bookmarkStart w:id="1252" w:name="_Toc513643772"/>
      <w:bookmarkStart w:id="1253" w:name="_Toc514240382"/>
      <w:bookmarkStart w:id="1254" w:name="_Toc516128464"/>
      <w:bookmarkStart w:id="1255" w:name="_Toc527969566"/>
      <w:bookmarkEnd w:id="1250"/>
      <w:bookmarkEnd w:id="1251"/>
      <w:r>
        <w:rPr>
          <w:rFonts w:cs="Arial"/>
          <w:b/>
          <w:bCs/>
          <w:sz w:val="20"/>
          <w:szCs w:val="20"/>
        </w:rPr>
        <w:t xml:space="preserve">Tablica </w:t>
      </w:r>
      <w:r>
        <w:rPr>
          <w:rFonts w:cs="Arial"/>
          <w:b/>
          <w:bCs/>
          <w:sz w:val="20"/>
          <w:szCs w:val="20"/>
        </w:rPr>
        <w:fldChar w:fldCharType="begin"/>
      </w:r>
      <w:r>
        <w:instrText xml:space="preserve">SEQ </w:instrText>
      </w:r>
      <w:r>
        <w:instrText>Tablica \* ARABIC</w:instrText>
      </w:r>
      <w:r>
        <w:fldChar w:fldCharType="separate"/>
      </w:r>
      <w:r>
        <w:t>84</w:t>
      </w:r>
      <w:r>
        <w:fldChar w:fldCharType="end"/>
      </w:r>
      <w:bookmarkEnd w:id="1252"/>
      <w:bookmarkEnd w:id="1253"/>
      <w:bookmarkEnd w:id="1254"/>
      <w:bookmarkEnd w:id="1255"/>
      <w:r>
        <w:rPr>
          <w:rFonts w:cs="Arial"/>
          <w:b/>
          <w:bCs/>
          <w:sz w:val="20"/>
          <w:szCs w:val="20"/>
        </w:rPr>
        <w:t>: Analiza stanja sustava civilne zaštite - Područje reagiranja - Suša</w:t>
      </w:r>
    </w:p>
    <w:tbl>
      <w:tblPr>
        <w:tblW w:w="13900"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7361"/>
        <w:gridCol w:w="1690"/>
        <w:gridCol w:w="1688"/>
        <w:gridCol w:w="1541"/>
        <w:gridCol w:w="1620"/>
      </w:tblGrid>
      <w:tr w:rsidR="008F0D85">
        <w:trPr>
          <w:trHeight w:val="352"/>
          <w:jc w:val="center"/>
        </w:trPr>
        <w:tc>
          <w:tcPr>
            <w:tcW w:w="7361"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p w:rsidR="008F0D85" w:rsidRDefault="00AE42A1">
            <w:pPr>
              <w:spacing w:after="0" w:line="240" w:lineRule="auto"/>
              <w:rPr>
                <w:rFonts w:cs="Calibri"/>
                <w:b/>
                <w:sz w:val="20"/>
                <w:szCs w:val="20"/>
              </w:rPr>
            </w:pPr>
            <w:r>
              <w:rPr>
                <w:rFonts w:cs="Calibri"/>
                <w:b/>
                <w:sz w:val="20"/>
                <w:szCs w:val="20"/>
              </w:rPr>
              <w:t>PODRUČJE REAGIRANJA</w:t>
            </w:r>
          </w:p>
        </w:tc>
        <w:tc>
          <w:tcPr>
            <w:tcW w:w="1690"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Vrlo niska spremnost</w:t>
            </w:r>
          </w:p>
        </w:tc>
        <w:tc>
          <w:tcPr>
            <w:tcW w:w="1688"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Niska spremnost</w:t>
            </w:r>
          </w:p>
        </w:tc>
        <w:tc>
          <w:tcPr>
            <w:tcW w:w="1541"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Visoka spremnost</w:t>
            </w:r>
          </w:p>
        </w:tc>
        <w:tc>
          <w:tcPr>
            <w:tcW w:w="1620"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Vrlo visoka spremnost</w:t>
            </w:r>
          </w:p>
        </w:tc>
      </w:tr>
      <w:tr w:rsidR="008F0D85">
        <w:trPr>
          <w:trHeight w:val="278"/>
          <w:jc w:val="center"/>
        </w:trPr>
        <w:tc>
          <w:tcPr>
            <w:tcW w:w="7361"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4</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3</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2</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1</w:t>
            </w: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 xml:space="preserve">1. Prikaz procjene spremnosti u sustavu civilne </w:t>
            </w:r>
            <w:r>
              <w:rPr>
                <w:rFonts w:cs="Calibri"/>
                <w:b/>
                <w:sz w:val="20"/>
                <w:szCs w:val="20"/>
              </w:rPr>
              <w:t>zaštite na temelju spremnosti odgovornih i upravljačkih kapaciteta sustava civilne zaštite za Općinu</w:t>
            </w: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Čelne osobe </w:t>
            </w:r>
          </w:p>
        </w:tc>
      </w:tr>
      <w:tr w:rsidR="008F0D85">
        <w:trPr>
          <w:trHeight w:val="35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5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w:t>
            </w:r>
            <w:r>
              <w:rPr>
                <w:rFonts w:cs="Calibri"/>
                <w:sz w:val="20"/>
                <w:szCs w:val="20"/>
              </w:rPr>
              <w:t>zaciji i provođenju svih vrsta vježbi civilne zaštite u određenim vremenskim razdobljima.</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pPr>
            <w:r>
              <w:rPr>
                <w:rFonts w:cs="Calibri"/>
                <w:sz w:val="20"/>
                <w:szCs w:val="20"/>
                <w:u w:val="single"/>
              </w:rPr>
              <w:t>Područje reagiranja - ZBIRNO</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Stožer civilne zaštite </w:t>
            </w:r>
          </w:p>
        </w:tc>
      </w:tr>
      <w:tr w:rsidR="008F0D85">
        <w:trPr>
          <w:trHeight w:val="35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u w:val="single"/>
              </w:rPr>
              <w:t>Područje reagiranja - ZBIRNO</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Koordinator na mjestu izvanrednog događaja</w:t>
            </w: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lastRenderedPageBreak/>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w:t>
            </w:r>
            <w:r>
              <w:rPr>
                <w:rFonts w:cs="Calibri"/>
                <w:sz w:val="20"/>
                <w:szCs w:val="20"/>
              </w:rPr>
              <w:t>aciji i provođenju svih vrsta vježbi civilne zaštite u određenim vremenskim razdobljima.</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2. Prikaz procjene spremnosti operativnih kapaciteta za Općinu</w:t>
            </w: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Operativne snage vatrogastva</w:t>
            </w:r>
          </w:p>
        </w:tc>
      </w:tr>
      <w:tr w:rsidR="008F0D85">
        <w:trPr>
          <w:trHeight w:val="35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Stupnja popunjenosti </w:t>
            </w:r>
            <w:r>
              <w:rPr>
                <w:rFonts w:cs="Calibri"/>
                <w:sz w:val="20"/>
                <w:szCs w:val="20"/>
              </w:rPr>
              <w:t>ljudstvom</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spremnosti zapovjednog osoblja</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osposobljenosti ljudstva i zapovjednog osoblja</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opremljenosti materijalnim sredstvima i opremom</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Vremena mobilizacijske </w:t>
            </w:r>
            <w:r>
              <w:rPr>
                <w:rFonts w:cs="Calibri"/>
                <w:sz w:val="20"/>
                <w:szCs w:val="20"/>
              </w:rPr>
              <w:t>spremnosti/operativne gotovosti</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left"/>
              <w:rPr>
                <w:rFonts w:cs="Calibri"/>
                <w:b/>
                <w:sz w:val="20"/>
                <w:szCs w:val="20"/>
              </w:rPr>
            </w:pPr>
            <w:r>
              <w:rPr>
                <w:rFonts w:cs="Calibri"/>
                <w:b/>
                <w:sz w:val="20"/>
                <w:szCs w:val="20"/>
              </w:rPr>
              <w:t xml:space="preserve">Postrojba civilne zaštite za opće namjene </w:t>
            </w: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spremnosti zapovjednog osoblja</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osposobljenosti ljudstva i zapovjednog osoblja</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opremljenosti materijalnim sredstvima i opremom</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Vremena mobilizacijske spremnosti/operativne gotovosti</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u w:val="single"/>
              </w:rPr>
              <w:t>Područje reagiranja - ZBIRNO</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23"/>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left"/>
              <w:rPr>
                <w:rFonts w:cs="Calibri"/>
                <w:b/>
                <w:sz w:val="20"/>
                <w:szCs w:val="20"/>
              </w:rPr>
            </w:pPr>
            <w:r>
              <w:rPr>
                <w:rFonts w:cs="Calibri"/>
                <w:b/>
                <w:sz w:val="20"/>
                <w:szCs w:val="20"/>
              </w:rPr>
              <w:t>Povjerenici civilne zaštite</w:t>
            </w: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lastRenderedPageBreak/>
              <w:t>Stupnja popunjenosti ljudstvom</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spremnosti zapovjednog osoblja</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osposobljenosti ljudstva i zapovjednog osoblja</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Stupnja </w:t>
            </w:r>
            <w:r>
              <w:rPr>
                <w:rFonts w:cs="Calibri"/>
                <w:sz w:val="20"/>
                <w:szCs w:val="20"/>
              </w:rPr>
              <w:t>opremljenosti materijalnim sredstvima i opremom</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Vremena mobilizacijske spremnosti/operativne gotovosti</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Pravne osobe od interesa za sustav civilne zaštite</w:t>
            </w: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spremnosti zapovjednog osoblja</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osposobljenosti ljudstva i zapovjednog osoblja</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opremljenosti materijalnim sredstvima i opremom</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X</w:t>
            </w: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Vremena </w:t>
            </w:r>
            <w:r>
              <w:rPr>
                <w:rFonts w:cs="Calibri"/>
                <w:sz w:val="20"/>
                <w:szCs w:val="20"/>
              </w:rPr>
              <w:t>mobilizacijske spremnosti/operativne gotovosti</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u w:val="single"/>
              </w:rPr>
              <w:t>Područje reagiranja - ZBIRNO</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3. Prikaz stanja mobilnosti operativnih kapaciteta sustava civilne zaštite i stanja komunikacijskih kapaciteta Općine</w:t>
            </w: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Operativne snage vatrogastva</w:t>
            </w: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Postrojba civilne zaštite za opće namjene</w:t>
            </w: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lastRenderedPageBreak/>
              <w:t xml:space="preserve">Stanje komunikacijskih kapaciteta </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left"/>
              <w:rPr>
                <w:rFonts w:cs="Calibri"/>
                <w:b/>
                <w:sz w:val="20"/>
                <w:szCs w:val="20"/>
              </w:rPr>
            </w:pPr>
            <w:r>
              <w:rPr>
                <w:rFonts w:cs="Calibri"/>
                <w:b/>
                <w:sz w:val="20"/>
                <w:szCs w:val="20"/>
              </w:rPr>
              <w:t>Povjerenici civilne zaštite</w:t>
            </w: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 xml:space="preserve">Pravne osobe od interesa za sustav civilne zaštite </w:t>
            </w: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361"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9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88"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4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bookmarkStart w:id="1256" w:name="_Hlk511034554"/>
            <w:bookmarkEnd w:id="1256"/>
            <w:r>
              <w:rPr>
                <w:rFonts w:cs="Calibri"/>
                <w:b/>
                <w:sz w:val="20"/>
                <w:szCs w:val="20"/>
              </w:rPr>
              <w:t>X</w:t>
            </w:r>
          </w:p>
        </w:tc>
      </w:tr>
    </w:tbl>
    <w:p w:rsidR="008F0D85" w:rsidRDefault="008F0D85">
      <w:pPr>
        <w:rPr>
          <w:sz w:val="20"/>
          <w:szCs w:val="20"/>
        </w:rPr>
      </w:pPr>
    </w:p>
    <w:p w:rsidR="008F0D85" w:rsidRDefault="008F0D85">
      <w:pPr>
        <w:rPr>
          <w:sz w:val="20"/>
          <w:szCs w:val="20"/>
        </w:rPr>
      </w:pPr>
    </w:p>
    <w:p w:rsidR="008F0D85" w:rsidRDefault="008F0D85">
      <w:pPr>
        <w:rPr>
          <w:sz w:val="20"/>
          <w:szCs w:val="20"/>
        </w:rPr>
      </w:pPr>
    </w:p>
    <w:p w:rsidR="008F0D85" w:rsidRDefault="008F0D85">
      <w:pPr>
        <w:rPr>
          <w:sz w:val="20"/>
          <w:szCs w:val="20"/>
        </w:rPr>
      </w:pPr>
    </w:p>
    <w:p w:rsidR="008F0D85" w:rsidRDefault="008F0D85">
      <w:pPr>
        <w:rPr>
          <w:sz w:val="20"/>
          <w:szCs w:val="20"/>
        </w:rPr>
      </w:pPr>
    </w:p>
    <w:p w:rsidR="008F0D85" w:rsidRDefault="00AE42A1">
      <w:pPr>
        <w:pStyle w:val="Naslov4"/>
      </w:pPr>
      <w:bookmarkStart w:id="1257" w:name="_Toc513643693"/>
      <w:bookmarkStart w:id="1258" w:name="_Toc514240283"/>
      <w:bookmarkStart w:id="1259" w:name="_Toc516128366"/>
      <w:bookmarkStart w:id="1260" w:name="_Toc527969475"/>
      <w:bookmarkEnd w:id="1257"/>
      <w:bookmarkEnd w:id="1258"/>
      <w:bookmarkEnd w:id="1259"/>
      <w:bookmarkEnd w:id="1260"/>
      <w:r>
        <w:t>8.2.4.4. Poplava – Poplava izazvana izlijevanjem kopnenih vodenih tijela</w:t>
      </w:r>
    </w:p>
    <w:p w:rsidR="008F0D85" w:rsidRDefault="008F0D85">
      <w:pPr>
        <w:rPr>
          <w:lang w:eastAsia="hr-HR"/>
        </w:rPr>
      </w:pPr>
    </w:p>
    <w:p w:rsidR="008F0D85" w:rsidRDefault="00AE42A1">
      <w:pPr>
        <w:rPr>
          <w:color w:val="000000"/>
          <w:szCs w:val="24"/>
        </w:rPr>
      </w:pPr>
      <w:bookmarkStart w:id="1261" w:name="_Hlk511034705"/>
      <w:bookmarkEnd w:id="1261"/>
      <w:r>
        <w:rPr>
          <w:color w:val="000000"/>
          <w:szCs w:val="24"/>
        </w:rPr>
        <w:t xml:space="preserve">U </w:t>
      </w:r>
      <w:r>
        <w:rPr>
          <w:color w:val="000000"/>
          <w:szCs w:val="24"/>
        </w:rPr>
        <w:t>slučaju nastanka poplava izazvanih izlijevanjem kopnenih vodenih tijela na području Općine, Općina nije u stanju sama sanirati i otkloniti posljedice nastale prijetnjom.</w:t>
      </w:r>
    </w:p>
    <w:p w:rsidR="008F0D85" w:rsidRDefault="00AE42A1">
      <w:pPr>
        <w:spacing w:after="0" w:line="360" w:lineRule="auto"/>
        <w:jc w:val="center"/>
        <w:rPr>
          <w:rFonts w:cs="Arial"/>
          <w:b/>
          <w:bCs/>
          <w:color w:val="000000"/>
          <w:sz w:val="20"/>
          <w:szCs w:val="24"/>
        </w:rPr>
      </w:pPr>
      <w:bookmarkStart w:id="1262" w:name="_Hlk5110347051"/>
      <w:bookmarkStart w:id="1263" w:name="_Toc513643773"/>
      <w:bookmarkStart w:id="1264" w:name="_Toc514240383"/>
      <w:bookmarkStart w:id="1265" w:name="_Toc516128465"/>
      <w:bookmarkStart w:id="1266" w:name="_Toc527969567"/>
      <w:bookmarkEnd w:id="1262"/>
      <w:r>
        <w:rPr>
          <w:rFonts w:cs="Arial"/>
          <w:b/>
          <w:bCs/>
          <w:sz w:val="20"/>
          <w:szCs w:val="20"/>
        </w:rPr>
        <w:t xml:space="preserve">Tablica </w:t>
      </w:r>
      <w:r>
        <w:rPr>
          <w:rFonts w:cs="Arial"/>
          <w:b/>
          <w:bCs/>
          <w:sz w:val="20"/>
          <w:szCs w:val="20"/>
        </w:rPr>
        <w:fldChar w:fldCharType="begin"/>
      </w:r>
      <w:r>
        <w:instrText>SEQ Tablica \* ARABIC</w:instrText>
      </w:r>
      <w:r>
        <w:fldChar w:fldCharType="separate"/>
      </w:r>
      <w:r>
        <w:t>85</w:t>
      </w:r>
      <w:r>
        <w:fldChar w:fldCharType="end"/>
      </w:r>
      <w:bookmarkEnd w:id="1263"/>
      <w:bookmarkEnd w:id="1264"/>
      <w:bookmarkEnd w:id="1265"/>
      <w:bookmarkEnd w:id="1266"/>
      <w:r>
        <w:rPr>
          <w:rFonts w:cs="Arial"/>
          <w:b/>
          <w:bCs/>
          <w:sz w:val="20"/>
          <w:szCs w:val="20"/>
        </w:rPr>
        <w:t xml:space="preserve">: Analiza stanja sustava civilne zaštite - Područje </w:t>
      </w:r>
      <w:r>
        <w:rPr>
          <w:rFonts w:cs="Arial"/>
          <w:b/>
          <w:bCs/>
          <w:sz w:val="20"/>
          <w:szCs w:val="20"/>
        </w:rPr>
        <w:t>reagiranja - Poplava</w:t>
      </w:r>
    </w:p>
    <w:tbl>
      <w:tblPr>
        <w:tblW w:w="13900"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7672"/>
        <w:gridCol w:w="1726"/>
        <w:gridCol w:w="71"/>
        <w:gridCol w:w="1446"/>
        <w:gridCol w:w="1422"/>
        <w:gridCol w:w="1563"/>
      </w:tblGrid>
      <w:tr w:rsidR="008F0D85">
        <w:trPr>
          <w:trHeight w:val="352"/>
          <w:jc w:val="center"/>
        </w:trPr>
        <w:tc>
          <w:tcPr>
            <w:tcW w:w="7674"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p w:rsidR="008F0D85" w:rsidRDefault="00AE42A1">
            <w:pPr>
              <w:spacing w:after="0" w:line="240" w:lineRule="auto"/>
              <w:rPr>
                <w:rFonts w:cs="Calibri"/>
                <w:b/>
                <w:sz w:val="20"/>
                <w:szCs w:val="20"/>
              </w:rPr>
            </w:pPr>
            <w:r>
              <w:rPr>
                <w:rFonts w:cs="Calibri"/>
                <w:b/>
                <w:sz w:val="20"/>
                <w:szCs w:val="20"/>
              </w:rPr>
              <w:t>PODRUČJE REAGIRANJA</w:t>
            </w:r>
          </w:p>
        </w:tc>
        <w:tc>
          <w:tcPr>
            <w:tcW w:w="172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Vrlo niska spremnost</w:t>
            </w: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Niska spremnost</w:t>
            </w:r>
          </w:p>
        </w:tc>
        <w:tc>
          <w:tcPr>
            <w:tcW w:w="142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Visoka spremnost</w:t>
            </w:r>
          </w:p>
        </w:tc>
        <w:tc>
          <w:tcPr>
            <w:tcW w:w="1563"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Vrlo visoka spremnost</w:t>
            </w:r>
          </w:p>
        </w:tc>
      </w:tr>
      <w:tr w:rsidR="008F0D85">
        <w:trPr>
          <w:trHeight w:val="278"/>
          <w:jc w:val="center"/>
        </w:trPr>
        <w:tc>
          <w:tcPr>
            <w:tcW w:w="7674"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4</w:t>
            </w: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3</w:t>
            </w: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2</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1</w:t>
            </w:r>
          </w:p>
        </w:tc>
      </w:tr>
      <w:tr w:rsidR="008F0D85">
        <w:trPr>
          <w:trHeight w:val="278"/>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lastRenderedPageBreak/>
              <w:t xml:space="preserve">1. Prikaz procjene spremnosti u sustavu civilne zaštite na temelju spremnosti odgovornih i upravljačkih kapaciteta </w:t>
            </w:r>
            <w:r>
              <w:rPr>
                <w:rFonts w:cs="Calibri"/>
                <w:b/>
                <w:sz w:val="20"/>
                <w:szCs w:val="20"/>
              </w:rPr>
              <w:t>sustava civilne zaštite za Općinu</w:t>
            </w:r>
          </w:p>
        </w:tc>
      </w:tr>
      <w:tr w:rsidR="008F0D85">
        <w:trPr>
          <w:trHeight w:val="278"/>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Čelne osobe </w:t>
            </w:r>
          </w:p>
        </w:tc>
      </w:tr>
      <w:tr w:rsidR="008F0D85">
        <w:trPr>
          <w:trHeight w:val="35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5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pPr>
            <w:r>
              <w:rPr>
                <w:rFonts w:cs="Calibri"/>
                <w:sz w:val="20"/>
                <w:szCs w:val="20"/>
                <w:u w:val="single"/>
              </w:rPr>
              <w:t>Područje reagiranja - ZBIRNO</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278"/>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Stožer civilne zaštite </w:t>
            </w:r>
          </w:p>
        </w:tc>
      </w:tr>
      <w:tr w:rsidR="008F0D85">
        <w:trPr>
          <w:trHeight w:val="35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u w:val="single"/>
              </w:rPr>
              <w:t>Područje reagiranja - ZBIRNO</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Koordinator na mjestu izvanrednog događaja</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rPr>
              <w:lastRenderedPageBreak/>
              <w:t xml:space="preserve">Procjena </w:t>
            </w:r>
            <w:r>
              <w:rPr>
                <w:rFonts w:cs="Calibri"/>
                <w:b/>
                <w:sz w:val="20"/>
                <w:szCs w:val="20"/>
              </w:rPr>
              <w:t>UVJEŽBANOSTI</w:t>
            </w:r>
            <w:r>
              <w:rPr>
                <w:rFonts w:cs="Calibri"/>
                <w:sz w:val="20"/>
                <w:szCs w:val="20"/>
              </w:rPr>
              <w:t xml:space="preserve"> na temelju podataka o sudjelovanju u organiz</w:t>
            </w:r>
            <w:r>
              <w:rPr>
                <w:rFonts w:cs="Calibri"/>
                <w:sz w:val="20"/>
                <w:szCs w:val="20"/>
              </w:rPr>
              <w:t>aciji i provođenju svih vrsta vježbi civilne zaštite u određenim vremenskim razdobljima.</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278"/>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2. Prikaz procjene spremnosti operativnih kapaciteta za Općinu</w:t>
            </w:r>
          </w:p>
        </w:tc>
      </w:tr>
      <w:tr w:rsidR="008F0D85">
        <w:trPr>
          <w:trHeight w:val="278"/>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Operativne snage vatrogastva</w:t>
            </w:r>
          </w:p>
        </w:tc>
      </w:tr>
      <w:tr w:rsidR="008F0D85">
        <w:trPr>
          <w:trHeight w:val="278"/>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 xml:space="preserve">Stupnja popunjenosti </w:t>
            </w:r>
            <w:r>
              <w:rPr>
                <w:rFonts w:cs="Calibri"/>
                <w:sz w:val="20"/>
                <w:szCs w:val="20"/>
              </w:rPr>
              <w:t>ljudstvom</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spremnosti zapovjednog osoblja</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osposobljenosti ljudstva i zapovjednog osoblja</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uvježbanosti</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opremljenosti materijalnim sredstvima i opremom</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 xml:space="preserve">Vremena mobilizacijske </w:t>
            </w:r>
            <w:r>
              <w:rPr>
                <w:rFonts w:cs="Calibri"/>
                <w:sz w:val="20"/>
                <w:szCs w:val="20"/>
              </w:rPr>
              <w:t>spremnosti/operativne gotovosti</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Samodostatnosti i logističkoj potpori</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u w:val="single"/>
              </w:rPr>
              <w:t>Područje reagiranja - ZBIRNO</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Operativne snage Crvenog križa – Gradsko društvo Crvenog križa Đurđevac</w:t>
            </w:r>
          </w:p>
        </w:tc>
      </w:tr>
      <w:tr w:rsidR="008F0D85">
        <w:trPr>
          <w:trHeight w:val="35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Stupnja spremnosti </w:t>
            </w:r>
            <w:r>
              <w:rPr>
                <w:rFonts w:cs="Calibri"/>
                <w:sz w:val="20"/>
                <w:szCs w:val="20"/>
              </w:rPr>
              <w:t>zapovjednog osoblja</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osposobljenosti ljudstva i zapovjednog osoblja</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opremljenosti materijalnim sredstvima i opremom</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Vremena mobilizacijske spremnosti/operativne gotovosti</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278"/>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Postrojba civilne zaštite za opće namjene </w:t>
            </w:r>
          </w:p>
        </w:tc>
      </w:tr>
      <w:tr w:rsidR="008F0D85">
        <w:trPr>
          <w:trHeight w:val="35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5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spremnosti zapovjednog osoblja</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Stupnja osposobljenosti ljudstva i </w:t>
            </w:r>
            <w:r>
              <w:rPr>
                <w:rFonts w:cs="Calibri"/>
                <w:sz w:val="20"/>
                <w:szCs w:val="20"/>
              </w:rPr>
              <w:t>zapovjednog osoblja</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lastRenderedPageBreak/>
              <w:t>Stupnja opremljenosti materijalnim sredstvima i opremom</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Vremena mobilizacijske spremnosti/operativne gotovosti</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u w:val="single"/>
              </w:rPr>
              <w:t>Područje reagiranja - ZBIRNO</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205"/>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Povjerenici civilne zaštite</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spremnosti zapovjednog osoblja</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osposobljenosti ljudstva i zapovjednog osoblja</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Stupnja opremljenosti materijalnim sredstvima i </w:t>
            </w:r>
            <w:r>
              <w:rPr>
                <w:rFonts w:cs="Calibri"/>
                <w:sz w:val="20"/>
                <w:szCs w:val="20"/>
              </w:rPr>
              <w:t>opremom</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Vremena mobilizacijske spremnosti/operativne gotovosti</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u w:val="single"/>
              </w:rPr>
              <w:t>Područje reagiranja - ZBIRNO</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Pravne osobe od interesa za sustav civilne zaštite</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spremnosti zapovjednog osoblja</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osposobljenosti ljudstva i zapovjednog osoblja</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opremljenosti materijalnim sredstvima i opremom</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Vremena mobilizacijske </w:t>
            </w:r>
            <w:r>
              <w:rPr>
                <w:rFonts w:cs="Calibri"/>
                <w:sz w:val="20"/>
                <w:szCs w:val="20"/>
              </w:rPr>
              <w:t>spremnosti/operativne gotovosti</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pPr>
            <w:r>
              <w:rPr>
                <w:rFonts w:cs="Calibri"/>
                <w:sz w:val="20"/>
                <w:szCs w:val="20"/>
                <w:u w:val="single"/>
              </w:rPr>
              <w:t>Područje reagiranja - ZBIRNO</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Hrvatska gorska služba spašavanja – Stanica Koprivnica</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Stupnja popunjenosti ljudstvom</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lastRenderedPageBreak/>
              <w:t>Stupnja spremnosti zapovjednog osoblja</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Stupnja osposobljenosti ljudstva i zapovjednog osoblja</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Stupnja uvježbanosti</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Stupnja opremljenosti materijalnim sredstvima i opremom</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Vremena mobilizacijske spremnosti/operativne gotovosti</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Samodostatnosti i logističkoj potpori</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u w:val="single"/>
              </w:rPr>
              <w:t>Područje reagiranja - ZBIRNO</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3. Prikaz stanja mobilnosti operativnih kapaciteta sustava civilne zaštite i stanja komunikacijskih kapaciteta Općine</w:t>
            </w:r>
          </w:p>
        </w:tc>
      </w:tr>
      <w:tr w:rsidR="008F0D85">
        <w:trPr>
          <w:trHeight w:val="362"/>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Operativne snage vatrogastva</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Stanje transportne potpore</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 xml:space="preserve">Stanje komunikacijskih </w:t>
            </w:r>
            <w:r>
              <w:rPr>
                <w:rFonts w:cs="Calibri"/>
                <w:sz w:val="20"/>
                <w:szCs w:val="20"/>
              </w:rPr>
              <w:t>kapaciteta</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u w:val="single"/>
              </w:rPr>
              <w:t>Područje reagiranja - ZBIRNO</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Operativne snage Crvenog križa – gradsko društvo Crvenog križa Đurđevac</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 xml:space="preserve">Postrojba civilne zaštite za opće namjene </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 xml:space="preserve">Povjerenici civilne zaštite </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lastRenderedPageBreak/>
              <w:t xml:space="preserve">Pravne osobe od interesa za sustav civilne zaštite </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797"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44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42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900" w:type="dxa"/>
            <w:gridSpan w:val="6"/>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 xml:space="preserve">Hrvatska </w:t>
            </w:r>
            <w:r>
              <w:rPr>
                <w:rFonts w:cs="Calibri"/>
                <w:b/>
                <w:sz w:val="20"/>
                <w:szCs w:val="20"/>
              </w:rPr>
              <w:t>gorska služba spašavanja – Stanica Koprivnica</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Stanje transportne potpore</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Stanje komunikacijskih kapaciteta</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67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u w:val="single"/>
              </w:rPr>
              <w:t>Područje reagiranja - ZBIRNO</w:t>
            </w:r>
          </w:p>
        </w:tc>
        <w:tc>
          <w:tcPr>
            <w:tcW w:w="172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7" w:type="dxa"/>
            <w:gridSpan w:val="2"/>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420"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6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bookmarkStart w:id="1267" w:name="_Hlk511034725"/>
            <w:bookmarkEnd w:id="1267"/>
            <w:r>
              <w:rPr>
                <w:rFonts w:cs="Calibri"/>
                <w:b/>
                <w:sz w:val="20"/>
                <w:szCs w:val="20"/>
              </w:rPr>
              <w:t>X</w:t>
            </w:r>
          </w:p>
        </w:tc>
      </w:tr>
    </w:tbl>
    <w:p w:rsidR="008F0D85" w:rsidRDefault="008F0D85">
      <w:pPr>
        <w:rPr>
          <w:sz w:val="20"/>
          <w:szCs w:val="20"/>
        </w:rPr>
      </w:pPr>
    </w:p>
    <w:p w:rsidR="008F0D85" w:rsidRDefault="00AE42A1">
      <w:bookmarkStart w:id="1268" w:name="_Hlk520118907"/>
      <w:bookmarkEnd w:id="1268"/>
      <w:r>
        <w:t xml:space="preserve">U slučaju katastrofalnih posljedica, osim analizom navedenih odgovornih i upravljačkih te </w:t>
      </w:r>
      <w:r>
        <w:t>operativnih kapaciteta, u sanaciju posljedica prijetnje se uključuju redovne gotove snage – pravne osobe, koje postupaju prema vlastitim operativnim planovima, odnosno:</w:t>
      </w:r>
    </w:p>
    <w:p w:rsidR="008F0D85" w:rsidRDefault="00AE42A1">
      <w:pPr>
        <w:numPr>
          <w:ilvl w:val="0"/>
          <w:numId w:val="85"/>
        </w:numPr>
        <w:spacing w:after="0"/>
        <w:contextualSpacing/>
        <w:jc w:val="left"/>
        <w:rPr>
          <w:szCs w:val="24"/>
          <w:lang w:val="en-US" w:eastAsia="hr-HR"/>
        </w:rPr>
      </w:pPr>
      <w:r>
        <w:rPr>
          <w:szCs w:val="24"/>
          <w:lang w:val="en-US" w:eastAsia="hr-HR"/>
        </w:rPr>
        <w:t>MUP - Policijska uprava Koprivničko - križevačka, Policijska postaja Đurđevac</w:t>
      </w:r>
    </w:p>
    <w:p w:rsidR="008F0D85" w:rsidRDefault="00AE42A1">
      <w:pPr>
        <w:numPr>
          <w:ilvl w:val="0"/>
          <w:numId w:val="85"/>
        </w:numPr>
        <w:spacing w:after="0"/>
        <w:contextualSpacing/>
        <w:jc w:val="left"/>
        <w:rPr>
          <w:szCs w:val="24"/>
          <w:lang w:val="en-US" w:eastAsia="hr-HR"/>
        </w:rPr>
      </w:pPr>
      <w:r>
        <w:rPr>
          <w:szCs w:val="24"/>
          <w:lang w:val="en-US"/>
        </w:rPr>
        <w:t>Postrojba civilne zaštite za spašavanje iz ruševina</w:t>
      </w:r>
    </w:p>
    <w:p w:rsidR="008F0D85" w:rsidRDefault="00AE42A1">
      <w:pPr>
        <w:numPr>
          <w:ilvl w:val="0"/>
          <w:numId w:val="85"/>
        </w:numPr>
        <w:spacing w:after="0"/>
        <w:contextualSpacing/>
        <w:jc w:val="left"/>
        <w:rPr>
          <w:szCs w:val="24"/>
          <w:lang w:val="en-US" w:eastAsia="hr-HR"/>
        </w:rPr>
      </w:pPr>
      <w:r>
        <w:rPr>
          <w:szCs w:val="24"/>
          <w:lang w:val="en-US" w:eastAsia="hr-HR"/>
        </w:rPr>
        <w:t>Centar za socijalnu skrb Koprivničko – križevačke županije</w:t>
      </w:r>
    </w:p>
    <w:p w:rsidR="008F0D85" w:rsidRDefault="00AE42A1">
      <w:pPr>
        <w:numPr>
          <w:ilvl w:val="0"/>
          <w:numId w:val="85"/>
        </w:numPr>
        <w:spacing w:after="0"/>
        <w:contextualSpacing/>
        <w:jc w:val="left"/>
        <w:rPr>
          <w:szCs w:val="24"/>
          <w:lang w:val="en-US" w:eastAsia="hr-HR"/>
        </w:rPr>
      </w:pPr>
      <w:r>
        <w:rPr>
          <w:szCs w:val="24"/>
          <w:lang w:val="en-US" w:eastAsia="hr-HR"/>
        </w:rPr>
        <w:t>Caritas Koprivničko - križevačke županije</w:t>
      </w:r>
    </w:p>
    <w:p w:rsidR="008F0D85" w:rsidRDefault="00AE42A1">
      <w:pPr>
        <w:numPr>
          <w:ilvl w:val="0"/>
          <w:numId w:val="85"/>
        </w:numPr>
        <w:spacing w:after="0"/>
        <w:contextualSpacing/>
        <w:jc w:val="left"/>
        <w:rPr>
          <w:szCs w:val="24"/>
          <w:lang w:val="en-US" w:eastAsia="hr-HR"/>
        </w:rPr>
      </w:pPr>
      <w:r>
        <w:rPr>
          <w:szCs w:val="24"/>
          <w:lang w:val="en-US" w:eastAsia="hr-HR"/>
        </w:rPr>
        <w:t>Hrvatske šume, Uprava šuma Podružnica Koprivnica</w:t>
      </w:r>
    </w:p>
    <w:p w:rsidR="008F0D85" w:rsidRDefault="00AE42A1">
      <w:pPr>
        <w:numPr>
          <w:ilvl w:val="0"/>
          <w:numId w:val="85"/>
        </w:numPr>
        <w:spacing w:after="0"/>
        <w:contextualSpacing/>
        <w:jc w:val="left"/>
        <w:rPr>
          <w:szCs w:val="24"/>
          <w:lang w:val="en-US" w:eastAsia="hr-HR"/>
        </w:rPr>
      </w:pPr>
      <w:r>
        <w:rPr>
          <w:szCs w:val="24"/>
          <w:lang w:val="en-US" w:eastAsia="hr-HR"/>
        </w:rPr>
        <w:t>Hrvatski Telekom d.d. Zagreb</w:t>
      </w:r>
    </w:p>
    <w:p w:rsidR="008F0D85" w:rsidRDefault="00AE42A1">
      <w:pPr>
        <w:numPr>
          <w:ilvl w:val="0"/>
          <w:numId w:val="85"/>
        </w:numPr>
        <w:tabs>
          <w:tab w:val="left" w:pos="426"/>
        </w:tabs>
        <w:contextualSpacing/>
        <w:jc w:val="left"/>
        <w:rPr>
          <w:szCs w:val="24"/>
          <w:lang w:val="en-US"/>
        </w:rPr>
      </w:pPr>
      <w:r>
        <w:rPr>
          <w:szCs w:val="24"/>
          <w:lang w:val="en-US" w:eastAsia="hr-HR"/>
        </w:rPr>
        <w:t>Hrvatski zavod za toksiko</w:t>
      </w:r>
      <w:r>
        <w:rPr>
          <w:szCs w:val="24"/>
          <w:lang w:val="en-US" w:eastAsia="hr-HR"/>
        </w:rPr>
        <w:t>logiju i antidoping Zagreb</w:t>
      </w:r>
    </w:p>
    <w:p w:rsidR="008F0D85" w:rsidRDefault="00AE42A1">
      <w:pPr>
        <w:numPr>
          <w:ilvl w:val="0"/>
          <w:numId w:val="85"/>
        </w:numPr>
        <w:spacing w:after="0"/>
        <w:contextualSpacing/>
        <w:rPr>
          <w:szCs w:val="24"/>
          <w:lang w:val="en-US" w:eastAsia="hr-HR"/>
        </w:rPr>
      </w:pPr>
      <w:r>
        <w:rPr>
          <w:szCs w:val="24"/>
          <w:lang w:val="en-US" w:eastAsia="hr-HR"/>
        </w:rPr>
        <w:t>Veterinarska  stanica Đurđevac</w:t>
      </w:r>
    </w:p>
    <w:p w:rsidR="008F0D85" w:rsidRDefault="00AE42A1">
      <w:pPr>
        <w:numPr>
          <w:ilvl w:val="0"/>
          <w:numId w:val="85"/>
        </w:numPr>
        <w:spacing w:after="0"/>
        <w:contextualSpacing/>
        <w:rPr>
          <w:szCs w:val="24"/>
          <w:lang w:val="en-US" w:eastAsia="hr-HR"/>
        </w:rPr>
      </w:pPr>
      <w:r>
        <w:rPr>
          <w:szCs w:val="24"/>
          <w:lang w:val="en-US" w:eastAsia="hr-HR"/>
        </w:rPr>
        <w:t>HEP ODS d.o.o  „Elektra“  Bjelovar  – Područna ispostava Križevci</w:t>
      </w:r>
    </w:p>
    <w:p w:rsidR="008F0D85" w:rsidRDefault="00AE42A1">
      <w:pPr>
        <w:numPr>
          <w:ilvl w:val="0"/>
          <w:numId w:val="85"/>
        </w:numPr>
        <w:contextualSpacing/>
        <w:rPr>
          <w:szCs w:val="24"/>
          <w:lang w:val="en-US"/>
        </w:rPr>
      </w:pPr>
      <w:r>
        <w:rPr>
          <w:szCs w:val="24"/>
          <w:lang w:val="en-US" w:eastAsia="hr-HR"/>
        </w:rPr>
        <w:t>Županijska uprava za ceste Koprivničko - križevačke županije</w:t>
      </w:r>
    </w:p>
    <w:p w:rsidR="008F0D85" w:rsidRDefault="00AE42A1">
      <w:pPr>
        <w:numPr>
          <w:ilvl w:val="0"/>
          <w:numId w:val="85"/>
        </w:numPr>
        <w:contextualSpacing/>
        <w:jc w:val="left"/>
        <w:rPr>
          <w:szCs w:val="24"/>
          <w:lang w:val="en-US"/>
        </w:rPr>
      </w:pPr>
      <w:r>
        <w:rPr>
          <w:szCs w:val="24"/>
          <w:lang w:val="en-US"/>
        </w:rPr>
        <w:t>Zavod za hitnu medicinu Koprivničko - križevačke županije</w:t>
      </w:r>
    </w:p>
    <w:p w:rsidR="008F0D85" w:rsidRDefault="00AE42A1">
      <w:pPr>
        <w:numPr>
          <w:ilvl w:val="0"/>
          <w:numId w:val="85"/>
        </w:numPr>
        <w:contextualSpacing/>
        <w:jc w:val="left"/>
        <w:rPr>
          <w:szCs w:val="24"/>
          <w:lang w:val="en-US"/>
        </w:rPr>
      </w:pPr>
      <w:r>
        <w:rPr>
          <w:szCs w:val="24"/>
          <w:lang w:val="en-US"/>
        </w:rPr>
        <w:t>Zavod za javn</w:t>
      </w:r>
      <w:r>
        <w:rPr>
          <w:szCs w:val="24"/>
          <w:lang w:val="en-US"/>
        </w:rPr>
        <w:t>o zdravstvo Koprivničko - križevačke županije</w:t>
      </w:r>
    </w:p>
    <w:p w:rsidR="008F0D85" w:rsidRDefault="00AE42A1">
      <w:pPr>
        <w:numPr>
          <w:ilvl w:val="0"/>
          <w:numId w:val="85"/>
        </w:numPr>
        <w:contextualSpacing/>
        <w:jc w:val="left"/>
        <w:rPr>
          <w:szCs w:val="24"/>
          <w:lang w:val="en-US"/>
        </w:rPr>
      </w:pPr>
      <w:r>
        <w:rPr>
          <w:szCs w:val="24"/>
          <w:lang w:val="en-US"/>
        </w:rPr>
        <w:t>Dom zdravlja Koprivničko - križevačke županije</w:t>
      </w:r>
    </w:p>
    <w:p w:rsidR="008F0D85" w:rsidRDefault="00AE42A1">
      <w:pPr>
        <w:numPr>
          <w:ilvl w:val="0"/>
          <w:numId w:val="85"/>
        </w:numPr>
        <w:contextualSpacing/>
        <w:jc w:val="left"/>
        <w:rPr>
          <w:szCs w:val="24"/>
          <w:lang w:val="en-US"/>
        </w:rPr>
      </w:pPr>
      <w:r>
        <w:rPr>
          <w:szCs w:val="24"/>
          <w:lang w:val="en-US"/>
        </w:rPr>
        <w:t>Dom zdravlja Đurđevac</w:t>
      </w:r>
    </w:p>
    <w:p w:rsidR="008F0D85" w:rsidRDefault="00AE42A1">
      <w:pPr>
        <w:numPr>
          <w:ilvl w:val="0"/>
          <w:numId w:val="85"/>
        </w:numPr>
        <w:contextualSpacing/>
        <w:jc w:val="left"/>
        <w:rPr>
          <w:szCs w:val="24"/>
          <w:lang w:val="en-US"/>
        </w:rPr>
      </w:pPr>
      <w:r>
        <w:rPr>
          <w:szCs w:val="24"/>
          <w:lang w:val="en-US"/>
        </w:rPr>
        <w:lastRenderedPageBreak/>
        <w:t>Opća bolnica dr. Tomislav Bardek Koprivnica</w:t>
      </w:r>
    </w:p>
    <w:p w:rsidR="008F0D85" w:rsidRDefault="00AE42A1">
      <w:pPr>
        <w:numPr>
          <w:ilvl w:val="0"/>
          <w:numId w:val="85"/>
        </w:numPr>
        <w:contextualSpacing/>
        <w:jc w:val="left"/>
        <w:rPr>
          <w:szCs w:val="24"/>
          <w:lang w:val="en-US"/>
        </w:rPr>
      </w:pPr>
      <w:r>
        <w:rPr>
          <w:szCs w:val="24"/>
          <w:lang w:val="en-US"/>
        </w:rPr>
        <w:t>Hrvatske vode – Vodnogospodarski odjel za Muru i gornju Dravu – Vodnogospodarska ispostava za mal</w:t>
      </w:r>
      <w:r>
        <w:rPr>
          <w:szCs w:val="24"/>
          <w:lang w:val="en-US"/>
        </w:rPr>
        <w:t>i sliv Bistra - Đurđevac</w:t>
      </w:r>
    </w:p>
    <w:p w:rsidR="008F0D85" w:rsidRDefault="00AE42A1">
      <w:pPr>
        <w:numPr>
          <w:ilvl w:val="0"/>
          <w:numId w:val="85"/>
        </w:numPr>
        <w:contextualSpacing/>
        <w:jc w:val="left"/>
        <w:rPr>
          <w:szCs w:val="24"/>
          <w:lang w:val="en-US"/>
        </w:rPr>
      </w:pPr>
      <w:r>
        <w:rPr>
          <w:szCs w:val="24"/>
          <w:lang w:val="en-US"/>
        </w:rPr>
        <w:t xml:space="preserve">Državna uprava za zaštitu i spašavanje – Područni ured za zaštitu i spašavanje Koprivnica </w:t>
      </w:r>
    </w:p>
    <w:p w:rsidR="008F0D85" w:rsidRDefault="00AE42A1">
      <w:pPr>
        <w:numPr>
          <w:ilvl w:val="0"/>
          <w:numId w:val="85"/>
        </w:numPr>
        <w:contextualSpacing/>
        <w:jc w:val="left"/>
        <w:rPr>
          <w:szCs w:val="24"/>
          <w:lang w:val="en-US"/>
        </w:rPr>
      </w:pPr>
      <w:bookmarkStart w:id="1269" w:name="_Hlk520119852"/>
      <w:bookmarkStart w:id="1270" w:name="_Hlk520119297"/>
      <w:bookmarkEnd w:id="1269"/>
      <w:bookmarkEnd w:id="1270"/>
      <w:r>
        <w:rPr>
          <w:szCs w:val="24"/>
          <w:lang w:val="en-US"/>
        </w:rPr>
        <w:t>Hrvatska poljoprivredno - šumarska savjetodavna služba – Savjetodavna služba Koprivničko - križevačke županije</w:t>
      </w:r>
    </w:p>
    <w:p w:rsidR="008F0D85" w:rsidRDefault="008F0D85">
      <w:pPr>
        <w:rPr>
          <w:sz w:val="20"/>
          <w:szCs w:val="20"/>
        </w:rPr>
      </w:pPr>
    </w:p>
    <w:p w:rsidR="008F0D85" w:rsidRDefault="008F0D85">
      <w:pPr>
        <w:rPr>
          <w:sz w:val="20"/>
          <w:szCs w:val="20"/>
        </w:rPr>
      </w:pPr>
    </w:p>
    <w:p w:rsidR="008F0D85" w:rsidRDefault="008F0D85">
      <w:pPr>
        <w:rPr>
          <w:sz w:val="20"/>
          <w:szCs w:val="20"/>
        </w:rPr>
      </w:pPr>
    </w:p>
    <w:p w:rsidR="008F0D85" w:rsidRDefault="008F0D85">
      <w:pPr>
        <w:rPr>
          <w:sz w:val="20"/>
          <w:szCs w:val="20"/>
        </w:rPr>
      </w:pPr>
    </w:p>
    <w:p w:rsidR="008F0D85" w:rsidRDefault="008F0D85">
      <w:pPr>
        <w:rPr>
          <w:sz w:val="20"/>
          <w:szCs w:val="20"/>
        </w:rPr>
      </w:pPr>
    </w:p>
    <w:p w:rsidR="008F0D85" w:rsidRDefault="008F0D85">
      <w:pPr>
        <w:rPr>
          <w:sz w:val="20"/>
          <w:szCs w:val="20"/>
        </w:rPr>
      </w:pPr>
    </w:p>
    <w:p w:rsidR="008F0D85" w:rsidRDefault="008F0D85">
      <w:pPr>
        <w:rPr>
          <w:sz w:val="20"/>
          <w:szCs w:val="20"/>
        </w:rPr>
      </w:pPr>
    </w:p>
    <w:p w:rsidR="008F0D85" w:rsidRDefault="00AE42A1">
      <w:pPr>
        <w:pStyle w:val="Naslov4"/>
      </w:pPr>
      <w:bookmarkStart w:id="1271" w:name="_Toc516128367"/>
      <w:bookmarkStart w:id="1272" w:name="_Toc527969476"/>
      <w:bookmarkEnd w:id="1271"/>
      <w:bookmarkEnd w:id="1272"/>
      <w:r>
        <w:t>8.2.4.5. Potres</w:t>
      </w:r>
    </w:p>
    <w:p w:rsidR="008F0D85" w:rsidRDefault="008F0D85">
      <w:pPr>
        <w:rPr>
          <w:lang w:eastAsia="hr-HR"/>
        </w:rPr>
      </w:pPr>
    </w:p>
    <w:p w:rsidR="008F0D85" w:rsidRDefault="00AE42A1">
      <w:bookmarkStart w:id="1273" w:name="_Hlk511034901"/>
      <w:bookmarkEnd w:id="1273"/>
      <w:r>
        <w:t>Prema Seizmološkoj karti Republike Hrvatske područje Općine nalazi se u zoni u kojoj postoji relativno velika opasnost od potresa te se može očekivati potres intenziteta od 8° MCS. U slučaju razornog potresa za spašavanje i otklanjanje posljedica redovne s</w:t>
      </w:r>
      <w:r>
        <w:t xml:space="preserve">nage koje se bave zaštitom i spašavanjem i njihovi materijalni resursi nisu dovoljni. </w:t>
      </w:r>
    </w:p>
    <w:p w:rsidR="008F0D85" w:rsidRDefault="00AE42A1">
      <w:pPr>
        <w:spacing w:after="0" w:line="360" w:lineRule="auto"/>
        <w:jc w:val="center"/>
        <w:rPr>
          <w:rFonts w:cs="Arial"/>
          <w:b/>
          <w:bCs/>
          <w:sz w:val="20"/>
          <w:szCs w:val="20"/>
        </w:rPr>
      </w:pPr>
      <w:bookmarkStart w:id="1274" w:name="_Hlk5110349011"/>
      <w:bookmarkStart w:id="1275" w:name="_Toc513643774"/>
      <w:bookmarkStart w:id="1276" w:name="_Toc514240384"/>
      <w:bookmarkStart w:id="1277" w:name="_Toc516128466"/>
      <w:bookmarkStart w:id="1278" w:name="_Toc527969568"/>
      <w:bookmarkEnd w:id="1274"/>
      <w:r>
        <w:rPr>
          <w:rFonts w:cs="Arial"/>
          <w:b/>
          <w:bCs/>
          <w:sz w:val="20"/>
          <w:szCs w:val="20"/>
        </w:rPr>
        <w:t xml:space="preserve">Tablica </w:t>
      </w:r>
      <w:r>
        <w:rPr>
          <w:rFonts w:cs="Arial"/>
          <w:b/>
          <w:bCs/>
          <w:sz w:val="20"/>
          <w:szCs w:val="20"/>
        </w:rPr>
        <w:fldChar w:fldCharType="begin"/>
      </w:r>
      <w:r>
        <w:instrText>SEQ Tablica \* ARABIC</w:instrText>
      </w:r>
      <w:r>
        <w:fldChar w:fldCharType="separate"/>
      </w:r>
      <w:r>
        <w:t>86</w:t>
      </w:r>
      <w:r>
        <w:fldChar w:fldCharType="end"/>
      </w:r>
      <w:bookmarkEnd w:id="1275"/>
      <w:bookmarkEnd w:id="1276"/>
      <w:bookmarkEnd w:id="1277"/>
      <w:bookmarkEnd w:id="1278"/>
      <w:r>
        <w:rPr>
          <w:rFonts w:cs="Arial"/>
          <w:b/>
          <w:bCs/>
          <w:sz w:val="20"/>
          <w:szCs w:val="20"/>
        </w:rPr>
        <w:t>: Analiza stanja sustava civilne zaštite - Područje reagiranja - Potres</w:t>
      </w:r>
    </w:p>
    <w:tbl>
      <w:tblPr>
        <w:tblW w:w="13900"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7763"/>
        <w:gridCol w:w="1636"/>
        <w:gridCol w:w="1513"/>
        <w:gridCol w:w="1364"/>
        <w:gridCol w:w="1624"/>
      </w:tblGrid>
      <w:tr w:rsidR="008F0D85">
        <w:trPr>
          <w:trHeight w:val="352"/>
          <w:jc w:val="center"/>
        </w:trPr>
        <w:tc>
          <w:tcPr>
            <w:tcW w:w="7763"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p w:rsidR="008F0D85" w:rsidRDefault="00AE42A1">
            <w:pPr>
              <w:spacing w:after="0" w:line="240" w:lineRule="auto"/>
              <w:rPr>
                <w:rFonts w:cs="Calibri"/>
                <w:b/>
                <w:sz w:val="20"/>
                <w:szCs w:val="20"/>
              </w:rPr>
            </w:pPr>
            <w:r>
              <w:rPr>
                <w:rFonts w:cs="Calibri"/>
                <w:b/>
                <w:sz w:val="20"/>
                <w:szCs w:val="20"/>
              </w:rPr>
              <w:t>PODRUČJE REAGIRANJA</w:t>
            </w:r>
          </w:p>
        </w:tc>
        <w:tc>
          <w:tcPr>
            <w:tcW w:w="16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Vrlo niska spremnost</w:t>
            </w:r>
          </w:p>
        </w:tc>
        <w:tc>
          <w:tcPr>
            <w:tcW w:w="1513"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 xml:space="preserve">Niska </w:t>
            </w:r>
            <w:r>
              <w:rPr>
                <w:rFonts w:cs="Calibri"/>
                <w:b/>
                <w:sz w:val="20"/>
                <w:szCs w:val="20"/>
              </w:rPr>
              <w:t>spremnost</w:t>
            </w:r>
          </w:p>
        </w:tc>
        <w:tc>
          <w:tcPr>
            <w:tcW w:w="1364"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Visoka spremnost</w:t>
            </w:r>
          </w:p>
        </w:tc>
        <w:tc>
          <w:tcPr>
            <w:tcW w:w="1624"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Vrlo visoka spremnost</w:t>
            </w:r>
          </w:p>
        </w:tc>
      </w:tr>
      <w:tr w:rsidR="008F0D85">
        <w:trPr>
          <w:trHeight w:val="278"/>
          <w:jc w:val="center"/>
        </w:trPr>
        <w:tc>
          <w:tcPr>
            <w:tcW w:w="7763"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4</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3</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2</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1</w:t>
            </w: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1. Prikaz procjene spremnosti u sustavu civilne zaštite na temelju spremnosti odgovornih i upravljačkih kapaciteta sustava civilne zaštite za Općinu</w:t>
            </w: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Čelne osobe </w:t>
            </w: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w:t>
            </w:r>
            <w:r>
              <w:rPr>
                <w:rFonts w:cs="Calibri"/>
                <w:sz w:val="20"/>
                <w:szCs w:val="20"/>
              </w:rPr>
              <w:lastRenderedPageBreak/>
              <w:t>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w:t>
            </w:r>
            <w:r>
              <w:rPr>
                <w:rFonts w:cs="Calibri"/>
                <w:sz w:val="20"/>
                <w:szCs w:val="20"/>
              </w:rPr>
              <w:t>zaciji i provođenju svih vrsta vježbi civilne zaštite u određenim vremenskim razdobljima.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Stožer civilne zaštite </w:t>
            </w: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Koordinator na mjestu izvanrednog događaja</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w:t>
            </w:r>
            <w:r>
              <w:rPr>
                <w:rFonts w:cs="Calibri"/>
                <w:sz w:val="20"/>
                <w:szCs w:val="20"/>
              </w:rPr>
              <w:t>aciji i provođenju svih vrsta vježbi civilne zaštite u određenim vremenskim razdobljima.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2. Prikaz procjene spremnosti operativnih kapaciteta za Općinu</w:t>
            </w: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lastRenderedPageBreak/>
              <w:t>Operativne snage vatrogastva</w:t>
            </w:r>
          </w:p>
        </w:tc>
      </w:tr>
      <w:tr w:rsidR="008F0D85">
        <w:trPr>
          <w:trHeight w:val="278"/>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 xml:space="preserve">Stupnja popunjenosti </w:t>
            </w:r>
            <w:r>
              <w:rPr>
                <w:rFonts w:cs="Calibri"/>
                <w:sz w:val="20"/>
                <w:szCs w:val="20"/>
              </w:rPr>
              <w:t>ljudstvom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spremnosti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osposobljenosti ljudstva 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uvježbanosti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opremljenosti materijalnim sredstvima i opremom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 xml:space="preserve">Vremena mobilizacijske </w:t>
            </w:r>
            <w:r>
              <w:rPr>
                <w:rFonts w:cs="Calibri"/>
                <w:sz w:val="20"/>
                <w:szCs w:val="20"/>
              </w:rPr>
              <w:t>spremnosti/operativne gotovosti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Samodostatnosti i logističkoj potpori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Operativne snage Crvenog križa – Gradsko društvo Crvenog križa Đurđevac</w:t>
            </w: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Stupnja spremnosti </w:t>
            </w:r>
            <w:r>
              <w:rPr>
                <w:rFonts w:cs="Calibri"/>
                <w:sz w:val="20"/>
                <w:szCs w:val="20"/>
              </w:rPr>
              <w:t>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osposobljenosti ljudstva 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opremljenosti materijalnim sredstvima i opremom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Vremena mobilizacijske spremnosti/operativne gotovosti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Postrojba civilne zaštite za opće namjene </w:t>
            </w: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spremnosti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Stupnja osposobljenosti ljudstva i </w:t>
            </w:r>
            <w:r>
              <w:rPr>
                <w:rFonts w:cs="Calibri"/>
                <w:sz w:val="20"/>
                <w:szCs w:val="20"/>
              </w:rPr>
              <w:t>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opremljenosti materijalnim sredstvima i opremom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Vremena mobilizacijske spremnosti/operativne gotovosti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205"/>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lastRenderedPageBreak/>
              <w:t>Povjerenici civilne zaštite</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spremnosti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osposobljenosti ljudstva 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Stupnja opremljenosti materijalnim sredstvima i </w:t>
            </w:r>
            <w:r>
              <w:rPr>
                <w:rFonts w:cs="Calibri"/>
                <w:sz w:val="20"/>
                <w:szCs w:val="20"/>
              </w:rPr>
              <w:t>opremom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Vremena mobilizacijske spremnosti/operativne gotovosti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Pravne osobe od interesa za sustav civilne zaštite</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spremnosti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osposobljenosti ljudstva 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opremljenosti materijalnim sredstvima i opremom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Vremena mobilizacijske </w:t>
            </w:r>
            <w:r>
              <w:rPr>
                <w:rFonts w:cs="Calibri"/>
                <w:sz w:val="20"/>
                <w:szCs w:val="20"/>
              </w:rPr>
              <w:t>spremnosti/operativne gotovosti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Hrvatska gorska služba spašavanja – Stanica Koprivnica</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Stupnja popunjenosti ljudstvom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Stupnja spremnosti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Stupnja osposobljenosti ljudstva 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Stupnja uvježbanosti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Stupnja opremljenosti materijalnim sredstvima i opremom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lastRenderedPageBreak/>
              <w:t>Vremena mobilizacijske spremnosti/operativne gotovosti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Samodostatnosti i logističkoj potpori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3. Prikaz stanja mobilnosti operativnih kapaciteta sustava civilne zaštite i stanja komunikacijskih kapaciteta Općine</w:t>
            </w: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Operativne snage vatrogastva</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Stanje transportne potpore</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 xml:space="preserve">Stanje komunikacijskih </w:t>
            </w:r>
            <w:r>
              <w:rPr>
                <w:rFonts w:cs="Calibri"/>
                <w:sz w:val="20"/>
                <w:szCs w:val="20"/>
              </w:rPr>
              <w:t>kapaciteta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Operativne snage Crvenog križa – Gradsko društvo Crvenog križa Đurđevac</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 xml:space="preserve">Postrojba civilne zaštite za opće namjene </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 xml:space="preserve">Povjerenici civilne zaštite </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 xml:space="preserve">Pravne osobe od interesa za sustav civilne zaštite </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lastRenderedPageBreak/>
              <w:t xml:space="preserve">Hrvatska </w:t>
            </w:r>
            <w:r>
              <w:rPr>
                <w:rFonts w:cs="Calibri"/>
                <w:b/>
                <w:sz w:val="20"/>
                <w:szCs w:val="20"/>
              </w:rPr>
              <w:t>gorska služba spašavanja – Stanica Koprivnica</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 xml:space="preserve">Stanje transportne potpore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Stanje komunikacijskih kapaciteta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bl>
    <w:p w:rsidR="008F0D85" w:rsidRDefault="008F0D85"/>
    <w:p w:rsidR="008F0D85" w:rsidRDefault="00AE42A1">
      <w:bookmarkStart w:id="1279" w:name="_Hlk509571770"/>
      <w:bookmarkEnd w:id="1279"/>
      <w:r>
        <w:t xml:space="preserve">U slučaju katastrofalnih posljedica, osim analizom navedenih odgovornih i upravljačkih te </w:t>
      </w:r>
      <w:r>
        <w:t>operativnih kapaciteta, u sanaciju posljedica prijetnje se uključuju redovne gotove snage – pravne osobe, koje postupaju prema vlastitim operativnim planovima, odnosno:</w:t>
      </w:r>
    </w:p>
    <w:p w:rsidR="008F0D85" w:rsidRDefault="00AE42A1">
      <w:pPr>
        <w:numPr>
          <w:ilvl w:val="0"/>
          <w:numId w:val="85"/>
        </w:numPr>
        <w:spacing w:after="0"/>
        <w:contextualSpacing/>
        <w:jc w:val="left"/>
        <w:rPr>
          <w:szCs w:val="24"/>
          <w:lang w:val="en-US" w:eastAsia="hr-HR"/>
        </w:rPr>
      </w:pPr>
      <w:r>
        <w:rPr>
          <w:szCs w:val="24"/>
          <w:lang w:val="en-US" w:eastAsia="hr-HR"/>
        </w:rPr>
        <w:t>MUP - Policijska uprava Koprivničko - križevačka, Policijska postaja Đurđevac</w:t>
      </w:r>
    </w:p>
    <w:p w:rsidR="008F0D85" w:rsidRDefault="00AE42A1">
      <w:pPr>
        <w:numPr>
          <w:ilvl w:val="0"/>
          <w:numId w:val="85"/>
        </w:numPr>
        <w:spacing w:after="0"/>
        <w:contextualSpacing/>
        <w:jc w:val="left"/>
        <w:rPr>
          <w:szCs w:val="24"/>
          <w:lang w:val="en-US" w:eastAsia="hr-HR"/>
        </w:rPr>
      </w:pPr>
      <w:r>
        <w:rPr>
          <w:szCs w:val="24"/>
          <w:lang w:val="en-US"/>
        </w:rPr>
        <w:t>Postrojba civilne zaštite za spašavanje iz ruševina</w:t>
      </w:r>
    </w:p>
    <w:p w:rsidR="008F0D85" w:rsidRDefault="00AE42A1">
      <w:pPr>
        <w:numPr>
          <w:ilvl w:val="0"/>
          <w:numId w:val="85"/>
        </w:numPr>
        <w:spacing w:after="0"/>
        <w:contextualSpacing/>
        <w:jc w:val="left"/>
        <w:rPr>
          <w:szCs w:val="24"/>
          <w:lang w:val="en-US" w:eastAsia="hr-HR"/>
        </w:rPr>
      </w:pPr>
      <w:r>
        <w:rPr>
          <w:szCs w:val="24"/>
          <w:lang w:val="en-US" w:eastAsia="hr-HR"/>
        </w:rPr>
        <w:t>Centar za socijalnu skrb Koprivničko – križevačke županije</w:t>
      </w:r>
    </w:p>
    <w:p w:rsidR="008F0D85" w:rsidRDefault="00AE42A1">
      <w:pPr>
        <w:numPr>
          <w:ilvl w:val="0"/>
          <w:numId w:val="85"/>
        </w:numPr>
        <w:spacing w:after="0"/>
        <w:contextualSpacing/>
        <w:jc w:val="left"/>
        <w:rPr>
          <w:szCs w:val="24"/>
          <w:lang w:val="en-US" w:eastAsia="hr-HR"/>
        </w:rPr>
      </w:pPr>
      <w:r>
        <w:rPr>
          <w:szCs w:val="24"/>
          <w:lang w:val="en-US" w:eastAsia="hr-HR"/>
        </w:rPr>
        <w:t>Caritas Koprivničko - križevačke županije</w:t>
      </w:r>
    </w:p>
    <w:p w:rsidR="008F0D85" w:rsidRDefault="00AE42A1">
      <w:pPr>
        <w:numPr>
          <w:ilvl w:val="0"/>
          <w:numId w:val="85"/>
        </w:numPr>
        <w:spacing w:after="0"/>
        <w:contextualSpacing/>
        <w:jc w:val="left"/>
        <w:rPr>
          <w:szCs w:val="24"/>
          <w:lang w:val="en-US" w:eastAsia="hr-HR"/>
        </w:rPr>
      </w:pPr>
      <w:r>
        <w:rPr>
          <w:szCs w:val="24"/>
          <w:lang w:val="en-US" w:eastAsia="hr-HR"/>
        </w:rPr>
        <w:t>Hrvatske šume, Uprava šuma Podružnica Koprivnica</w:t>
      </w:r>
    </w:p>
    <w:p w:rsidR="008F0D85" w:rsidRDefault="00AE42A1">
      <w:pPr>
        <w:numPr>
          <w:ilvl w:val="0"/>
          <w:numId w:val="85"/>
        </w:numPr>
        <w:spacing w:after="0"/>
        <w:contextualSpacing/>
        <w:jc w:val="left"/>
        <w:rPr>
          <w:szCs w:val="24"/>
          <w:lang w:val="en-US" w:eastAsia="hr-HR"/>
        </w:rPr>
      </w:pPr>
      <w:r>
        <w:rPr>
          <w:szCs w:val="24"/>
          <w:lang w:val="en-US" w:eastAsia="hr-HR"/>
        </w:rPr>
        <w:t>Hrvatski Telekom d.d. Zagreb</w:t>
      </w:r>
    </w:p>
    <w:p w:rsidR="008F0D85" w:rsidRDefault="00AE42A1">
      <w:pPr>
        <w:numPr>
          <w:ilvl w:val="0"/>
          <w:numId w:val="85"/>
        </w:numPr>
        <w:tabs>
          <w:tab w:val="left" w:pos="426"/>
        </w:tabs>
        <w:contextualSpacing/>
        <w:jc w:val="left"/>
        <w:rPr>
          <w:szCs w:val="24"/>
          <w:lang w:val="en-US"/>
        </w:rPr>
      </w:pPr>
      <w:r>
        <w:rPr>
          <w:szCs w:val="24"/>
          <w:lang w:val="en-US" w:eastAsia="hr-HR"/>
        </w:rPr>
        <w:t xml:space="preserve">Hrvatski zavod za </w:t>
      </w:r>
      <w:r>
        <w:rPr>
          <w:szCs w:val="24"/>
          <w:lang w:val="en-US" w:eastAsia="hr-HR"/>
        </w:rPr>
        <w:t>toksikologiju i antidoping Zagreb</w:t>
      </w:r>
    </w:p>
    <w:p w:rsidR="008F0D85" w:rsidRDefault="00AE42A1">
      <w:pPr>
        <w:numPr>
          <w:ilvl w:val="0"/>
          <w:numId w:val="85"/>
        </w:numPr>
        <w:spacing w:after="0"/>
        <w:contextualSpacing/>
        <w:rPr>
          <w:szCs w:val="24"/>
          <w:lang w:val="en-US" w:eastAsia="hr-HR"/>
        </w:rPr>
      </w:pPr>
      <w:r>
        <w:rPr>
          <w:szCs w:val="24"/>
          <w:lang w:val="en-US" w:eastAsia="hr-HR"/>
        </w:rPr>
        <w:t>Veterinarska  stanica Đurđevac</w:t>
      </w:r>
    </w:p>
    <w:p w:rsidR="008F0D85" w:rsidRDefault="00AE42A1">
      <w:pPr>
        <w:numPr>
          <w:ilvl w:val="0"/>
          <w:numId w:val="85"/>
        </w:numPr>
        <w:spacing w:after="0"/>
        <w:contextualSpacing/>
        <w:rPr>
          <w:szCs w:val="24"/>
          <w:lang w:val="en-US" w:eastAsia="hr-HR"/>
        </w:rPr>
      </w:pPr>
      <w:r>
        <w:rPr>
          <w:szCs w:val="24"/>
          <w:lang w:val="en-US" w:eastAsia="hr-HR"/>
        </w:rPr>
        <w:t>HEP ODS d.o.o  „Elektra“  Bjelovar  – Područna ispostava Križevci</w:t>
      </w:r>
    </w:p>
    <w:p w:rsidR="008F0D85" w:rsidRDefault="00AE42A1">
      <w:pPr>
        <w:numPr>
          <w:ilvl w:val="0"/>
          <w:numId w:val="85"/>
        </w:numPr>
        <w:contextualSpacing/>
        <w:rPr>
          <w:szCs w:val="24"/>
          <w:lang w:val="en-US"/>
        </w:rPr>
      </w:pPr>
      <w:r>
        <w:rPr>
          <w:szCs w:val="24"/>
          <w:lang w:val="en-US" w:eastAsia="hr-HR"/>
        </w:rPr>
        <w:t>Županijska uprava za ceste Koprivničko - križevačke županije</w:t>
      </w:r>
    </w:p>
    <w:p w:rsidR="008F0D85" w:rsidRDefault="00AE42A1">
      <w:pPr>
        <w:numPr>
          <w:ilvl w:val="0"/>
          <w:numId w:val="85"/>
        </w:numPr>
        <w:contextualSpacing/>
        <w:jc w:val="left"/>
        <w:rPr>
          <w:szCs w:val="24"/>
          <w:lang w:val="en-US"/>
        </w:rPr>
      </w:pPr>
      <w:r>
        <w:rPr>
          <w:szCs w:val="24"/>
          <w:lang w:val="en-US"/>
        </w:rPr>
        <w:t>Zavod za hitnu medicinu Koprivničko - križevačke županije</w:t>
      </w:r>
    </w:p>
    <w:p w:rsidR="008F0D85" w:rsidRDefault="00AE42A1">
      <w:pPr>
        <w:numPr>
          <w:ilvl w:val="0"/>
          <w:numId w:val="85"/>
        </w:numPr>
        <w:contextualSpacing/>
        <w:jc w:val="left"/>
        <w:rPr>
          <w:szCs w:val="24"/>
          <w:lang w:val="en-US"/>
        </w:rPr>
      </w:pPr>
      <w:r>
        <w:rPr>
          <w:szCs w:val="24"/>
          <w:lang w:val="en-US"/>
        </w:rPr>
        <w:t xml:space="preserve">Zavod </w:t>
      </w:r>
      <w:r>
        <w:rPr>
          <w:szCs w:val="24"/>
          <w:lang w:val="en-US"/>
        </w:rPr>
        <w:t>za javno zdravstvo Koprivničko - križevačke županije</w:t>
      </w:r>
    </w:p>
    <w:p w:rsidR="008F0D85" w:rsidRDefault="00AE42A1">
      <w:pPr>
        <w:numPr>
          <w:ilvl w:val="0"/>
          <w:numId w:val="85"/>
        </w:numPr>
        <w:contextualSpacing/>
        <w:jc w:val="left"/>
        <w:rPr>
          <w:szCs w:val="24"/>
          <w:lang w:val="en-US"/>
        </w:rPr>
      </w:pPr>
      <w:r>
        <w:rPr>
          <w:szCs w:val="24"/>
          <w:lang w:val="en-US"/>
        </w:rPr>
        <w:t>Dom zdravlja Koprivničko - križevačke županije</w:t>
      </w:r>
    </w:p>
    <w:p w:rsidR="008F0D85" w:rsidRDefault="00AE42A1">
      <w:pPr>
        <w:numPr>
          <w:ilvl w:val="0"/>
          <w:numId w:val="85"/>
        </w:numPr>
        <w:contextualSpacing/>
        <w:jc w:val="left"/>
        <w:rPr>
          <w:szCs w:val="24"/>
          <w:lang w:val="en-US"/>
        </w:rPr>
      </w:pPr>
      <w:r>
        <w:rPr>
          <w:szCs w:val="24"/>
          <w:lang w:val="en-US"/>
        </w:rPr>
        <w:t>Dom zdravlja Đurđevac</w:t>
      </w:r>
    </w:p>
    <w:p w:rsidR="008F0D85" w:rsidRDefault="00AE42A1">
      <w:pPr>
        <w:numPr>
          <w:ilvl w:val="0"/>
          <w:numId w:val="85"/>
        </w:numPr>
        <w:contextualSpacing/>
        <w:jc w:val="left"/>
        <w:rPr>
          <w:szCs w:val="24"/>
          <w:lang w:val="en-US"/>
        </w:rPr>
      </w:pPr>
      <w:r>
        <w:rPr>
          <w:szCs w:val="24"/>
          <w:lang w:val="en-US"/>
        </w:rPr>
        <w:t>Opća bolnica dr. Tomislav Bardek Koprivnica</w:t>
      </w:r>
    </w:p>
    <w:p w:rsidR="008F0D85" w:rsidRDefault="00AE42A1">
      <w:pPr>
        <w:numPr>
          <w:ilvl w:val="0"/>
          <w:numId w:val="85"/>
        </w:numPr>
        <w:contextualSpacing/>
        <w:jc w:val="left"/>
        <w:rPr>
          <w:szCs w:val="24"/>
          <w:lang w:val="en-US"/>
        </w:rPr>
      </w:pPr>
      <w:r>
        <w:rPr>
          <w:szCs w:val="24"/>
          <w:lang w:val="en-US"/>
        </w:rPr>
        <w:t>Hrvatske vode – Vodnogospodarski odjel za Muru i gornju Dravu – Vodnogospodarska ispostava</w:t>
      </w:r>
      <w:r>
        <w:rPr>
          <w:szCs w:val="24"/>
          <w:lang w:val="en-US"/>
        </w:rPr>
        <w:t xml:space="preserve"> za mali sliv Bistra - Đurđevac</w:t>
      </w:r>
    </w:p>
    <w:p w:rsidR="008F0D85" w:rsidRDefault="00AE42A1">
      <w:pPr>
        <w:numPr>
          <w:ilvl w:val="0"/>
          <w:numId w:val="85"/>
        </w:numPr>
        <w:contextualSpacing/>
        <w:jc w:val="left"/>
        <w:rPr>
          <w:szCs w:val="24"/>
          <w:lang w:val="en-US"/>
        </w:rPr>
      </w:pPr>
      <w:r>
        <w:rPr>
          <w:szCs w:val="24"/>
          <w:lang w:val="en-US"/>
        </w:rPr>
        <w:t xml:space="preserve">Državna uprava za zaštitu i spašavanje – Područni ured za zaštitu i spašavanje Koprivnica </w:t>
      </w:r>
    </w:p>
    <w:p w:rsidR="008F0D85" w:rsidRDefault="00AE42A1">
      <w:pPr>
        <w:numPr>
          <w:ilvl w:val="0"/>
          <w:numId w:val="85"/>
        </w:numPr>
        <w:contextualSpacing/>
        <w:jc w:val="left"/>
        <w:rPr>
          <w:szCs w:val="24"/>
          <w:lang w:val="en-US"/>
        </w:rPr>
      </w:pPr>
      <w:bookmarkStart w:id="1280" w:name="_Hlk520120002"/>
      <w:bookmarkEnd w:id="1280"/>
      <w:r>
        <w:rPr>
          <w:szCs w:val="24"/>
          <w:lang w:val="en-US"/>
        </w:rPr>
        <w:t>Hrvatska poljoprivredno - šumarska savjetodavna služba – Savjetodavna služba Koprivničko - križevačke županije</w:t>
      </w:r>
    </w:p>
    <w:p w:rsidR="008F0D85" w:rsidRDefault="008F0D85">
      <w:pPr>
        <w:rPr>
          <w:sz w:val="20"/>
          <w:szCs w:val="20"/>
        </w:rPr>
      </w:pPr>
    </w:p>
    <w:p w:rsidR="008F0D85" w:rsidRDefault="008F0D85">
      <w:pPr>
        <w:tabs>
          <w:tab w:val="left" w:pos="5085"/>
        </w:tabs>
      </w:pPr>
    </w:p>
    <w:p w:rsidR="008F0D85" w:rsidRDefault="008F0D85">
      <w:pPr>
        <w:tabs>
          <w:tab w:val="left" w:pos="5085"/>
        </w:tabs>
      </w:pPr>
    </w:p>
    <w:p w:rsidR="008F0D85" w:rsidRDefault="008F0D85">
      <w:pPr>
        <w:tabs>
          <w:tab w:val="left" w:pos="5085"/>
        </w:tabs>
      </w:pPr>
    </w:p>
    <w:p w:rsidR="008F0D85" w:rsidRDefault="008F0D85">
      <w:pPr>
        <w:tabs>
          <w:tab w:val="left" w:pos="5085"/>
        </w:tabs>
      </w:pPr>
    </w:p>
    <w:p w:rsidR="008F0D85" w:rsidRDefault="008F0D85">
      <w:pPr>
        <w:tabs>
          <w:tab w:val="left" w:pos="5085"/>
        </w:tabs>
      </w:pPr>
    </w:p>
    <w:p w:rsidR="008F0D85" w:rsidRDefault="008F0D85">
      <w:pPr>
        <w:tabs>
          <w:tab w:val="left" w:pos="5085"/>
        </w:tabs>
      </w:pPr>
    </w:p>
    <w:p w:rsidR="008F0D85" w:rsidRDefault="00AE42A1">
      <w:pPr>
        <w:pStyle w:val="Naslov4"/>
      </w:pPr>
      <w:bookmarkStart w:id="1281" w:name="_Toc510774872"/>
      <w:bookmarkStart w:id="1282" w:name="_Toc527969477"/>
      <w:bookmarkEnd w:id="1281"/>
      <w:bookmarkEnd w:id="1282"/>
      <w:r>
        <w:t>8.2.4.6. Tehničko – tehnološke nesreće s opasnim tvarima – Industrijska nesreća</w:t>
      </w:r>
    </w:p>
    <w:p w:rsidR="008F0D85" w:rsidRDefault="008F0D85">
      <w:pPr>
        <w:rPr>
          <w:szCs w:val="24"/>
        </w:rPr>
      </w:pPr>
    </w:p>
    <w:p w:rsidR="008F0D85" w:rsidRDefault="00AE42A1">
      <w:r>
        <w:t>Pri nastanku industrijske nesreće, postojeće operativne snage sustava civilne zaštite Općine  dovoljne su kako bi Općina sanirala posljedice nastale prijetnjom.</w:t>
      </w:r>
    </w:p>
    <w:p w:rsidR="008F0D85" w:rsidRDefault="00AE42A1">
      <w:pPr>
        <w:spacing w:after="0" w:line="360" w:lineRule="auto"/>
        <w:jc w:val="center"/>
        <w:rPr>
          <w:rFonts w:cs="Arial"/>
          <w:b/>
          <w:bCs/>
          <w:sz w:val="20"/>
          <w:szCs w:val="24"/>
        </w:rPr>
      </w:pPr>
      <w:bookmarkStart w:id="1283" w:name="_Toc510774976"/>
      <w:bookmarkStart w:id="1284" w:name="_Toc527969569"/>
      <w:r>
        <w:rPr>
          <w:rFonts w:cs="Arial"/>
          <w:b/>
          <w:bCs/>
          <w:sz w:val="20"/>
          <w:szCs w:val="20"/>
        </w:rPr>
        <w:t xml:space="preserve">Tablica </w:t>
      </w:r>
      <w:r>
        <w:rPr>
          <w:rFonts w:cs="Arial"/>
          <w:b/>
          <w:bCs/>
          <w:sz w:val="20"/>
          <w:szCs w:val="20"/>
        </w:rPr>
        <w:fldChar w:fldCharType="begin"/>
      </w:r>
      <w:r>
        <w:instrText>SEQ Ta</w:instrText>
      </w:r>
      <w:r>
        <w:instrText>blica \* ARABIC</w:instrText>
      </w:r>
      <w:r>
        <w:fldChar w:fldCharType="separate"/>
      </w:r>
      <w:r>
        <w:t>87</w:t>
      </w:r>
      <w:r>
        <w:fldChar w:fldCharType="end"/>
      </w:r>
      <w:bookmarkEnd w:id="1283"/>
      <w:bookmarkEnd w:id="1284"/>
      <w:r>
        <w:rPr>
          <w:rFonts w:cs="Arial"/>
          <w:b/>
          <w:bCs/>
          <w:sz w:val="20"/>
          <w:szCs w:val="20"/>
        </w:rPr>
        <w:t>: Analiza sustava civilne zaštite - Područje reagiranja - Industrijske nesreće</w:t>
      </w:r>
    </w:p>
    <w:tbl>
      <w:tblPr>
        <w:tblW w:w="13900"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7763"/>
        <w:gridCol w:w="1636"/>
        <w:gridCol w:w="1513"/>
        <w:gridCol w:w="1364"/>
        <w:gridCol w:w="1624"/>
      </w:tblGrid>
      <w:tr w:rsidR="008F0D85">
        <w:trPr>
          <w:trHeight w:val="352"/>
          <w:jc w:val="center"/>
        </w:trPr>
        <w:tc>
          <w:tcPr>
            <w:tcW w:w="7763"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p w:rsidR="008F0D85" w:rsidRDefault="00AE42A1">
            <w:pPr>
              <w:spacing w:after="0" w:line="240" w:lineRule="auto"/>
              <w:rPr>
                <w:rFonts w:cs="Calibri"/>
                <w:b/>
                <w:sz w:val="20"/>
                <w:szCs w:val="20"/>
              </w:rPr>
            </w:pPr>
            <w:r>
              <w:rPr>
                <w:rFonts w:cs="Calibri"/>
                <w:b/>
                <w:sz w:val="20"/>
                <w:szCs w:val="20"/>
              </w:rPr>
              <w:t>PODRUČJE REAGIRANJA</w:t>
            </w:r>
          </w:p>
        </w:tc>
        <w:tc>
          <w:tcPr>
            <w:tcW w:w="16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Vrlo niska spremnost</w:t>
            </w:r>
          </w:p>
        </w:tc>
        <w:tc>
          <w:tcPr>
            <w:tcW w:w="1513"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Niska spremnost</w:t>
            </w:r>
          </w:p>
        </w:tc>
        <w:tc>
          <w:tcPr>
            <w:tcW w:w="1364"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Visoka spremnost</w:t>
            </w:r>
          </w:p>
        </w:tc>
        <w:tc>
          <w:tcPr>
            <w:tcW w:w="1624"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Vrlo visoka spremnost</w:t>
            </w:r>
          </w:p>
        </w:tc>
      </w:tr>
      <w:tr w:rsidR="008F0D85">
        <w:trPr>
          <w:trHeight w:val="278"/>
          <w:jc w:val="center"/>
        </w:trPr>
        <w:tc>
          <w:tcPr>
            <w:tcW w:w="7763"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4</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3</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2</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1</w:t>
            </w: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 xml:space="preserve">1. Prikaz procjene spremnosti u sustavu </w:t>
            </w:r>
            <w:r>
              <w:rPr>
                <w:rFonts w:cs="Calibri"/>
                <w:b/>
                <w:sz w:val="20"/>
                <w:szCs w:val="20"/>
              </w:rPr>
              <w:t>civilne zaštite na temelju spremnosti odgovornih i upravljačkih kapaciteta sustava civilne zaštite za Općinu</w:t>
            </w: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Čelne osobe </w:t>
            </w: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w:t>
            </w:r>
            <w:r>
              <w:rPr>
                <w:rFonts w:cs="Calibri"/>
                <w:sz w:val="20"/>
                <w:szCs w:val="20"/>
              </w:rPr>
              <w:lastRenderedPageBreak/>
              <w:t xml:space="preserve">njihovog stvarnog rada u realnim situacijama.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w:t>
            </w:r>
            <w:r>
              <w:rPr>
                <w:rFonts w:cs="Calibri"/>
                <w:sz w:val="20"/>
                <w:szCs w:val="20"/>
              </w:rPr>
              <w:t>zaciji i provođenju svih vrsta vježbi civilne zaštite u određenim vremenskim razdobljima.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Stožer civilne zaštite </w:t>
            </w: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Koordinator na mjestu izvanrednog događaja</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Analiza </w:t>
            </w:r>
            <w:r>
              <w:rPr>
                <w:rFonts w:cs="Calibri"/>
                <w:b/>
                <w:sz w:val="20"/>
                <w:szCs w:val="20"/>
              </w:rPr>
              <w:t>ODGOVORNOSTI</w:t>
            </w:r>
            <w:r>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w:t>
            </w:r>
            <w:r>
              <w:rPr>
                <w:rFonts w:cs="Calibri"/>
                <w:sz w:val="20"/>
                <w:szCs w:val="20"/>
              </w:rPr>
              <w:t>da/doprinosa u provođenju mjera i aktivnosti sustava civilne zaštite na  njihovim razinama u stvarnim situacijama.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Procjena </w:t>
            </w:r>
            <w:r>
              <w:rPr>
                <w:rFonts w:cs="Calibri"/>
                <w:b/>
                <w:sz w:val="20"/>
                <w:szCs w:val="20"/>
              </w:rPr>
              <w:t>OSPOSOBLJENOSTI</w:t>
            </w:r>
            <w:r>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Procjena </w:t>
            </w:r>
            <w:r>
              <w:rPr>
                <w:rFonts w:cs="Calibri"/>
                <w:b/>
                <w:sz w:val="20"/>
                <w:szCs w:val="20"/>
              </w:rPr>
              <w:t>UVJEŽBANOSTI</w:t>
            </w:r>
            <w:r>
              <w:rPr>
                <w:rFonts w:cs="Calibri"/>
                <w:sz w:val="20"/>
                <w:szCs w:val="20"/>
              </w:rPr>
              <w:t xml:space="preserve"> na temelju podataka o sudjelovanju u organiz</w:t>
            </w:r>
            <w:r>
              <w:rPr>
                <w:rFonts w:cs="Calibri"/>
                <w:sz w:val="20"/>
                <w:szCs w:val="20"/>
              </w:rPr>
              <w:t>aciji i provođenju svih vrsta vježbi civilne zaštite u određenim vremenskim razdobljima.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2. Prikaz procjene spremnosti operativnih kapaciteta za Općinu</w:t>
            </w: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Operativne snage vatrogastva</w:t>
            </w:r>
          </w:p>
        </w:tc>
      </w:tr>
      <w:tr w:rsidR="008F0D85">
        <w:trPr>
          <w:trHeight w:val="278"/>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 xml:space="preserve">Stupnja popunjenosti </w:t>
            </w:r>
            <w:r>
              <w:rPr>
                <w:rFonts w:cs="Calibri"/>
                <w:sz w:val="20"/>
                <w:szCs w:val="20"/>
              </w:rPr>
              <w:t>ljudstvom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spremnosti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osposobljenosti ljudstva 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lastRenderedPageBreak/>
              <w:t>Stupnja uvježbanosti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Stupnja opremljenosti materijalnim sredstvima i opremom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 xml:space="preserve">Vremena mobilizacijske </w:t>
            </w:r>
            <w:r>
              <w:rPr>
                <w:rFonts w:cs="Calibri"/>
                <w:sz w:val="20"/>
                <w:szCs w:val="20"/>
              </w:rPr>
              <w:t>spremnosti/operativne gotovosti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rPr>
              <w:t>Samodostatnosti i logističkoj potpori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tcPr>
          <w:p w:rsidR="008F0D85" w:rsidRDefault="008F0D85">
            <w:pPr>
              <w:spacing w:after="0" w:line="240" w:lineRule="auto"/>
              <w:jc w:val="center"/>
              <w:rPr>
                <w:rFonts w:cs="Calibri"/>
                <w:b/>
                <w:sz w:val="20"/>
                <w:szCs w:val="20"/>
              </w:rPr>
            </w:pP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Operativne snage Crvenog križa – gradsko društvo Crvenog križa Đurđevac</w:t>
            </w: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Stupnja spremnosti </w:t>
            </w:r>
            <w:r>
              <w:rPr>
                <w:rFonts w:cs="Calibri"/>
                <w:sz w:val="20"/>
                <w:szCs w:val="20"/>
              </w:rPr>
              <w:t>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osposobljenosti ljudstva 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opremljenosti materijalnim sredstvima i opremom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Vremena mobilizacijske spremnosti/operativne gotovosti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278"/>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b/>
                <w:sz w:val="20"/>
                <w:szCs w:val="20"/>
              </w:rPr>
            </w:pPr>
            <w:r>
              <w:rPr>
                <w:rFonts w:cs="Calibri"/>
                <w:b/>
                <w:sz w:val="20"/>
                <w:szCs w:val="20"/>
              </w:rPr>
              <w:t xml:space="preserve">Postrojba civilne zaštite za opće namjene </w:t>
            </w: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spremnosti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Stupnja osposobljenosti ljudstva i </w:t>
            </w:r>
            <w:r>
              <w:rPr>
                <w:rFonts w:cs="Calibri"/>
                <w:sz w:val="20"/>
                <w:szCs w:val="20"/>
              </w:rPr>
              <w:t>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opremljenosti materijalnim sredstvima i opremom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Vremena mobilizacijske spremnosti/operativne gotovosti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5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Pravne osobe od interesa za sustav civilne zaštite</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popunjenosti ljudstvom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spremnosti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lastRenderedPageBreak/>
              <w:t>Stupnja osposobljenosti ljudstva 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Stupnja uvježbanosti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Stupnja opremljenosti </w:t>
            </w:r>
            <w:r>
              <w:rPr>
                <w:rFonts w:cs="Calibri"/>
                <w:sz w:val="20"/>
                <w:szCs w:val="20"/>
              </w:rPr>
              <w:t>materijalnim sredstvima i opremom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Vremena mobilizacijske spremnosti/operativne gotovosti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Samodostatnosti i logističkoj potpori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Hrvatska gorska služba spašavanja – Stanica Koprivnica</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 xml:space="preserve">Stupnja </w:t>
            </w:r>
            <w:r>
              <w:rPr>
                <w:rFonts w:cs="Calibri"/>
                <w:sz w:val="20"/>
                <w:szCs w:val="20"/>
              </w:rPr>
              <w:t>popunjenosti ljudstvom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Stupnja spremnosti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Stupnja osposobljenosti ljudstva i zapovjednog osoblja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Stupnja uvježbanosti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Stupnja opremljenosti materijalnim sredstvima i opremom</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 xml:space="preserve">Vremena </w:t>
            </w:r>
            <w:r>
              <w:rPr>
                <w:rFonts w:cs="Calibri"/>
                <w:sz w:val="20"/>
                <w:szCs w:val="20"/>
              </w:rPr>
              <w:t>mobilizacijske spremnosti/operativne gotovosti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Samodostatnosti i logističkoj potpori</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jc w:val="center"/>
              <w:rPr>
                <w:rFonts w:cs="Calibri"/>
                <w:b/>
                <w:sz w:val="20"/>
                <w:szCs w:val="20"/>
              </w:rPr>
            </w:pPr>
            <w:r>
              <w:rPr>
                <w:rFonts w:cs="Calibri"/>
                <w:b/>
                <w:sz w:val="20"/>
                <w:szCs w:val="20"/>
              </w:rPr>
              <w:t>3. Prikaz stanja mobilnosti operativnih kapaciteta sustava civilne zaštite i stanja komunikacijskih kapaciteta Općine</w:t>
            </w: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Operativne snage vatrogastva</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Stanje transportne potpore</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Stanje komunikacijskih kapaciteta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Operativne snage Crvenog križa – Gradsko društvo Crvenog križa Đurđevac</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lastRenderedPageBreak/>
              <w:t xml:space="preserve">Postrojba civilne zaštite za opće namjene </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 xml:space="preserve">Područje </w:t>
            </w:r>
            <w:r>
              <w:rPr>
                <w:rFonts w:cs="Calibri"/>
                <w:sz w:val="20"/>
                <w:szCs w:val="20"/>
                <w:u w:val="single"/>
              </w:rPr>
              <w:t>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 xml:space="preserve">Pravne osobe od interesa za sustav civilne zaštite </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transportne potpore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sz w:val="20"/>
                <w:szCs w:val="20"/>
              </w:rPr>
              <w:t xml:space="preserve">Stanje komunikacijskih kapaciteta </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u w:val="single"/>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jc w:val="center"/>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after="0" w:line="240" w:lineRule="auto"/>
              <w:jc w:val="center"/>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13900" w:type="dxa"/>
            <w:gridSpan w:val="5"/>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b/>
                <w:sz w:val="20"/>
                <w:szCs w:val="20"/>
              </w:rPr>
              <w:t>Hrvatska gorska služba spašavanja – Stanica Koprivnica</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Stanje transportne potpore</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rPr>
              <w:t>Stanje komunikacijskih kapaciteta</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r>
              <w:rPr>
                <w:rFonts w:cs="Calibri"/>
                <w:b/>
                <w:sz w:val="20"/>
                <w:szCs w:val="20"/>
              </w:rPr>
              <w:t>X</w:t>
            </w:r>
          </w:p>
        </w:tc>
      </w:tr>
      <w:tr w:rsidR="008F0D85">
        <w:trPr>
          <w:trHeight w:val="362"/>
          <w:jc w:val="center"/>
        </w:trPr>
        <w:tc>
          <w:tcPr>
            <w:tcW w:w="7763"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b/>
                <w:sz w:val="20"/>
                <w:szCs w:val="20"/>
              </w:rPr>
            </w:pPr>
            <w:r>
              <w:rPr>
                <w:rFonts w:cs="Calibri"/>
                <w:sz w:val="20"/>
                <w:szCs w:val="20"/>
                <w:u w:val="single"/>
              </w:rPr>
              <w:t>Područje reagiranja - ZBIRNO</w:t>
            </w:r>
          </w:p>
        </w:tc>
        <w:tc>
          <w:tcPr>
            <w:tcW w:w="1636"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513"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36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8F0D85">
            <w:pPr>
              <w:spacing w:after="0" w:line="240" w:lineRule="auto"/>
              <w:rPr>
                <w:rFonts w:cs="Calibri"/>
                <w:b/>
                <w:sz w:val="20"/>
                <w:szCs w:val="20"/>
              </w:rPr>
            </w:pPr>
          </w:p>
        </w:tc>
        <w:tc>
          <w:tcPr>
            <w:tcW w:w="1624" w:type="dxa"/>
            <w:tcBorders>
              <w:top w:val="single" w:sz="4" w:space="0" w:color="000001"/>
              <w:left w:val="single" w:sz="4" w:space="0" w:color="000001"/>
              <w:bottom w:val="single" w:sz="4" w:space="0" w:color="000001"/>
              <w:right w:val="single" w:sz="4" w:space="0" w:color="000001"/>
            </w:tcBorders>
            <w:shd w:val="clear" w:color="auto" w:fill="auto"/>
            <w:tcMar>
              <w:left w:w="-5" w:type="dxa"/>
              <w:right w:w="10" w:type="dxa"/>
            </w:tcMar>
            <w:vAlign w:val="center"/>
          </w:tcPr>
          <w:p w:rsidR="008F0D85" w:rsidRDefault="00AE42A1">
            <w:pPr>
              <w:spacing w:after="0" w:line="240" w:lineRule="auto"/>
              <w:jc w:val="center"/>
              <w:rPr>
                <w:rFonts w:cs="Calibri"/>
                <w:b/>
                <w:sz w:val="20"/>
                <w:szCs w:val="20"/>
              </w:rPr>
            </w:pPr>
            <w:bookmarkStart w:id="1285" w:name="_Hlk520120103"/>
            <w:bookmarkEnd w:id="1285"/>
            <w:r>
              <w:rPr>
                <w:rFonts w:cs="Calibri"/>
                <w:b/>
                <w:sz w:val="20"/>
                <w:szCs w:val="20"/>
              </w:rPr>
              <w:t>X</w:t>
            </w:r>
          </w:p>
        </w:tc>
      </w:tr>
    </w:tbl>
    <w:p w:rsidR="008F0D85" w:rsidRDefault="008F0D85">
      <w:pPr>
        <w:jc w:val="center"/>
        <w:rPr>
          <w:szCs w:val="24"/>
        </w:rPr>
      </w:pPr>
    </w:p>
    <w:p w:rsidR="008F0D85" w:rsidRDefault="008F0D85">
      <w:pPr>
        <w:tabs>
          <w:tab w:val="left" w:pos="5085"/>
        </w:tabs>
      </w:pPr>
    </w:p>
    <w:p w:rsidR="008F0D85" w:rsidRDefault="008F0D85">
      <w:pPr>
        <w:tabs>
          <w:tab w:val="left" w:pos="5085"/>
        </w:tabs>
      </w:pPr>
    </w:p>
    <w:p w:rsidR="008F0D85" w:rsidRDefault="008F0D85">
      <w:pPr>
        <w:tabs>
          <w:tab w:val="left" w:pos="5085"/>
        </w:tabs>
        <w:sectPr w:rsidR="008F0D85">
          <w:headerReference w:type="default" r:id="rId106"/>
          <w:footerReference w:type="default" r:id="rId107"/>
          <w:pgSz w:w="16838" w:h="11906" w:orient="landscape"/>
          <w:pgMar w:top="1418" w:right="1418" w:bottom="1418" w:left="1418" w:header="709" w:footer="709" w:gutter="0"/>
          <w:cols w:space="720"/>
          <w:formProt w:val="0"/>
          <w:docGrid w:linePitch="360"/>
        </w:sectPr>
      </w:pPr>
    </w:p>
    <w:p w:rsidR="008F0D85" w:rsidRDefault="00AE42A1">
      <w:pPr>
        <w:spacing w:after="0" w:line="360" w:lineRule="auto"/>
        <w:jc w:val="center"/>
        <w:rPr>
          <w:rFonts w:cs="Arial"/>
          <w:b/>
          <w:bCs/>
          <w:sz w:val="20"/>
          <w:szCs w:val="20"/>
        </w:rPr>
      </w:pPr>
      <w:bookmarkStart w:id="1306" w:name="_Toc510774977"/>
      <w:bookmarkStart w:id="1307" w:name="_Toc514240386"/>
      <w:bookmarkStart w:id="1308" w:name="_Toc516128467"/>
      <w:bookmarkStart w:id="1309" w:name="_Toc527969570"/>
      <w:r>
        <w:rPr>
          <w:rFonts w:cs="Arial"/>
          <w:b/>
          <w:bCs/>
          <w:sz w:val="20"/>
          <w:szCs w:val="20"/>
        </w:rPr>
        <w:lastRenderedPageBreak/>
        <w:t xml:space="preserve">Tablica </w:t>
      </w:r>
      <w:r>
        <w:rPr>
          <w:rFonts w:cs="Arial"/>
          <w:b/>
          <w:bCs/>
          <w:sz w:val="20"/>
          <w:szCs w:val="20"/>
        </w:rPr>
        <w:fldChar w:fldCharType="begin"/>
      </w:r>
      <w:r>
        <w:instrText>SEQ Tablica \* ARABIC</w:instrText>
      </w:r>
      <w:r>
        <w:fldChar w:fldCharType="separate"/>
      </w:r>
      <w:r>
        <w:t>88</w:t>
      </w:r>
      <w:r>
        <w:fldChar w:fldCharType="end"/>
      </w:r>
      <w:bookmarkEnd w:id="1306"/>
      <w:bookmarkEnd w:id="1307"/>
      <w:bookmarkEnd w:id="1308"/>
      <w:bookmarkEnd w:id="1309"/>
      <w:r>
        <w:rPr>
          <w:rFonts w:cs="Arial"/>
          <w:b/>
          <w:bCs/>
          <w:sz w:val="20"/>
          <w:szCs w:val="20"/>
        </w:rPr>
        <w:t>: Analiza stanja sustava civilne zaštite - Područje reagiranja</w:t>
      </w:r>
    </w:p>
    <w:tbl>
      <w:tblPr>
        <w:tblW w:w="9209"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2992"/>
        <w:gridCol w:w="1536"/>
        <w:gridCol w:w="1560"/>
        <w:gridCol w:w="1560"/>
        <w:gridCol w:w="1561"/>
      </w:tblGrid>
      <w:tr w:rsidR="008F0D85">
        <w:trPr>
          <w:trHeight w:val="352"/>
        </w:trPr>
        <w:tc>
          <w:tcPr>
            <w:tcW w:w="2992"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after="0" w:line="240" w:lineRule="auto"/>
              <w:rPr>
                <w:rFonts w:cs="Calibri"/>
                <w:sz w:val="20"/>
                <w:szCs w:val="20"/>
              </w:rPr>
            </w:pPr>
            <w:r>
              <w:rPr>
                <w:rFonts w:cs="Calibri"/>
                <w:b/>
                <w:sz w:val="20"/>
                <w:szCs w:val="20"/>
              </w:rPr>
              <w:t>PODRUČJE REAGIRANJA</w:t>
            </w: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Visoka spremnost</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visoka spremnost</w:t>
            </w:r>
          </w:p>
        </w:tc>
      </w:tr>
      <w:tr w:rsidR="008F0D85">
        <w:trPr>
          <w:trHeight w:val="278"/>
        </w:trPr>
        <w:tc>
          <w:tcPr>
            <w:tcW w:w="2992"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rPr>
                <w:rFonts w:cs="Calibri"/>
                <w:b/>
                <w:sz w:val="20"/>
                <w:szCs w:val="20"/>
              </w:rPr>
            </w:pP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4</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3</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2</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1</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 xml:space="preserve">Spremnost odgovornih i upravljačkih </w:t>
            </w:r>
            <w:r>
              <w:rPr>
                <w:rFonts w:cs="Calibri"/>
                <w:sz w:val="20"/>
                <w:szCs w:val="20"/>
              </w:rPr>
              <w:t>kapaciteta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Spremnost operativnih kapaciteta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rPr>
                <w:rFonts w:cs="Calibri"/>
                <w:sz w:val="20"/>
                <w:szCs w:val="20"/>
              </w:rPr>
            </w:pPr>
            <w:r>
              <w:rPr>
                <w:rFonts w:cs="Calibri"/>
                <w:sz w:val="20"/>
                <w:szCs w:val="20"/>
              </w:rPr>
              <w:t>Spremnost mobilnosti operativnih kapaciteta sustava civilne zaštite i stanja komunikacijskih kapaciteta</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r>
      <w:tr w:rsidR="008F0D85">
        <w:trPr>
          <w:trHeight w:val="36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AE42A1">
            <w:pPr>
              <w:spacing w:line="240" w:lineRule="auto"/>
              <w:rPr>
                <w:rFonts w:cs="Calibri"/>
                <w:b/>
                <w:sz w:val="20"/>
                <w:szCs w:val="20"/>
              </w:rPr>
            </w:pPr>
            <w:r>
              <w:rPr>
                <w:rFonts w:cs="Calibri"/>
                <w:b/>
                <w:sz w:val="20"/>
                <w:szCs w:val="20"/>
              </w:rPr>
              <w:t>ZBIRNO:</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bookmarkStart w:id="1310" w:name="_Hlk510088951"/>
            <w:bookmarkEnd w:id="1310"/>
          </w:p>
        </w:tc>
      </w:tr>
    </w:tbl>
    <w:p w:rsidR="008F0D85" w:rsidRDefault="008F0D85">
      <w:pPr>
        <w:jc w:val="center"/>
      </w:pPr>
    </w:p>
    <w:p w:rsidR="008F0D85" w:rsidRDefault="00AE42A1">
      <w:pPr>
        <w:spacing w:after="0" w:line="360" w:lineRule="auto"/>
        <w:jc w:val="center"/>
        <w:rPr>
          <w:rFonts w:cs="Arial"/>
          <w:b/>
          <w:bCs/>
          <w:sz w:val="20"/>
          <w:szCs w:val="20"/>
        </w:rPr>
      </w:pPr>
      <w:bookmarkStart w:id="1311" w:name="_Toc510774978"/>
      <w:bookmarkStart w:id="1312" w:name="_Toc514240387"/>
      <w:bookmarkStart w:id="1313" w:name="_Toc516128468"/>
      <w:bookmarkStart w:id="1314" w:name="_Toc527969571"/>
      <w:r>
        <w:rPr>
          <w:rFonts w:cs="Arial"/>
          <w:b/>
          <w:bCs/>
          <w:sz w:val="20"/>
          <w:szCs w:val="20"/>
        </w:rPr>
        <w:t xml:space="preserve">Tablica </w:t>
      </w:r>
      <w:r>
        <w:rPr>
          <w:rFonts w:cs="Arial"/>
          <w:b/>
          <w:bCs/>
          <w:sz w:val="20"/>
          <w:szCs w:val="20"/>
        </w:rPr>
        <w:fldChar w:fldCharType="begin"/>
      </w:r>
      <w:r>
        <w:instrText>SEQ Tablica \* ARABIC</w:instrText>
      </w:r>
      <w:r>
        <w:fldChar w:fldCharType="separate"/>
      </w:r>
      <w:r>
        <w:t>89</w:t>
      </w:r>
      <w:r>
        <w:fldChar w:fldCharType="end"/>
      </w:r>
      <w:bookmarkEnd w:id="1311"/>
      <w:bookmarkEnd w:id="1312"/>
      <w:bookmarkEnd w:id="1313"/>
      <w:bookmarkEnd w:id="1314"/>
      <w:r>
        <w:rPr>
          <w:rFonts w:cs="Arial"/>
          <w:b/>
          <w:bCs/>
          <w:sz w:val="20"/>
          <w:szCs w:val="20"/>
        </w:rPr>
        <w:t xml:space="preserve">: Prikaz analize sustava civilne </w:t>
      </w:r>
      <w:r>
        <w:rPr>
          <w:rFonts w:cs="Arial"/>
          <w:b/>
          <w:bCs/>
          <w:sz w:val="20"/>
          <w:szCs w:val="20"/>
        </w:rPr>
        <w:t>zaštite - ZBIRNO (područje preventive i područje reagiranja)</w:t>
      </w:r>
    </w:p>
    <w:tbl>
      <w:tblPr>
        <w:tblW w:w="9209"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2992"/>
        <w:gridCol w:w="1536"/>
        <w:gridCol w:w="1560"/>
        <w:gridCol w:w="1560"/>
        <w:gridCol w:w="1561"/>
      </w:tblGrid>
      <w:tr w:rsidR="008F0D85">
        <w:trPr>
          <w:trHeight w:val="352"/>
        </w:trPr>
        <w:tc>
          <w:tcPr>
            <w:tcW w:w="2992" w:type="dxa"/>
            <w:vMerge w:val="restart"/>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rPr>
                <w:rFonts w:cs="Calibri"/>
                <w:sz w:val="20"/>
                <w:szCs w:val="20"/>
              </w:rPr>
            </w:pP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Niska spremnost</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Visoka spremnost</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Vrlo visoka spremnost</w:t>
            </w:r>
          </w:p>
        </w:tc>
      </w:tr>
      <w:tr w:rsidR="008F0D85">
        <w:trPr>
          <w:trHeight w:val="278"/>
        </w:trPr>
        <w:tc>
          <w:tcPr>
            <w:tcW w:w="2992" w:type="dxa"/>
            <w:vMerge/>
            <w:tcBorders>
              <w:top w:val="single" w:sz="4" w:space="0" w:color="000001"/>
              <w:left w:val="single" w:sz="4" w:space="0" w:color="000001"/>
              <w:bottom w:val="single" w:sz="4" w:space="0" w:color="000001"/>
              <w:right w:val="single" w:sz="4" w:space="0" w:color="000001"/>
            </w:tcBorders>
            <w:shd w:val="clear" w:color="auto" w:fill="auto"/>
            <w:tcMar>
              <w:left w:w="88" w:type="dxa"/>
            </w:tcMar>
            <w:vAlign w:val="center"/>
          </w:tcPr>
          <w:p w:rsidR="008F0D85" w:rsidRDefault="008F0D85">
            <w:pPr>
              <w:spacing w:after="0" w:line="240" w:lineRule="auto"/>
              <w:rPr>
                <w:rFonts w:cs="Calibri"/>
                <w:b/>
                <w:sz w:val="20"/>
                <w:szCs w:val="20"/>
              </w:rPr>
            </w:pPr>
          </w:p>
        </w:tc>
        <w:tc>
          <w:tcPr>
            <w:tcW w:w="1536" w:type="dxa"/>
            <w:tcBorders>
              <w:top w:val="single" w:sz="4" w:space="0" w:color="000001"/>
              <w:left w:val="single" w:sz="4" w:space="0" w:color="000001"/>
              <w:bottom w:val="single" w:sz="4" w:space="0" w:color="000001"/>
              <w:right w:val="single" w:sz="4" w:space="0" w:color="000001"/>
            </w:tcBorders>
            <w:shd w:val="clear" w:color="auto" w:fill="FF0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4</w:t>
            </w:r>
          </w:p>
        </w:tc>
        <w:tc>
          <w:tcPr>
            <w:tcW w:w="1560" w:type="dxa"/>
            <w:tcBorders>
              <w:top w:val="single" w:sz="4" w:space="0" w:color="000001"/>
              <w:left w:val="single" w:sz="4" w:space="0" w:color="000001"/>
              <w:bottom w:val="single" w:sz="4" w:space="0" w:color="000001"/>
              <w:right w:val="single" w:sz="4" w:space="0" w:color="000001"/>
            </w:tcBorders>
            <w:shd w:val="clear" w:color="auto" w:fill="FFC0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3</w:t>
            </w:r>
          </w:p>
        </w:tc>
        <w:tc>
          <w:tcPr>
            <w:tcW w:w="1560" w:type="dxa"/>
            <w:tcBorders>
              <w:top w:val="single" w:sz="4" w:space="0" w:color="000001"/>
              <w:left w:val="single" w:sz="4" w:space="0" w:color="000001"/>
              <w:bottom w:val="single" w:sz="4" w:space="0" w:color="000001"/>
              <w:right w:val="single" w:sz="4" w:space="0" w:color="000001"/>
            </w:tcBorders>
            <w:shd w:val="clear" w:color="auto" w:fill="FFFF0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2</w:t>
            </w:r>
          </w:p>
        </w:tc>
        <w:tc>
          <w:tcPr>
            <w:tcW w:w="1561" w:type="dxa"/>
            <w:tcBorders>
              <w:top w:val="single" w:sz="4" w:space="0" w:color="000001"/>
              <w:left w:val="single" w:sz="4" w:space="0" w:color="000001"/>
              <w:bottom w:val="single" w:sz="4" w:space="0" w:color="000001"/>
              <w:right w:val="single" w:sz="4" w:space="0" w:color="000001"/>
            </w:tcBorders>
            <w:shd w:val="clear" w:color="auto" w:fill="92D050"/>
            <w:tcMar>
              <w:left w:w="88" w:type="dxa"/>
            </w:tcMar>
            <w:vAlign w:val="center"/>
          </w:tcPr>
          <w:p w:rsidR="008F0D85" w:rsidRDefault="00AE42A1">
            <w:pPr>
              <w:spacing w:after="0" w:line="240" w:lineRule="auto"/>
              <w:jc w:val="center"/>
              <w:rPr>
                <w:rFonts w:cs="Calibri"/>
                <w:sz w:val="20"/>
                <w:szCs w:val="20"/>
              </w:rPr>
            </w:pPr>
            <w:r>
              <w:rPr>
                <w:rFonts w:cs="Calibri"/>
                <w:b/>
                <w:sz w:val="20"/>
                <w:szCs w:val="20"/>
              </w:rPr>
              <w:t>1</w:t>
            </w: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Područje preventive – ZBIRNO</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line="240" w:lineRule="auto"/>
              <w:rPr>
                <w:rFonts w:cs="Calibri"/>
                <w:sz w:val="20"/>
                <w:szCs w:val="20"/>
              </w:rPr>
            </w:pPr>
            <w:r>
              <w:rPr>
                <w:rFonts w:cs="Calibri"/>
                <w:sz w:val="20"/>
                <w:szCs w:val="20"/>
              </w:rPr>
              <w:t>Područje reagiranja – ZBIRNO</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r>
      <w:tr w:rsidR="008F0D85">
        <w:trPr>
          <w:trHeight w:val="352"/>
        </w:trPr>
        <w:tc>
          <w:tcPr>
            <w:tcW w:w="2992"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rPr>
                <w:rFonts w:cs="Calibri"/>
                <w:b/>
                <w:sz w:val="20"/>
                <w:szCs w:val="20"/>
              </w:rPr>
            </w:pPr>
            <w:r>
              <w:rPr>
                <w:rFonts w:cs="Calibri"/>
                <w:b/>
                <w:sz w:val="20"/>
                <w:szCs w:val="20"/>
              </w:rPr>
              <w:t>Sustav civilne zaštite - ZBIRNO</w:t>
            </w:r>
          </w:p>
        </w:tc>
        <w:tc>
          <w:tcPr>
            <w:tcW w:w="153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p>
        </w:tc>
        <w:tc>
          <w:tcPr>
            <w:tcW w:w="1560"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line="240" w:lineRule="auto"/>
              <w:jc w:val="center"/>
              <w:rPr>
                <w:rFonts w:cs="Calibri"/>
                <w:b/>
                <w:sz w:val="20"/>
                <w:szCs w:val="20"/>
              </w:rPr>
            </w:pPr>
            <w:r>
              <w:rPr>
                <w:rFonts w:cs="Calibri"/>
                <w:b/>
                <w:sz w:val="20"/>
                <w:szCs w:val="20"/>
              </w:rPr>
              <w:t>X</w:t>
            </w:r>
          </w:p>
        </w:tc>
        <w:tc>
          <w:tcPr>
            <w:tcW w:w="156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8F0D85">
            <w:pPr>
              <w:spacing w:line="240" w:lineRule="auto"/>
              <w:jc w:val="center"/>
              <w:rPr>
                <w:rFonts w:cs="Calibri"/>
                <w:b/>
                <w:sz w:val="20"/>
                <w:szCs w:val="20"/>
              </w:rPr>
            </w:pPr>
            <w:bookmarkStart w:id="1315" w:name="_Hlk510089061"/>
            <w:bookmarkEnd w:id="1315"/>
          </w:p>
        </w:tc>
      </w:tr>
    </w:tbl>
    <w:p w:rsidR="008F0D85" w:rsidRDefault="008F0D85"/>
    <w:p w:rsidR="008F0D85" w:rsidRDefault="00AE42A1">
      <w:pPr>
        <w:spacing w:after="0"/>
        <w:textAlignment w:val="baseline"/>
        <w:rPr>
          <w:rFonts w:cs="Calibri"/>
          <w:color w:val="000000"/>
          <w:szCs w:val="24"/>
          <w:lang w:eastAsia="hr-HR"/>
        </w:rPr>
      </w:pPr>
      <w:r>
        <w:rPr>
          <w:b/>
        </w:rPr>
        <w:t xml:space="preserve">ZAKLJUČAK: </w:t>
      </w:r>
      <w:r>
        <w:rPr>
          <w:rFonts w:cs="Calibri"/>
          <w:color w:val="000000"/>
          <w:szCs w:val="24"/>
          <w:lang w:eastAsia="hr-HR"/>
        </w:rPr>
        <w:t>Sukladno Procjeni rizika od velikih nesreća za Općinu Kloštar Podravski i analizi stanja spremnosti sustava civilne zaštite, utvrđena je visoka spremnost operativnih snaga sustava civilne zaštite na području Općine Kloštar Podravski.</w:t>
      </w:r>
    </w:p>
    <w:p w:rsidR="008F0D85" w:rsidRDefault="00AE42A1">
      <w:pPr>
        <w:spacing w:after="0"/>
        <w:textAlignment w:val="baseline"/>
        <w:rPr>
          <w:rFonts w:cs="Calibri"/>
          <w:color w:val="000000"/>
          <w:szCs w:val="24"/>
          <w:lang w:eastAsia="hr-HR"/>
        </w:rPr>
      </w:pPr>
      <w:r>
        <w:rPr>
          <w:rFonts w:cs="Calibri"/>
          <w:color w:val="000000"/>
          <w:szCs w:val="24"/>
          <w:lang w:eastAsia="hr-HR"/>
        </w:rPr>
        <w:t>Za djelo</w:t>
      </w:r>
      <w:r>
        <w:rPr>
          <w:rFonts w:cs="Calibri"/>
          <w:color w:val="000000"/>
          <w:szCs w:val="24"/>
          <w:lang w:eastAsia="hr-HR"/>
        </w:rPr>
        <w:t>vanje u slučaju velikih nesreća i katastrofa, u prijedlog Odluke o određivanju pravnih osoba od interesa za sustav civilne zaštite Općine predlažu se sljedeće pravne osobe:</w:t>
      </w:r>
    </w:p>
    <w:p w:rsidR="008F0D85" w:rsidRDefault="008F0D85">
      <w:pPr>
        <w:spacing w:after="0"/>
        <w:textAlignment w:val="baseline"/>
        <w:rPr>
          <w:rFonts w:cs="Calibri"/>
          <w:color w:val="000000"/>
          <w:szCs w:val="24"/>
          <w:lang w:eastAsia="hr-HR"/>
        </w:rPr>
      </w:pPr>
    </w:p>
    <w:p w:rsidR="008F0D85" w:rsidRDefault="00AE42A1">
      <w:pPr>
        <w:pStyle w:val="Odlomakpopisa"/>
        <w:numPr>
          <w:ilvl w:val="0"/>
          <w:numId w:val="88"/>
        </w:numPr>
        <w:rPr>
          <w:sz w:val="24"/>
          <w:szCs w:val="24"/>
        </w:rPr>
      </w:pPr>
      <w:r>
        <w:rPr>
          <w:sz w:val="24"/>
          <w:szCs w:val="24"/>
        </w:rPr>
        <w:t>Komunalno KP d.o.o. Kloštar Podravski, Kralja Tomislava 2, 48 362 Kloštar Podravsk</w:t>
      </w:r>
      <w:r>
        <w:rPr>
          <w:sz w:val="24"/>
          <w:szCs w:val="24"/>
        </w:rPr>
        <w:t>i.</w:t>
      </w: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AE42A1">
      <w:pPr>
        <w:pStyle w:val="Naslov1"/>
      </w:pPr>
      <w:bookmarkStart w:id="1316" w:name="_Toc513643695"/>
      <w:bookmarkStart w:id="1317" w:name="_Toc514240286"/>
      <w:bookmarkStart w:id="1318" w:name="_Toc516128368"/>
      <w:bookmarkStart w:id="1319" w:name="_Toc527969478"/>
      <w:bookmarkEnd w:id="1316"/>
      <w:bookmarkEnd w:id="1317"/>
      <w:bookmarkEnd w:id="1318"/>
      <w:bookmarkEnd w:id="1319"/>
      <w:r>
        <w:lastRenderedPageBreak/>
        <w:t>9. VREDNOVANJE RIZIKA</w:t>
      </w:r>
    </w:p>
    <w:p w:rsidR="008F0D85" w:rsidRDefault="008F0D85">
      <w:pPr>
        <w:rPr>
          <w:lang w:eastAsia="hr-HR"/>
        </w:rPr>
      </w:pPr>
    </w:p>
    <w:p w:rsidR="008F0D85" w:rsidRDefault="00AE42A1">
      <w:r>
        <w:t xml:space="preserve">Vrednovanje rizika posljednji je od koraka u procesu procjene rizika te predstavlja osnovu za odabir mjera obrade rizika odnosno vodi prema izradi javnih politika za smanjenje rizika od velikih nesreća. </w:t>
      </w:r>
    </w:p>
    <w:p w:rsidR="008F0D85" w:rsidRDefault="00AE42A1">
      <w:r>
        <w:t>Vrednovanje rizika je proces uspoređivanja rezultata</w:t>
      </w:r>
      <w:r>
        <w:t xml:space="preserve"> analize rizika s kriterijima i provodi se uz primjenu ALARP načela (As Low As Reasonably Practicable – što niže, a da je razumno moguće).  Rizici se razvrstavaju u tri razreda: </w:t>
      </w:r>
    </w:p>
    <w:p w:rsidR="008F0D85" w:rsidRDefault="00AE42A1">
      <w:pPr>
        <w:numPr>
          <w:ilvl w:val="0"/>
          <w:numId w:val="90"/>
        </w:numPr>
        <w:ind w:hanging="294"/>
      </w:pPr>
      <w:r>
        <w:rPr>
          <w:b/>
        </w:rPr>
        <w:t>Prihvatljive</w:t>
      </w:r>
      <w:r>
        <w:t xml:space="preserve">: Prihvatljivi su svi niski, za koje uz uobičajene nije potrebno </w:t>
      </w:r>
      <w:r>
        <w:t>planirati poduzimanje dodatnih mjera.</w:t>
      </w:r>
    </w:p>
    <w:p w:rsidR="008F0D85" w:rsidRDefault="00AE42A1">
      <w:pPr>
        <w:numPr>
          <w:ilvl w:val="0"/>
          <w:numId w:val="90"/>
        </w:numPr>
        <w:ind w:hanging="294"/>
      </w:pPr>
      <w:r>
        <w:rPr>
          <w:b/>
        </w:rPr>
        <w:t>Tolerirane</w:t>
      </w:r>
      <w:r>
        <w:t>: Tolerirani rizici su svi:</w:t>
      </w:r>
    </w:p>
    <w:p w:rsidR="008F0D85" w:rsidRDefault="00AE42A1">
      <w:pPr>
        <w:numPr>
          <w:ilvl w:val="0"/>
          <w:numId w:val="91"/>
        </w:numPr>
        <w:ind w:left="709" w:hanging="283"/>
      </w:pPr>
      <w:r>
        <w:t>Umjereni koji se mogu prihvatiti iz razloga što troškovi smanjenja rizika premašuju korist/dobit,</w:t>
      </w:r>
    </w:p>
    <w:p w:rsidR="008F0D85" w:rsidRDefault="00AE42A1">
      <w:pPr>
        <w:numPr>
          <w:ilvl w:val="0"/>
          <w:numId w:val="91"/>
        </w:numPr>
        <w:ind w:left="709" w:hanging="283"/>
      </w:pPr>
      <w:r>
        <w:t>Visoki koji se mogu prihvatiti iz razloga što je njihovo umanjivanje nepraktično i</w:t>
      </w:r>
      <w:r>
        <w:t>li troškovi uvelike premašuju korist/dobit.</w:t>
      </w:r>
    </w:p>
    <w:p w:rsidR="008F0D85" w:rsidRDefault="00AE42A1">
      <w:pPr>
        <w:numPr>
          <w:ilvl w:val="0"/>
          <w:numId w:val="90"/>
        </w:numPr>
      </w:pPr>
      <w:r>
        <w:rPr>
          <w:b/>
        </w:rPr>
        <w:t>Neprihvatljive</w:t>
      </w:r>
      <w:r>
        <w:t xml:space="preserve">: Neprihvatljivi rizici su svi vrlo visoki koji se ne mogu prihvatiti, izuzev u iznimnim situacijama. </w:t>
      </w:r>
    </w:p>
    <w:p w:rsidR="008F0D85" w:rsidRDefault="00AE42A1">
      <w:r>
        <w:t>Vrednovanje rizika se provodi u svrhu pripreme podloga za odlučivanje o važnosti pojedinih rizi</w:t>
      </w:r>
      <w:r>
        <w:t>ka, odnosno hoće li se rizik prihvatiti ili će trebati poduzeti određene mjere kako bi se rizik sukcesivno umanjio. U procesu odlučivanja o daljnjim aktivnostima po specifičnim rizicima koriste se analize rizika i scenariji koji su sastavni dio Procjene ri</w:t>
      </w:r>
      <w:r>
        <w:t>zika.</w:t>
      </w: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AE42A1">
      <w:pPr>
        <w:jc w:val="center"/>
        <w:rPr>
          <w:lang w:eastAsia="hr-HR"/>
        </w:rPr>
      </w:pPr>
      <w:r>
        <w:rPr>
          <w:noProof/>
        </w:rPr>
        <w:lastRenderedPageBreak/>
        <w:drawing>
          <wp:inline distT="0" distB="0" distL="0" distR="0">
            <wp:extent cx="3953510" cy="3877310"/>
            <wp:effectExtent l="0" t="0" r="0" b="0"/>
            <wp:docPr id="122"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lika 68"/>
                    <pic:cNvPicPr>
                      <a:picLocks noChangeAspect="1" noChangeArrowheads="1"/>
                    </pic:cNvPicPr>
                  </pic:nvPicPr>
                  <pic:blipFill>
                    <a:blip r:embed="rId108"/>
                    <a:stretch>
                      <a:fillRect/>
                    </a:stretch>
                  </pic:blipFill>
                  <pic:spPr bwMode="auto">
                    <a:xfrm>
                      <a:off x="0" y="0"/>
                      <a:ext cx="3953510" cy="3877310"/>
                    </a:xfrm>
                    <a:prstGeom prst="rect">
                      <a:avLst/>
                    </a:prstGeom>
                  </pic:spPr>
                </pic:pic>
              </a:graphicData>
            </a:graphic>
          </wp:inline>
        </w:drawing>
      </w:r>
    </w:p>
    <w:p w:rsidR="008F0D85" w:rsidRDefault="00AE42A1">
      <w:pPr>
        <w:spacing w:after="0" w:line="360" w:lineRule="auto"/>
        <w:rPr>
          <w:rFonts w:cs="Arial"/>
          <w:b/>
          <w:bCs/>
          <w:sz w:val="20"/>
          <w:szCs w:val="20"/>
        </w:rPr>
      </w:pPr>
      <w:bookmarkStart w:id="1320" w:name="_Toc513643803"/>
      <w:bookmarkStart w:id="1321" w:name="_Toc514240418"/>
      <w:bookmarkStart w:id="1322" w:name="_Toc516128507"/>
      <w:bookmarkStart w:id="1323" w:name="_Toc527969601"/>
      <w:r>
        <w:rPr>
          <w:rFonts w:cs="Arial"/>
          <w:b/>
          <w:bCs/>
          <w:sz w:val="20"/>
          <w:szCs w:val="20"/>
        </w:rPr>
        <w:t xml:space="preserve">Slika </w:t>
      </w:r>
      <w:r>
        <w:rPr>
          <w:rFonts w:cs="Arial"/>
          <w:b/>
          <w:bCs/>
          <w:sz w:val="20"/>
          <w:szCs w:val="20"/>
        </w:rPr>
        <w:fldChar w:fldCharType="begin"/>
      </w:r>
      <w:r>
        <w:instrText>SEQ Slika \* ARABIC</w:instrText>
      </w:r>
      <w:r>
        <w:fldChar w:fldCharType="separate"/>
      </w:r>
      <w:r>
        <w:t>29</w:t>
      </w:r>
      <w:r>
        <w:fldChar w:fldCharType="end"/>
      </w:r>
      <w:bookmarkEnd w:id="1320"/>
      <w:bookmarkEnd w:id="1321"/>
      <w:bookmarkEnd w:id="1322"/>
      <w:bookmarkEnd w:id="1323"/>
      <w:r>
        <w:rPr>
          <w:rFonts w:cs="Arial"/>
          <w:b/>
          <w:bCs/>
          <w:sz w:val="20"/>
          <w:szCs w:val="20"/>
        </w:rPr>
        <w:t>: Vrednovanje rizika - ALARP načela</w:t>
      </w:r>
    </w:p>
    <w:p w:rsidR="008F0D85" w:rsidRDefault="00AE42A1">
      <w:pPr>
        <w:rPr>
          <w:sz w:val="20"/>
          <w:szCs w:val="20"/>
        </w:rPr>
      </w:pPr>
      <w:bookmarkStart w:id="1324" w:name="_Hlk511035600"/>
      <w:bookmarkEnd w:id="1324"/>
      <w:r>
        <w:rPr>
          <w:sz w:val="20"/>
          <w:szCs w:val="20"/>
        </w:rPr>
        <w:t>Izvor: Smjernice za izradu procjena rizika od velikih nesreća za područje Koprivničko - križevačke županije, 2017.god.</w:t>
      </w:r>
    </w:p>
    <w:p w:rsidR="008F0D85" w:rsidRDefault="00AE42A1">
      <w:r>
        <w:t xml:space="preserve">Za sve navedene rizike prema ALARP načelima potrebno je osigurati sustav koji će periodički revidirati rizike kako bi se po potrebi poduzele potrebne mjere. </w:t>
      </w:r>
    </w:p>
    <w:p w:rsidR="008F0D85" w:rsidRDefault="00AE42A1">
      <w:r>
        <w:t>S obzirom na podatke  dobivene procjenom rizika pomoću društvenih vrijednosti te njihovoga prikaza</w:t>
      </w:r>
      <w:r>
        <w:t xml:space="preserve"> u matricama, rizici na području Općine vrednovani su na sljedeći način:</w:t>
      </w:r>
    </w:p>
    <w:p w:rsidR="008F0D85" w:rsidRDefault="00AE42A1">
      <w:pPr>
        <w:spacing w:after="0" w:line="360" w:lineRule="auto"/>
        <w:jc w:val="center"/>
        <w:rPr>
          <w:rFonts w:cs="Arial"/>
          <w:b/>
          <w:bCs/>
          <w:sz w:val="20"/>
          <w:szCs w:val="20"/>
          <w:lang w:eastAsia="hr-HR"/>
        </w:rPr>
      </w:pPr>
      <w:bookmarkStart w:id="1325" w:name="_Toc513643777"/>
      <w:bookmarkStart w:id="1326" w:name="_Toc514240388"/>
      <w:bookmarkStart w:id="1327" w:name="_Toc516128469"/>
      <w:bookmarkStart w:id="1328" w:name="_Toc527969572"/>
      <w:r>
        <w:rPr>
          <w:rFonts w:cs="Arial"/>
          <w:b/>
          <w:bCs/>
          <w:sz w:val="20"/>
          <w:szCs w:val="20"/>
        </w:rPr>
        <w:t xml:space="preserve">Tablica </w:t>
      </w:r>
      <w:r>
        <w:rPr>
          <w:rFonts w:cs="Arial"/>
          <w:b/>
          <w:bCs/>
          <w:sz w:val="20"/>
          <w:szCs w:val="20"/>
        </w:rPr>
        <w:fldChar w:fldCharType="begin"/>
      </w:r>
      <w:r>
        <w:instrText>SEQ Tablica \* ARABIC</w:instrText>
      </w:r>
      <w:r>
        <w:fldChar w:fldCharType="separate"/>
      </w:r>
      <w:r>
        <w:t>90</w:t>
      </w:r>
      <w:r>
        <w:fldChar w:fldCharType="end"/>
      </w:r>
      <w:bookmarkEnd w:id="1325"/>
      <w:bookmarkEnd w:id="1326"/>
      <w:bookmarkEnd w:id="1327"/>
      <w:bookmarkEnd w:id="1328"/>
      <w:r>
        <w:rPr>
          <w:rFonts w:cs="Arial"/>
          <w:b/>
          <w:bCs/>
          <w:sz w:val="20"/>
          <w:szCs w:val="20"/>
        </w:rPr>
        <w:t>: Prikaz rizika razvrstanih prema ALARP načelu - Vrednovanje rizika</w:t>
      </w:r>
    </w:p>
    <w:tbl>
      <w:tblPr>
        <w:tblW w:w="906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A0" w:firstRow="1" w:lastRow="0" w:firstColumn="1" w:lastColumn="0" w:noHBand="0" w:noVBand="0"/>
      </w:tblPr>
      <w:tblGrid>
        <w:gridCol w:w="1118"/>
        <w:gridCol w:w="2462"/>
        <w:gridCol w:w="1792"/>
        <w:gridCol w:w="990"/>
        <w:gridCol w:w="901"/>
        <w:gridCol w:w="1797"/>
      </w:tblGrid>
      <w:tr w:rsidR="008F0D85">
        <w:trPr>
          <w:trHeight w:val="278"/>
        </w:trPr>
        <w:tc>
          <w:tcPr>
            <w:tcW w:w="1117" w:type="dxa"/>
            <w:vMerge w:val="restart"/>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b/>
                <w:sz w:val="20"/>
                <w:szCs w:val="20"/>
              </w:rPr>
            </w:pPr>
            <w:r>
              <w:rPr>
                <w:rFonts w:cs="Calibri"/>
                <w:b/>
                <w:sz w:val="20"/>
                <w:szCs w:val="20"/>
              </w:rPr>
              <w:t>Rd.br. rizika</w:t>
            </w:r>
          </w:p>
        </w:tc>
        <w:tc>
          <w:tcPr>
            <w:tcW w:w="2462" w:type="dxa"/>
            <w:vMerge w:val="restart"/>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AE42A1">
            <w:pPr>
              <w:spacing w:after="0"/>
              <w:jc w:val="center"/>
              <w:rPr>
                <w:rFonts w:cs="Calibri"/>
                <w:b/>
                <w:sz w:val="20"/>
                <w:szCs w:val="20"/>
              </w:rPr>
            </w:pPr>
            <w:r>
              <w:rPr>
                <w:rFonts w:cs="Calibri"/>
                <w:b/>
                <w:sz w:val="20"/>
                <w:szCs w:val="20"/>
              </w:rPr>
              <w:t>Naziv rizika</w:t>
            </w:r>
          </w:p>
        </w:tc>
        <w:tc>
          <w:tcPr>
            <w:tcW w:w="1792" w:type="dxa"/>
            <w:vMerge w:val="restart"/>
            <w:tcBorders>
              <w:top w:val="single" w:sz="4" w:space="0" w:color="00000A"/>
              <w:left w:val="single" w:sz="4" w:space="0" w:color="00000A"/>
              <w:bottom w:val="single" w:sz="4" w:space="0" w:color="00000A"/>
              <w:right w:val="single" w:sz="4" w:space="0" w:color="00000A"/>
            </w:tcBorders>
            <w:shd w:val="clear" w:color="auto" w:fill="92D050"/>
            <w:tcMar>
              <w:left w:w="93" w:type="dxa"/>
            </w:tcMar>
          </w:tcPr>
          <w:p w:rsidR="008F0D85" w:rsidRDefault="00AE42A1">
            <w:pPr>
              <w:spacing w:after="0"/>
              <w:jc w:val="center"/>
              <w:rPr>
                <w:rFonts w:cs="Calibri"/>
                <w:b/>
                <w:sz w:val="20"/>
                <w:szCs w:val="20"/>
              </w:rPr>
            </w:pPr>
            <w:r>
              <w:rPr>
                <w:rFonts w:cs="Calibri"/>
                <w:b/>
                <w:sz w:val="20"/>
                <w:szCs w:val="20"/>
              </w:rPr>
              <w:t>Prihvatljiv</w:t>
            </w:r>
          </w:p>
        </w:tc>
        <w:tc>
          <w:tcPr>
            <w:tcW w:w="1891" w:type="dxa"/>
            <w:gridSpan w:val="2"/>
            <w:tcBorders>
              <w:top w:val="single" w:sz="4" w:space="0" w:color="00000A"/>
              <w:left w:val="single" w:sz="4" w:space="0" w:color="00000A"/>
              <w:bottom w:val="single" w:sz="4" w:space="0" w:color="00000A"/>
              <w:right w:val="single" w:sz="4" w:space="0" w:color="00000A"/>
            </w:tcBorders>
            <w:shd w:val="clear" w:color="auto" w:fill="FFC000"/>
            <w:tcMar>
              <w:left w:w="93" w:type="dxa"/>
            </w:tcMar>
          </w:tcPr>
          <w:p w:rsidR="008F0D85" w:rsidRDefault="00AE42A1">
            <w:pPr>
              <w:spacing w:after="0"/>
              <w:jc w:val="center"/>
              <w:rPr>
                <w:rFonts w:cs="Calibri"/>
                <w:b/>
                <w:sz w:val="20"/>
                <w:szCs w:val="20"/>
              </w:rPr>
            </w:pPr>
            <w:r>
              <w:rPr>
                <w:rFonts w:cs="Calibri"/>
                <w:b/>
                <w:sz w:val="20"/>
                <w:szCs w:val="20"/>
              </w:rPr>
              <w:t>Tolerantni</w:t>
            </w:r>
          </w:p>
        </w:tc>
        <w:tc>
          <w:tcPr>
            <w:tcW w:w="1797" w:type="dxa"/>
            <w:vMerge w:val="restart"/>
            <w:tcBorders>
              <w:top w:val="single" w:sz="4" w:space="0" w:color="00000A"/>
              <w:left w:val="single" w:sz="4" w:space="0" w:color="00000A"/>
              <w:bottom w:val="single" w:sz="4" w:space="0" w:color="00000A"/>
              <w:right w:val="single" w:sz="4" w:space="0" w:color="00000A"/>
            </w:tcBorders>
            <w:shd w:val="clear" w:color="auto" w:fill="FF0000"/>
            <w:tcMar>
              <w:left w:w="93" w:type="dxa"/>
            </w:tcMar>
          </w:tcPr>
          <w:p w:rsidR="008F0D85" w:rsidRDefault="00AE42A1">
            <w:pPr>
              <w:spacing w:after="0"/>
              <w:jc w:val="center"/>
              <w:rPr>
                <w:rFonts w:cs="Calibri"/>
                <w:b/>
                <w:sz w:val="20"/>
                <w:szCs w:val="20"/>
              </w:rPr>
            </w:pPr>
            <w:r>
              <w:rPr>
                <w:rFonts w:cs="Calibri"/>
                <w:b/>
                <w:sz w:val="20"/>
                <w:szCs w:val="20"/>
              </w:rPr>
              <w:t>Neprihvatljiv</w:t>
            </w:r>
          </w:p>
        </w:tc>
      </w:tr>
      <w:tr w:rsidR="008F0D85">
        <w:trPr>
          <w:trHeight w:val="277"/>
        </w:trPr>
        <w:tc>
          <w:tcPr>
            <w:tcW w:w="1117" w:type="dxa"/>
            <w:vMerge/>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8F0D85">
            <w:pPr>
              <w:spacing w:after="0"/>
              <w:jc w:val="center"/>
              <w:rPr>
                <w:rFonts w:cs="Calibri"/>
                <w:b/>
                <w:sz w:val="20"/>
                <w:szCs w:val="20"/>
              </w:rPr>
            </w:pPr>
          </w:p>
        </w:tc>
        <w:tc>
          <w:tcPr>
            <w:tcW w:w="2462" w:type="dxa"/>
            <w:vMerge/>
            <w:tcBorders>
              <w:top w:val="single" w:sz="4" w:space="0" w:color="00000A"/>
              <w:left w:val="single" w:sz="4" w:space="0" w:color="00000A"/>
              <w:bottom w:val="single" w:sz="4" w:space="0" w:color="00000A"/>
              <w:right w:val="single" w:sz="4" w:space="0" w:color="00000A"/>
            </w:tcBorders>
            <w:shd w:val="clear" w:color="auto" w:fill="FFFFFF"/>
            <w:tcMar>
              <w:left w:w="93" w:type="dxa"/>
            </w:tcMar>
          </w:tcPr>
          <w:p w:rsidR="008F0D85" w:rsidRDefault="008F0D85">
            <w:pPr>
              <w:spacing w:after="0"/>
              <w:jc w:val="center"/>
              <w:rPr>
                <w:rFonts w:cs="Calibri"/>
                <w:b/>
                <w:sz w:val="20"/>
                <w:szCs w:val="20"/>
              </w:rPr>
            </w:pPr>
          </w:p>
        </w:tc>
        <w:tc>
          <w:tcPr>
            <w:tcW w:w="1792" w:type="dxa"/>
            <w:vMerge/>
            <w:tcBorders>
              <w:top w:val="single" w:sz="4" w:space="0" w:color="00000A"/>
              <w:left w:val="single" w:sz="4" w:space="0" w:color="00000A"/>
              <w:bottom w:val="single" w:sz="4" w:space="0" w:color="00000A"/>
              <w:right w:val="single" w:sz="4" w:space="0" w:color="00000A"/>
            </w:tcBorders>
            <w:shd w:val="clear" w:color="auto" w:fill="92D050"/>
            <w:tcMar>
              <w:left w:w="93" w:type="dxa"/>
            </w:tcMar>
          </w:tcPr>
          <w:p w:rsidR="008F0D85" w:rsidRDefault="008F0D85">
            <w:pPr>
              <w:spacing w:after="0"/>
              <w:jc w:val="center"/>
              <w:rPr>
                <w:rFonts w:cs="Calibri"/>
                <w:b/>
                <w:sz w:val="20"/>
                <w:szCs w:val="20"/>
              </w:rPr>
            </w:pPr>
          </w:p>
        </w:tc>
        <w:tc>
          <w:tcPr>
            <w:tcW w:w="990" w:type="dxa"/>
            <w:tcBorders>
              <w:top w:val="single" w:sz="4" w:space="0" w:color="00000A"/>
              <w:left w:val="single" w:sz="4" w:space="0" w:color="00000A"/>
              <w:bottom w:val="single" w:sz="4" w:space="0" w:color="00000A"/>
              <w:right w:val="single" w:sz="4" w:space="0" w:color="00000A"/>
            </w:tcBorders>
            <w:shd w:val="clear" w:color="auto" w:fill="FFFF00"/>
            <w:tcMar>
              <w:left w:w="93" w:type="dxa"/>
            </w:tcMar>
          </w:tcPr>
          <w:p w:rsidR="008F0D85" w:rsidRDefault="00AE42A1">
            <w:pPr>
              <w:spacing w:after="0"/>
              <w:jc w:val="center"/>
              <w:rPr>
                <w:rFonts w:cs="Calibri"/>
                <w:b/>
                <w:sz w:val="20"/>
                <w:szCs w:val="20"/>
              </w:rPr>
            </w:pPr>
            <w:r>
              <w:rPr>
                <w:rFonts w:cs="Calibri"/>
                <w:b/>
                <w:sz w:val="20"/>
                <w:szCs w:val="20"/>
              </w:rPr>
              <w:t>Umjereni</w:t>
            </w:r>
          </w:p>
        </w:tc>
        <w:tc>
          <w:tcPr>
            <w:tcW w:w="901" w:type="dxa"/>
            <w:tcBorders>
              <w:top w:val="single" w:sz="4" w:space="0" w:color="00000A"/>
              <w:left w:val="single" w:sz="4" w:space="0" w:color="00000A"/>
              <w:bottom w:val="single" w:sz="4" w:space="0" w:color="00000A"/>
              <w:right w:val="single" w:sz="4" w:space="0" w:color="00000A"/>
            </w:tcBorders>
            <w:shd w:val="clear" w:color="auto" w:fill="FFC000"/>
            <w:tcMar>
              <w:left w:w="93" w:type="dxa"/>
            </w:tcMar>
          </w:tcPr>
          <w:p w:rsidR="008F0D85" w:rsidRDefault="00AE42A1">
            <w:pPr>
              <w:spacing w:after="0"/>
              <w:jc w:val="center"/>
              <w:rPr>
                <w:rFonts w:cs="Calibri"/>
                <w:b/>
                <w:sz w:val="20"/>
                <w:szCs w:val="20"/>
              </w:rPr>
            </w:pPr>
            <w:r>
              <w:rPr>
                <w:rFonts w:cs="Calibri"/>
                <w:b/>
                <w:sz w:val="20"/>
                <w:szCs w:val="20"/>
              </w:rPr>
              <w:t>Visoki</w:t>
            </w:r>
          </w:p>
        </w:tc>
        <w:tc>
          <w:tcPr>
            <w:tcW w:w="1797" w:type="dxa"/>
            <w:vMerge/>
            <w:tcBorders>
              <w:top w:val="single" w:sz="4" w:space="0" w:color="00000A"/>
              <w:left w:val="single" w:sz="4" w:space="0" w:color="00000A"/>
              <w:bottom w:val="single" w:sz="4" w:space="0" w:color="00000A"/>
              <w:right w:val="single" w:sz="4" w:space="0" w:color="00000A"/>
            </w:tcBorders>
            <w:shd w:val="clear" w:color="auto" w:fill="FF0000"/>
            <w:tcMar>
              <w:left w:w="93" w:type="dxa"/>
            </w:tcMar>
          </w:tcPr>
          <w:p w:rsidR="008F0D85" w:rsidRDefault="008F0D85">
            <w:pPr>
              <w:spacing w:after="0"/>
              <w:jc w:val="center"/>
              <w:rPr>
                <w:rFonts w:cs="Calibri"/>
                <w:b/>
                <w:sz w:val="20"/>
                <w:szCs w:val="20"/>
              </w:rPr>
            </w:pPr>
          </w:p>
        </w:tc>
      </w:tr>
      <w:tr w:rsidR="008F0D85">
        <w:tc>
          <w:tcPr>
            <w:tcW w:w="111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numPr>
                <w:ilvl w:val="0"/>
                <w:numId w:val="92"/>
              </w:numPr>
              <w:spacing w:after="0"/>
              <w:contextualSpacing/>
              <w:jc w:val="left"/>
              <w:rPr>
                <w:rFonts w:cs="Calibri"/>
                <w:sz w:val="20"/>
                <w:szCs w:val="20"/>
                <w:lang w:val="en-US"/>
              </w:rPr>
            </w:pPr>
          </w:p>
        </w:tc>
        <w:tc>
          <w:tcPr>
            <w:tcW w:w="246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Epidemije i pandemije</w:t>
            </w:r>
          </w:p>
        </w:tc>
        <w:tc>
          <w:tcPr>
            <w:tcW w:w="179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9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90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X</w:t>
            </w:r>
          </w:p>
        </w:tc>
        <w:tc>
          <w:tcPr>
            <w:tcW w:w="179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r>
      <w:tr w:rsidR="008F0D85">
        <w:tc>
          <w:tcPr>
            <w:tcW w:w="111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numPr>
                <w:ilvl w:val="0"/>
                <w:numId w:val="92"/>
              </w:numPr>
              <w:spacing w:after="0"/>
              <w:contextualSpacing/>
              <w:jc w:val="left"/>
              <w:rPr>
                <w:rFonts w:cs="Calibri"/>
                <w:sz w:val="20"/>
                <w:szCs w:val="20"/>
                <w:lang w:val="en-US"/>
              </w:rPr>
            </w:pPr>
          </w:p>
        </w:tc>
        <w:tc>
          <w:tcPr>
            <w:tcW w:w="246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Ekstremne temperature</w:t>
            </w:r>
          </w:p>
        </w:tc>
        <w:tc>
          <w:tcPr>
            <w:tcW w:w="179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9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90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X</w:t>
            </w:r>
          </w:p>
        </w:tc>
        <w:tc>
          <w:tcPr>
            <w:tcW w:w="179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r>
      <w:tr w:rsidR="008F0D85">
        <w:tc>
          <w:tcPr>
            <w:tcW w:w="111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numPr>
                <w:ilvl w:val="0"/>
                <w:numId w:val="92"/>
              </w:numPr>
              <w:spacing w:after="0"/>
              <w:contextualSpacing/>
              <w:jc w:val="left"/>
              <w:rPr>
                <w:rFonts w:cs="Calibri"/>
                <w:sz w:val="20"/>
                <w:szCs w:val="20"/>
                <w:lang w:val="en-US"/>
              </w:rPr>
            </w:pPr>
          </w:p>
        </w:tc>
        <w:tc>
          <w:tcPr>
            <w:tcW w:w="246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Suša</w:t>
            </w:r>
          </w:p>
        </w:tc>
        <w:tc>
          <w:tcPr>
            <w:tcW w:w="179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9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X</w:t>
            </w:r>
          </w:p>
        </w:tc>
        <w:tc>
          <w:tcPr>
            <w:tcW w:w="90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179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r>
      <w:tr w:rsidR="008F0D85">
        <w:tc>
          <w:tcPr>
            <w:tcW w:w="111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numPr>
                <w:ilvl w:val="0"/>
                <w:numId w:val="92"/>
              </w:numPr>
              <w:spacing w:after="0"/>
              <w:contextualSpacing/>
              <w:jc w:val="left"/>
              <w:rPr>
                <w:rFonts w:cs="Calibri"/>
                <w:sz w:val="20"/>
                <w:szCs w:val="20"/>
                <w:lang w:val="en-US"/>
              </w:rPr>
            </w:pPr>
          </w:p>
        </w:tc>
        <w:tc>
          <w:tcPr>
            <w:tcW w:w="246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Poplava</w:t>
            </w:r>
          </w:p>
        </w:tc>
        <w:tc>
          <w:tcPr>
            <w:tcW w:w="179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9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90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179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X</w:t>
            </w:r>
          </w:p>
        </w:tc>
      </w:tr>
      <w:tr w:rsidR="008F0D85">
        <w:tc>
          <w:tcPr>
            <w:tcW w:w="111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numPr>
                <w:ilvl w:val="0"/>
                <w:numId w:val="92"/>
              </w:numPr>
              <w:spacing w:after="0"/>
              <w:contextualSpacing/>
              <w:jc w:val="left"/>
              <w:rPr>
                <w:rFonts w:cs="Calibri"/>
                <w:sz w:val="20"/>
                <w:szCs w:val="20"/>
                <w:lang w:val="en-US"/>
              </w:rPr>
            </w:pPr>
          </w:p>
        </w:tc>
        <w:tc>
          <w:tcPr>
            <w:tcW w:w="246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Potres</w:t>
            </w:r>
          </w:p>
        </w:tc>
        <w:tc>
          <w:tcPr>
            <w:tcW w:w="179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9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X</w:t>
            </w:r>
          </w:p>
        </w:tc>
        <w:tc>
          <w:tcPr>
            <w:tcW w:w="90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179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r>
      <w:tr w:rsidR="008F0D85">
        <w:tc>
          <w:tcPr>
            <w:tcW w:w="111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numPr>
                <w:ilvl w:val="0"/>
                <w:numId w:val="92"/>
              </w:numPr>
              <w:spacing w:after="0"/>
              <w:contextualSpacing/>
              <w:jc w:val="left"/>
              <w:rPr>
                <w:rFonts w:cs="Calibri"/>
                <w:sz w:val="20"/>
                <w:szCs w:val="20"/>
                <w:lang w:val="en-US"/>
              </w:rPr>
            </w:pPr>
          </w:p>
        </w:tc>
        <w:tc>
          <w:tcPr>
            <w:tcW w:w="246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rPr>
                <w:rFonts w:cs="Calibri"/>
                <w:sz w:val="20"/>
                <w:szCs w:val="20"/>
              </w:rPr>
            </w:pPr>
            <w:r>
              <w:rPr>
                <w:rFonts w:cs="Calibri"/>
                <w:sz w:val="20"/>
                <w:szCs w:val="20"/>
              </w:rPr>
              <w:t>Industrijska nesreća</w:t>
            </w:r>
          </w:p>
        </w:tc>
        <w:tc>
          <w:tcPr>
            <w:tcW w:w="1792"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99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p>
        </w:tc>
        <w:tc>
          <w:tcPr>
            <w:tcW w:w="901"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AE42A1">
            <w:pPr>
              <w:spacing w:after="0"/>
              <w:jc w:val="center"/>
              <w:rPr>
                <w:rFonts w:cs="Calibri"/>
                <w:b/>
                <w:sz w:val="20"/>
                <w:szCs w:val="20"/>
              </w:rPr>
            </w:pPr>
            <w:r>
              <w:rPr>
                <w:rFonts w:cs="Calibri"/>
                <w:b/>
                <w:sz w:val="20"/>
                <w:szCs w:val="20"/>
              </w:rPr>
              <w:t>X</w:t>
            </w:r>
          </w:p>
        </w:tc>
        <w:tc>
          <w:tcPr>
            <w:tcW w:w="179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8F0D85" w:rsidRDefault="008F0D85">
            <w:pPr>
              <w:spacing w:after="0"/>
              <w:jc w:val="center"/>
              <w:rPr>
                <w:rFonts w:cs="Calibri"/>
                <w:b/>
                <w:sz w:val="20"/>
                <w:szCs w:val="20"/>
              </w:rPr>
            </w:pPr>
            <w:bookmarkStart w:id="1329" w:name="_Hlk511035610"/>
            <w:bookmarkEnd w:id="1329"/>
          </w:p>
        </w:tc>
      </w:tr>
    </w:tbl>
    <w:p w:rsidR="008F0D85" w:rsidRDefault="008F0D85">
      <w:pPr>
        <w:rPr>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AE42A1">
      <w:pPr>
        <w:pStyle w:val="Naslov1"/>
      </w:pPr>
      <w:bookmarkStart w:id="1330" w:name="_Toc513643696"/>
      <w:bookmarkStart w:id="1331" w:name="_Toc514240287"/>
      <w:bookmarkStart w:id="1332" w:name="_Toc516128369"/>
      <w:bookmarkStart w:id="1333" w:name="_Toc527969479"/>
      <w:bookmarkEnd w:id="1330"/>
      <w:bookmarkEnd w:id="1331"/>
      <w:bookmarkEnd w:id="1332"/>
      <w:bookmarkEnd w:id="1333"/>
      <w:r>
        <w:lastRenderedPageBreak/>
        <w:t>10. KARTOGRAFSKI PRIKAZ PRIJETNJI I RIZIKA NA PODRUČJU OPĆINE</w:t>
      </w:r>
    </w:p>
    <w:p w:rsidR="008F0D85" w:rsidRDefault="00AE42A1">
      <w:pPr>
        <w:pStyle w:val="Naslov2"/>
      </w:pPr>
      <w:bookmarkStart w:id="1334" w:name="_Toc513643697"/>
      <w:bookmarkStart w:id="1335" w:name="_Toc514240288"/>
      <w:bookmarkStart w:id="1336" w:name="_Toc516128370"/>
      <w:bookmarkStart w:id="1337" w:name="_Toc527969480"/>
      <w:bookmarkEnd w:id="1334"/>
      <w:bookmarkEnd w:id="1335"/>
      <w:bookmarkEnd w:id="1336"/>
      <w:bookmarkEnd w:id="1337"/>
      <w:r>
        <w:t>10.1. Karta prijetnji – Poplava</w:t>
      </w:r>
    </w:p>
    <w:p w:rsidR="008F0D85" w:rsidRDefault="008F0D85">
      <w:pPr>
        <w:rPr>
          <w:lang w:val="en-US"/>
        </w:rPr>
      </w:pPr>
    </w:p>
    <w:p w:rsidR="008F0D85" w:rsidRDefault="00AE42A1">
      <w:pPr>
        <w:rPr>
          <w:lang w:val="en-US"/>
        </w:rPr>
      </w:pPr>
      <w:r>
        <w:rPr>
          <w:lang w:val="en-US"/>
        </w:rPr>
        <w:t>Karte opasnosti od poplava prikazuju površine koje su ugrožene pri pojave velikih voda. Dodatni podatak je informacija o očekivanoj dubini vode uz mogući poplavnih događaj. Priložene karte opasnosti od poplava za Općinu prikazuju pojavu velike vode male, s</w:t>
      </w:r>
      <w:r>
        <w:rPr>
          <w:lang w:val="en-US"/>
        </w:rPr>
        <w:t xml:space="preserve">rednje i velike vjerojatnosti pojave. </w:t>
      </w:r>
    </w:p>
    <w:p w:rsidR="008F0D85" w:rsidRDefault="00AE42A1">
      <w:pPr>
        <w:rPr>
          <w:lang w:val="en-US"/>
        </w:rPr>
      </w:pPr>
      <w:r>
        <w:rPr>
          <w:lang w:val="en-US"/>
        </w:rPr>
        <w:t xml:space="preserve">Karte opasnosti od poplava su rezultat modelskih izračuna poplavljivanja velike vode koja se javlja rjeđe od 100 godišnje velike vode.  To je u naravi, velika voda koja je uzrokovala plavljenja pri poplavnom događaju </w:t>
      </w:r>
      <w:r>
        <w:rPr>
          <w:lang w:val="en-US"/>
        </w:rPr>
        <w:t xml:space="preserve">u 2013. i 2014.god. S obzirom na sve ekstremnije vremenske pojave u zadnjih nekoliko godina, pojave ovako velike vode na vodotoku “Bistra Koprivnička” ne može se isključiti. </w:t>
      </w:r>
    </w:p>
    <w:p w:rsidR="008F0D85" w:rsidRDefault="00AE42A1">
      <w:pPr>
        <w:rPr>
          <w:lang w:val="en-US"/>
        </w:rPr>
      </w:pPr>
      <w:r>
        <w:rPr>
          <w:lang w:val="en-US"/>
        </w:rPr>
        <w:t>Karte opasnosti od poplava ukazuju na moguće obuhvate tri specifična poplavna sce</w:t>
      </w:r>
      <w:r>
        <w:rPr>
          <w:lang w:val="en-US"/>
        </w:rPr>
        <w:t>narija, a izrađene u su mjerilu 1:25 000 za ona područja koja su u Prethodnoj procjeni rizika od poplava određena kao područja s potencijalno značajnim rizicima od poplava. Analize su provedene na ukupno oko 30.000 km</w:t>
      </w:r>
      <w:r>
        <w:rPr>
          <w:vertAlign w:val="superscript"/>
          <w:lang w:val="en-US"/>
        </w:rPr>
        <w:t>2</w:t>
      </w:r>
      <w:r>
        <w:rPr>
          <w:lang w:val="en-US"/>
        </w:rPr>
        <w:t>, što je više od polovice državnog kop</w:t>
      </w:r>
      <w:r>
        <w:rPr>
          <w:lang w:val="en-US"/>
        </w:rPr>
        <w:t>nenog teritorija.</w:t>
      </w:r>
    </w:p>
    <w:p w:rsidR="008F0D85" w:rsidRDefault="00AE42A1">
      <w:pPr>
        <w:rPr>
          <w:szCs w:val="24"/>
          <w:lang w:val="en-US"/>
        </w:rPr>
      </w:pPr>
      <w:r>
        <w:rPr>
          <w:szCs w:val="24"/>
          <w:lang w:val="en-US"/>
        </w:rPr>
        <w:t>Analizirani su sljedeći poplavni scenariji:</w:t>
      </w:r>
    </w:p>
    <w:p w:rsidR="008F0D85" w:rsidRDefault="00AE42A1">
      <w:pPr>
        <w:numPr>
          <w:ilvl w:val="0"/>
          <w:numId w:val="88"/>
        </w:numPr>
        <w:contextualSpacing/>
        <w:rPr>
          <w:szCs w:val="24"/>
          <w:lang w:val="en-US"/>
        </w:rPr>
      </w:pPr>
      <w:r>
        <w:rPr>
          <w:szCs w:val="24"/>
          <w:lang w:val="en-US"/>
        </w:rPr>
        <w:t>Poplave velike vjerojatnosti pojavljivanja</w:t>
      </w:r>
    </w:p>
    <w:p w:rsidR="008F0D85" w:rsidRDefault="00AE42A1">
      <w:pPr>
        <w:numPr>
          <w:ilvl w:val="0"/>
          <w:numId w:val="88"/>
        </w:numPr>
        <w:contextualSpacing/>
        <w:rPr>
          <w:szCs w:val="24"/>
          <w:lang w:val="en-US"/>
        </w:rPr>
      </w:pPr>
      <w:r>
        <w:rPr>
          <w:szCs w:val="24"/>
          <w:lang w:val="en-US"/>
        </w:rPr>
        <w:t>Poplave srednje vjerojatnosti pojavljivanja (povratno razdoblje 100 godina)</w:t>
      </w:r>
    </w:p>
    <w:p w:rsidR="008F0D85" w:rsidRDefault="00AE42A1">
      <w:pPr>
        <w:numPr>
          <w:ilvl w:val="0"/>
          <w:numId w:val="88"/>
        </w:numPr>
        <w:contextualSpacing/>
        <w:rPr>
          <w:szCs w:val="24"/>
          <w:lang w:val="en-US"/>
        </w:rPr>
      </w:pPr>
      <w:r>
        <w:rPr>
          <w:szCs w:val="24"/>
          <w:lang w:val="en-US"/>
        </w:rPr>
        <w:t xml:space="preserve">Poplave male vjerojatnosti pojavljivanja uključujući poplave uslijed </w:t>
      </w:r>
      <w:r>
        <w:rPr>
          <w:szCs w:val="24"/>
          <w:lang w:val="en-US"/>
        </w:rPr>
        <w:t>mogućih rušenja nasipa na većim vodotocima te rušenja visokih brana – umjetne poplave).</w:t>
      </w:r>
    </w:p>
    <w:p w:rsidR="008F0D85" w:rsidRDefault="00AE42A1">
      <w:pPr>
        <w:rPr>
          <w:szCs w:val="24"/>
        </w:rPr>
      </w:pPr>
      <w:r>
        <w:rPr>
          <w:szCs w:val="24"/>
        </w:rPr>
        <w:t>Karte su izrađene u okviru Plana upravljanja rizicima od poplava sukladno odredbama članka 111. i 112. Zakona o vodama („Narodne Novine“ br. 153/09, 63/11, 130/11, 56/1</w:t>
      </w:r>
      <w:r>
        <w:rPr>
          <w:szCs w:val="24"/>
        </w:rPr>
        <w:t>3 i 14/14), i to za tri scenarija plavljenja određena Direktivnom 2007/60/EZ Europskog parlamenta i Vijeća od 23.10.2007.god. o procjeni i upravljanju rizicima od poplava i nisu pogodne za druge namjene. Treba voditi računa da na kartama nisu prikazani svi</w:t>
      </w:r>
      <w:r>
        <w:rPr>
          <w:szCs w:val="24"/>
        </w:rPr>
        <w:t xml:space="preserve"> mogući scenariji plavljenja.</w:t>
      </w: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shd w:val="clear" w:color="auto" w:fill="FFFFFF"/>
        <w:suppressAutoHyphens/>
        <w:spacing w:after="0"/>
        <w:textAlignment w:val="baseline"/>
        <w:rPr>
          <w:rFonts w:cs="Calibri"/>
          <w:szCs w:val="24"/>
          <w:lang w:eastAsia="hr-HR"/>
        </w:rPr>
      </w:pPr>
    </w:p>
    <w:p w:rsidR="008F0D85" w:rsidRDefault="008F0D85">
      <w:pPr>
        <w:tabs>
          <w:tab w:val="left" w:pos="5085"/>
        </w:tabs>
      </w:pPr>
    </w:p>
    <w:p w:rsidR="008F0D85" w:rsidRDefault="008F0D85">
      <w:pPr>
        <w:tabs>
          <w:tab w:val="left" w:pos="5085"/>
        </w:tabs>
      </w:pPr>
    </w:p>
    <w:p w:rsidR="008F0D85" w:rsidRDefault="008F0D85">
      <w:pPr>
        <w:tabs>
          <w:tab w:val="left" w:pos="5085"/>
        </w:tabs>
      </w:pPr>
    </w:p>
    <w:p w:rsidR="008F0D85" w:rsidRDefault="008F0D85">
      <w:pPr>
        <w:tabs>
          <w:tab w:val="left" w:pos="5085"/>
        </w:tabs>
      </w:pPr>
    </w:p>
    <w:p w:rsidR="008F0D85" w:rsidRDefault="00AE42A1">
      <w:pPr>
        <w:tabs>
          <w:tab w:val="center" w:pos="4536"/>
          <w:tab w:val="left" w:pos="5085"/>
          <w:tab w:val="right" w:pos="9072"/>
        </w:tabs>
        <w:sectPr w:rsidR="008F0D85">
          <w:headerReference w:type="default" r:id="rId109"/>
          <w:footerReference w:type="default" r:id="rId110"/>
          <w:pgSz w:w="11906" w:h="16838"/>
          <w:pgMar w:top="1418" w:right="1418" w:bottom="1418" w:left="1418" w:header="709" w:footer="709" w:gutter="0"/>
          <w:cols w:space="720"/>
          <w:formProt w:val="0"/>
          <w:docGrid w:linePitch="360"/>
        </w:sectPr>
      </w:pPr>
      <w:r>
        <w:t xml:space="preserve"> </w:t>
      </w:r>
    </w:p>
    <w:p w:rsidR="008F0D85" w:rsidRDefault="00AE42A1">
      <w:pPr>
        <w:tabs>
          <w:tab w:val="left" w:pos="5085"/>
        </w:tabs>
      </w:pPr>
      <w:r>
        <w:rPr>
          <w:noProof/>
        </w:rPr>
        <w:lastRenderedPageBreak/>
        <w:drawing>
          <wp:inline distT="0" distB="0" distL="0" distR="0">
            <wp:extent cx="9754235" cy="5620385"/>
            <wp:effectExtent l="0" t="0" r="0" b="0"/>
            <wp:docPr id="12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Slika 45"/>
                    <pic:cNvPicPr>
                      <a:picLocks noChangeAspect="1" noChangeArrowheads="1"/>
                    </pic:cNvPicPr>
                  </pic:nvPicPr>
                  <pic:blipFill>
                    <a:blip r:embed="rId111"/>
                    <a:stretch>
                      <a:fillRect/>
                    </a:stretch>
                  </pic:blipFill>
                  <pic:spPr bwMode="auto">
                    <a:xfrm>
                      <a:off x="0" y="0"/>
                      <a:ext cx="9754235" cy="5620385"/>
                    </a:xfrm>
                    <a:prstGeom prst="rect">
                      <a:avLst/>
                    </a:prstGeom>
                  </pic:spPr>
                </pic:pic>
              </a:graphicData>
            </a:graphic>
          </wp:inline>
        </w:drawing>
      </w:r>
    </w:p>
    <w:p w:rsidR="008F0D85" w:rsidRDefault="00AE42A1">
      <w:pPr>
        <w:tabs>
          <w:tab w:val="left" w:pos="5085"/>
        </w:tabs>
      </w:pPr>
      <w:r>
        <w:rPr>
          <w:noProof/>
        </w:rPr>
        <w:lastRenderedPageBreak/>
        <w:drawing>
          <wp:inline distT="0" distB="0" distL="0" distR="0">
            <wp:extent cx="9782810" cy="5639435"/>
            <wp:effectExtent l="0" t="0" r="0" b="0"/>
            <wp:docPr id="12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Slika 46"/>
                    <pic:cNvPicPr>
                      <a:picLocks noChangeAspect="1" noChangeArrowheads="1"/>
                    </pic:cNvPicPr>
                  </pic:nvPicPr>
                  <pic:blipFill>
                    <a:blip r:embed="rId112"/>
                    <a:stretch>
                      <a:fillRect/>
                    </a:stretch>
                  </pic:blipFill>
                  <pic:spPr bwMode="auto">
                    <a:xfrm>
                      <a:off x="0" y="0"/>
                      <a:ext cx="9782810" cy="5639435"/>
                    </a:xfrm>
                    <a:prstGeom prst="rect">
                      <a:avLst/>
                    </a:prstGeom>
                  </pic:spPr>
                </pic:pic>
              </a:graphicData>
            </a:graphic>
          </wp:inline>
        </w:drawing>
      </w:r>
    </w:p>
    <w:p w:rsidR="008F0D85" w:rsidRDefault="00AE42A1">
      <w:pPr>
        <w:tabs>
          <w:tab w:val="left" w:pos="5085"/>
        </w:tabs>
      </w:pPr>
      <w:r>
        <w:rPr>
          <w:noProof/>
        </w:rPr>
        <w:lastRenderedPageBreak/>
        <w:drawing>
          <wp:inline distT="0" distB="0" distL="0" distR="0">
            <wp:extent cx="9744710" cy="5629910"/>
            <wp:effectExtent l="0" t="0" r="0" b="0"/>
            <wp:docPr id="12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lika 47"/>
                    <pic:cNvPicPr>
                      <a:picLocks noChangeAspect="1" noChangeArrowheads="1"/>
                    </pic:cNvPicPr>
                  </pic:nvPicPr>
                  <pic:blipFill>
                    <a:blip r:embed="rId113"/>
                    <a:stretch>
                      <a:fillRect/>
                    </a:stretch>
                  </pic:blipFill>
                  <pic:spPr bwMode="auto">
                    <a:xfrm>
                      <a:off x="0" y="0"/>
                      <a:ext cx="9744710" cy="5629910"/>
                    </a:xfrm>
                    <a:prstGeom prst="rect">
                      <a:avLst/>
                    </a:prstGeom>
                  </pic:spPr>
                </pic:pic>
              </a:graphicData>
            </a:graphic>
          </wp:inline>
        </w:drawing>
      </w:r>
    </w:p>
    <w:p w:rsidR="008F0D85" w:rsidRDefault="00AE42A1">
      <w:pPr>
        <w:tabs>
          <w:tab w:val="left" w:pos="5085"/>
        </w:tabs>
      </w:pPr>
      <w:bookmarkStart w:id="1358" w:name="_Toc527969481"/>
      <w:bookmarkEnd w:id="1358"/>
      <w:r>
        <w:rPr>
          <w:noProof/>
        </w:rPr>
        <w:lastRenderedPageBreak/>
        <w:drawing>
          <wp:inline distT="0" distB="0" distL="0" distR="0">
            <wp:extent cx="9754235" cy="5620385"/>
            <wp:effectExtent l="0" t="0" r="0" b="0"/>
            <wp:docPr id="12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lika 48"/>
                    <pic:cNvPicPr>
                      <a:picLocks noChangeAspect="1" noChangeArrowheads="1"/>
                    </pic:cNvPicPr>
                  </pic:nvPicPr>
                  <pic:blipFill>
                    <a:blip r:embed="rId114"/>
                    <a:stretch>
                      <a:fillRect/>
                    </a:stretch>
                  </pic:blipFill>
                  <pic:spPr bwMode="auto">
                    <a:xfrm>
                      <a:off x="0" y="0"/>
                      <a:ext cx="9754235" cy="5620385"/>
                    </a:xfrm>
                    <a:prstGeom prst="rect">
                      <a:avLst/>
                    </a:prstGeom>
                  </pic:spPr>
                </pic:pic>
              </a:graphicData>
            </a:graphic>
          </wp:inline>
        </w:drawing>
      </w:r>
    </w:p>
    <w:p w:rsidR="008F0D85" w:rsidRDefault="00AE42A1">
      <w:pPr>
        <w:pStyle w:val="Naslov2"/>
        <w:sectPr w:rsidR="008F0D85">
          <w:headerReference w:type="default" r:id="rId115"/>
          <w:footerReference w:type="default" r:id="rId116"/>
          <w:pgSz w:w="16838" w:h="11906" w:orient="landscape"/>
          <w:pgMar w:top="766" w:right="720" w:bottom="766" w:left="720" w:header="709" w:footer="709" w:gutter="0"/>
          <w:cols w:space="720"/>
          <w:formProt w:val="0"/>
          <w:docGrid w:linePitch="360"/>
        </w:sectPr>
      </w:pPr>
      <w:r>
        <w:t>10.2. Karta prijetnji – Industrijska nesreća</w:t>
      </w:r>
    </w:p>
    <w:p w:rsidR="008F0D85" w:rsidRDefault="00AE42A1">
      <w:pPr>
        <w:pStyle w:val="Naslov1"/>
        <w:spacing w:before="0" w:after="200"/>
      </w:pPr>
      <w:r>
        <w:rPr>
          <w:noProof/>
        </w:rPr>
        <w:lastRenderedPageBreak/>
        <w:drawing>
          <wp:inline distT="0" distB="0" distL="0" distR="0">
            <wp:extent cx="6620510" cy="5220335"/>
            <wp:effectExtent l="0" t="0" r="0" b="0"/>
            <wp:docPr id="131"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lika 53"/>
                    <pic:cNvPicPr>
                      <a:picLocks noChangeAspect="1" noChangeArrowheads="1"/>
                    </pic:cNvPicPr>
                  </pic:nvPicPr>
                  <pic:blipFill>
                    <a:blip r:embed="rId117"/>
                    <a:stretch>
                      <a:fillRect/>
                    </a:stretch>
                  </pic:blipFill>
                  <pic:spPr bwMode="auto">
                    <a:xfrm>
                      <a:off x="0" y="0"/>
                      <a:ext cx="6620510" cy="5220335"/>
                    </a:xfrm>
                    <a:prstGeom prst="rect">
                      <a:avLst/>
                    </a:prstGeom>
                  </pic:spPr>
                </pic:pic>
              </a:graphicData>
            </a:graphic>
          </wp:inline>
        </w:drawing>
      </w:r>
      <w:bookmarkStart w:id="1379" w:name="_Toc527969482"/>
      <w:bookmarkStart w:id="1380" w:name="_Toc514240290"/>
      <w:bookmarkStart w:id="1381" w:name="_Toc516128371"/>
      <w:r>
        <w:t>11. POPIS SUDIONIKA IZRADE PROCJENE RIZIKA OD VELIKIH NESREĆA ZA OPĆINU</w:t>
      </w:r>
      <w:bookmarkEnd w:id="1379"/>
      <w:bookmarkEnd w:id="1380"/>
      <w:bookmarkEnd w:id="1381"/>
      <w:r>
        <w:t xml:space="preserve"> KLOŠTAR PODRAVSKI</w:t>
      </w:r>
    </w:p>
    <w:p w:rsidR="008F0D85" w:rsidRDefault="008F0D85">
      <w:pPr>
        <w:rPr>
          <w:sz w:val="20"/>
          <w:szCs w:val="20"/>
          <w:lang w:val="en-US"/>
        </w:rPr>
      </w:pPr>
    </w:p>
    <w:p w:rsidR="008F0D85" w:rsidRDefault="00AE42A1">
      <w:pPr>
        <w:rPr>
          <w:u w:val="single"/>
        </w:rPr>
      </w:pPr>
      <w:bookmarkStart w:id="1382" w:name="_Hlk511037489"/>
      <w:bookmarkEnd w:id="1382"/>
      <w:r>
        <w:rPr>
          <w:u w:val="single"/>
        </w:rPr>
        <w:t xml:space="preserve">Popis sudionika </w:t>
      </w:r>
      <w:r>
        <w:rPr>
          <w:u w:val="single"/>
        </w:rPr>
        <w:t>prikazuje se za svaki od identificiranih rizika zasebno</w:t>
      </w:r>
    </w:p>
    <w:tbl>
      <w:tblPr>
        <w:tblW w:w="9067"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3255"/>
        <w:gridCol w:w="5812"/>
      </w:tblGrid>
      <w:tr w:rsidR="008F0D85">
        <w:tc>
          <w:tcPr>
            <w:tcW w:w="9066" w:type="dxa"/>
            <w:gridSpan w:val="2"/>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bookmarkStart w:id="1383" w:name="_Hlk5110374891"/>
            <w:bookmarkEnd w:id="1383"/>
            <w:r>
              <w:rPr>
                <w:sz w:val="20"/>
                <w:szCs w:val="20"/>
              </w:rPr>
              <w:t>RIZIK: Epidemije i pandemije</w:t>
            </w:r>
          </w:p>
        </w:tc>
      </w:tr>
      <w:tr w:rsidR="008F0D85">
        <w:tc>
          <w:tcPr>
            <w:tcW w:w="3255"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Koordinator:</w:t>
            </w:r>
          </w:p>
        </w:tc>
        <w:tc>
          <w:tcPr>
            <w:tcW w:w="5811"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 xml:space="preserve">Nositelj: </w:t>
            </w:r>
          </w:p>
        </w:tc>
      </w:tr>
      <w:tr w:rsidR="008F0D85">
        <w:tc>
          <w:tcPr>
            <w:tcW w:w="3255"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tabs>
                <w:tab w:val="left" w:pos="1490"/>
              </w:tabs>
              <w:spacing w:after="0"/>
              <w:jc w:val="left"/>
              <w:rPr>
                <w:sz w:val="20"/>
                <w:szCs w:val="20"/>
              </w:rPr>
            </w:pPr>
            <w:r>
              <w:rPr>
                <w:sz w:val="20"/>
                <w:szCs w:val="20"/>
              </w:rPr>
              <w:t>Ivan Čupen, načelnik Stožera civilne zaštite Općine Kloštar Podravski</w:t>
            </w:r>
          </w:p>
        </w:tc>
        <w:tc>
          <w:tcPr>
            <w:tcW w:w="5811"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Nataša Martinčević, pročelnica JUO Općine Kloštar Podravski</w:t>
            </w:r>
          </w:p>
        </w:tc>
      </w:tr>
      <w:tr w:rsidR="008F0D85">
        <w:tc>
          <w:tcPr>
            <w:tcW w:w="9066" w:type="dxa"/>
            <w:gridSpan w:val="2"/>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 xml:space="preserve">Izvršitelji: </w:t>
            </w:r>
          </w:p>
        </w:tc>
      </w:tr>
      <w:tr w:rsidR="008F0D85">
        <w:tc>
          <w:tcPr>
            <w:tcW w:w="9066"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tabs>
                <w:tab w:val="left" w:pos="1560"/>
              </w:tabs>
              <w:spacing w:after="0"/>
              <w:rPr>
                <w:rFonts w:cs="Calibri"/>
                <w:sz w:val="20"/>
                <w:szCs w:val="20"/>
              </w:rPr>
            </w:pPr>
            <w:r>
              <w:rPr>
                <w:rFonts w:cs="Calibri"/>
                <w:sz w:val="20"/>
                <w:szCs w:val="20"/>
              </w:rPr>
              <w:t>Ivica Cmrk, predsjednik DVD-a</w:t>
            </w:r>
          </w:p>
        </w:tc>
      </w:tr>
    </w:tbl>
    <w:p w:rsidR="008F0D85" w:rsidRDefault="008F0D85"/>
    <w:tbl>
      <w:tblPr>
        <w:tblW w:w="906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3256"/>
        <w:gridCol w:w="5804"/>
      </w:tblGrid>
      <w:tr w:rsidR="008F0D85">
        <w:tc>
          <w:tcPr>
            <w:tcW w:w="9059" w:type="dxa"/>
            <w:gridSpan w:val="2"/>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RIZIK: Ekstremne temperature</w:t>
            </w:r>
          </w:p>
        </w:tc>
      </w:tr>
      <w:tr w:rsidR="008F0D85">
        <w:tc>
          <w:tcPr>
            <w:tcW w:w="325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Koordinator:</w:t>
            </w:r>
          </w:p>
        </w:tc>
        <w:tc>
          <w:tcPr>
            <w:tcW w:w="580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 xml:space="preserve">Nositelj: </w:t>
            </w:r>
          </w:p>
        </w:tc>
      </w:tr>
      <w:tr w:rsidR="008F0D85">
        <w:tc>
          <w:tcPr>
            <w:tcW w:w="325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tabs>
                <w:tab w:val="left" w:pos="1490"/>
              </w:tabs>
              <w:spacing w:after="0"/>
              <w:jc w:val="left"/>
              <w:rPr>
                <w:sz w:val="20"/>
                <w:szCs w:val="20"/>
              </w:rPr>
            </w:pPr>
            <w:r>
              <w:rPr>
                <w:sz w:val="20"/>
                <w:szCs w:val="20"/>
              </w:rPr>
              <w:t>Ivan Čupen, načelnik Stožera civilne zaštite Općine Kloštar Podravski</w:t>
            </w:r>
          </w:p>
        </w:tc>
        <w:tc>
          <w:tcPr>
            <w:tcW w:w="580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Nataša Martinčević, pročelnica JUO Općine Kloštar Podravski</w:t>
            </w:r>
          </w:p>
        </w:tc>
      </w:tr>
      <w:tr w:rsidR="008F0D85">
        <w:tc>
          <w:tcPr>
            <w:tcW w:w="9059" w:type="dxa"/>
            <w:gridSpan w:val="2"/>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 xml:space="preserve">Izvršitelji: </w:t>
            </w:r>
          </w:p>
        </w:tc>
      </w:tr>
      <w:tr w:rsidR="008F0D85">
        <w:tc>
          <w:tcPr>
            <w:tcW w:w="9059"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rFonts w:cs="Calibri"/>
                <w:sz w:val="20"/>
                <w:szCs w:val="20"/>
              </w:rPr>
            </w:pPr>
            <w:r>
              <w:rPr>
                <w:rFonts w:cs="Calibri"/>
                <w:sz w:val="20"/>
                <w:szCs w:val="20"/>
              </w:rPr>
              <w:lastRenderedPageBreak/>
              <w:t>Ivana Pavunić, medicinska sestra</w:t>
            </w:r>
          </w:p>
        </w:tc>
      </w:tr>
    </w:tbl>
    <w:p w:rsidR="008F0D85" w:rsidRDefault="008F0D85"/>
    <w:tbl>
      <w:tblPr>
        <w:tblW w:w="906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3256"/>
        <w:gridCol w:w="5804"/>
      </w:tblGrid>
      <w:tr w:rsidR="008F0D85">
        <w:tc>
          <w:tcPr>
            <w:tcW w:w="9059" w:type="dxa"/>
            <w:gridSpan w:val="2"/>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RIZIK: Suša</w:t>
            </w:r>
          </w:p>
        </w:tc>
      </w:tr>
      <w:tr w:rsidR="008F0D85">
        <w:tc>
          <w:tcPr>
            <w:tcW w:w="325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Koordinator:</w:t>
            </w:r>
          </w:p>
        </w:tc>
        <w:tc>
          <w:tcPr>
            <w:tcW w:w="580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 xml:space="preserve">Nositelj: </w:t>
            </w:r>
          </w:p>
        </w:tc>
      </w:tr>
      <w:tr w:rsidR="008F0D85">
        <w:tc>
          <w:tcPr>
            <w:tcW w:w="325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tabs>
                <w:tab w:val="left" w:pos="1490"/>
              </w:tabs>
              <w:spacing w:after="0"/>
              <w:jc w:val="left"/>
              <w:rPr>
                <w:sz w:val="20"/>
                <w:szCs w:val="20"/>
              </w:rPr>
            </w:pPr>
            <w:r>
              <w:rPr>
                <w:sz w:val="20"/>
                <w:szCs w:val="20"/>
              </w:rPr>
              <w:t>Ivan Čupen, načelnik Stožera civilne zaštite Općine Kloštar Podravski</w:t>
            </w:r>
          </w:p>
        </w:tc>
        <w:tc>
          <w:tcPr>
            <w:tcW w:w="580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Martin Krupski, predsjednik Vatrogasne zajednice Općine Kloštar Podravski</w:t>
            </w:r>
          </w:p>
        </w:tc>
      </w:tr>
      <w:tr w:rsidR="008F0D85">
        <w:tc>
          <w:tcPr>
            <w:tcW w:w="9059" w:type="dxa"/>
            <w:gridSpan w:val="2"/>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 xml:space="preserve">Izvršitelji: </w:t>
            </w:r>
          </w:p>
        </w:tc>
      </w:tr>
      <w:tr w:rsidR="008F0D85">
        <w:tc>
          <w:tcPr>
            <w:tcW w:w="9059"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rFonts w:cs="Calibri"/>
                <w:sz w:val="20"/>
                <w:szCs w:val="20"/>
              </w:rPr>
            </w:pPr>
            <w:r>
              <w:rPr>
                <w:rFonts w:cs="Calibri"/>
                <w:sz w:val="20"/>
                <w:szCs w:val="20"/>
              </w:rPr>
              <w:t>Mladen Klikić, član DVD-a</w:t>
            </w:r>
          </w:p>
        </w:tc>
      </w:tr>
    </w:tbl>
    <w:p w:rsidR="008F0D85" w:rsidRDefault="008F0D85"/>
    <w:tbl>
      <w:tblPr>
        <w:tblW w:w="906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3256"/>
        <w:gridCol w:w="5804"/>
      </w:tblGrid>
      <w:tr w:rsidR="008F0D85">
        <w:tc>
          <w:tcPr>
            <w:tcW w:w="9059" w:type="dxa"/>
            <w:gridSpan w:val="2"/>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RIZIK: Poplava</w:t>
            </w:r>
          </w:p>
        </w:tc>
      </w:tr>
      <w:tr w:rsidR="008F0D85">
        <w:tc>
          <w:tcPr>
            <w:tcW w:w="325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Koordinator:</w:t>
            </w:r>
          </w:p>
        </w:tc>
        <w:tc>
          <w:tcPr>
            <w:tcW w:w="580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 xml:space="preserve">Nositelj: </w:t>
            </w:r>
          </w:p>
        </w:tc>
      </w:tr>
      <w:tr w:rsidR="008F0D85">
        <w:tc>
          <w:tcPr>
            <w:tcW w:w="325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tabs>
                <w:tab w:val="left" w:pos="1490"/>
              </w:tabs>
              <w:spacing w:after="0"/>
              <w:jc w:val="left"/>
              <w:rPr>
                <w:sz w:val="20"/>
                <w:szCs w:val="20"/>
              </w:rPr>
            </w:pPr>
            <w:r>
              <w:rPr>
                <w:sz w:val="20"/>
                <w:szCs w:val="20"/>
              </w:rPr>
              <w:t>Ivan Čupen, načelnik Stožera civilne zaštite Općine Kloštar Podravski</w:t>
            </w:r>
          </w:p>
        </w:tc>
        <w:tc>
          <w:tcPr>
            <w:tcW w:w="580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Dražen Magdić, policajac</w:t>
            </w:r>
          </w:p>
        </w:tc>
      </w:tr>
      <w:tr w:rsidR="008F0D85">
        <w:tc>
          <w:tcPr>
            <w:tcW w:w="9059" w:type="dxa"/>
            <w:gridSpan w:val="2"/>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 xml:space="preserve">Izvršitelji: </w:t>
            </w:r>
          </w:p>
        </w:tc>
      </w:tr>
      <w:tr w:rsidR="008F0D85">
        <w:tc>
          <w:tcPr>
            <w:tcW w:w="9059"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tabs>
                <w:tab w:val="left" w:pos="1140"/>
              </w:tabs>
              <w:spacing w:after="0"/>
              <w:rPr>
                <w:rFonts w:cs="Calibri"/>
                <w:sz w:val="20"/>
                <w:szCs w:val="20"/>
              </w:rPr>
            </w:pPr>
            <w:r>
              <w:rPr>
                <w:rFonts w:cs="Calibri"/>
                <w:sz w:val="20"/>
                <w:szCs w:val="20"/>
              </w:rPr>
              <w:t>Josip Krupinski, član DVD-a</w:t>
            </w:r>
          </w:p>
        </w:tc>
      </w:tr>
    </w:tbl>
    <w:p w:rsidR="008F0D85" w:rsidRDefault="008F0D85"/>
    <w:tbl>
      <w:tblPr>
        <w:tblW w:w="906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3256"/>
        <w:gridCol w:w="5804"/>
      </w:tblGrid>
      <w:tr w:rsidR="008F0D85">
        <w:tc>
          <w:tcPr>
            <w:tcW w:w="9059" w:type="dxa"/>
            <w:gridSpan w:val="2"/>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RIZIK: Potres</w:t>
            </w:r>
          </w:p>
        </w:tc>
      </w:tr>
      <w:tr w:rsidR="008F0D85">
        <w:tc>
          <w:tcPr>
            <w:tcW w:w="325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Koordinator:</w:t>
            </w:r>
          </w:p>
        </w:tc>
        <w:tc>
          <w:tcPr>
            <w:tcW w:w="580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 xml:space="preserve">Nositelj: </w:t>
            </w:r>
          </w:p>
        </w:tc>
      </w:tr>
      <w:tr w:rsidR="008F0D85">
        <w:tc>
          <w:tcPr>
            <w:tcW w:w="325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tabs>
                <w:tab w:val="left" w:pos="1490"/>
              </w:tabs>
              <w:spacing w:after="0"/>
              <w:jc w:val="left"/>
              <w:rPr>
                <w:sz w:val="20"/>
                <w:szCs w:val="20"/>
              </w:rPr>
            </w:pPr>
            <w:r>
              <w:rPr>
                <w:sz w:val="20"/>
                <w:szCs w:val="20"/>
              </w:rPr>
              <w:t>Ivan Čupen, načelnik Stožera civilne zaštite Općine Kloštar Podravski</w:t>
            </w:r>
          </w:p>
        </w:tc>
        <w:tc>
          <w:tcPr>
            <w:tcW w:w="580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Valerija Bartolić, doktorica</w:t>
            </w:r>
          </w:p>
        </w:tc>
      </w:tr>
      <w:tr w:rsidR="008F0D85">
        <w:tc>
          <w:tcPr>
            <w:tcW w:w="9059" w:type="dxa"/>
            <w:gridSpan w:val="2"/>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 xml:space="preserve">Izvršitelji: </w:t>
            </w:r>
          </w:p>
        </w:tc>
      </w:tr>
      <w:tr w:rsidR="008F0D85">
        <w:tc>
          <w:tcPr>
            <w:tcW w:w="9059"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rFonts w:cs="Calibri"/>
                <w:sz w:val="20"/>
                <w:szCs w:val="20"/>
              </w:rPr>
            </w:pPr>
            <w:r>
              <w:rPr>
                <w:rFonts w:cs="Calibri"/>
                <w:sz w:val="20"/>
                <w:szCs w:val="20"/>
              </w:rPr>
              <w:t>Salvatore Dimauro, član DVD-a</w:t>
            </w:r>
          </w:p>
        </w:tc>
      </w:tr>
    </w:tbl>
    <w:p w:rsidR="008F0D85" w:rsidRDefault="008F0D85">
      <w:pPr>
        <w:spacing w:after="0"/>
        <w:rPr>
          <w:b/>
        </w:rPr>
      </w:pPr>
    </w:p>
    <w:p w:rsidR="008F0D85" w:rsidRDefault="008F0D85">
      <w:pPr>
        <w:spacing w:after="0"/>
        <w:rPr>
          <w:b/>
        </w:rPr>
      </w:pPr>
    </w:p>
    <w:p w:rsidR="008F0D85" w:rsidRDefault="008F0D85">
      <w:pPr>
        <w:spacing w:after="0"/>
        <w:rPr>
          <w:b/>
        </w:rPr>
      </w:pPr>
    </w:p>
    <w:tbl>
      <w:tblPr>
        <w:tblW w:w="906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8" w:type="dxa"/>
        </w:tblCellMar>
        <w:tblLook w:val="00A0" w:firstRow="1" w:lastRow="0" w:firstColumn="1" w:lastColumn="0" w:noHBand="0" w:noVBand="0"/>
      </w:tblPr>
      <w:tblGrid>
        <w:gridCol w:w="3256"/>
        <w:gridCol w:w="5804"/>
      </w:tblGrid>
      <w:tr w:rsidR="008F0D85">
        <w:tc>
          <w:tcPr>
            <w:tcW w:w="9059" w:type="dxa"/>
            <w:gridSpan w:val="2"/>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RIZIK: Industrijska nesreća</w:t>
            </w:r>
          </w:p>
        </w:tc>
      </w:tr>
      <w:tr w:rsidR="008F0D85">
        <w:tc>
          <w:tcPr>
            <w:tcW w:w="3256"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Koordinator:</w:t>
            </w:r>
          </w:p>
        </w:tc>
        <w:tc>
          <w:tcPr>
            <w:tcW w:w="5803" w:type="dxa"/>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 xml:space="preserve">Nositelj: </w:t>
            </w:r>
          </w:p>
        </w:tc>
      </w:tr>
      <w:tr w:rsidR="008F0D85">
        <w:tc>
          <w:tcPr>
            <w:tcW w:w="3256"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tabs>
                <w:tab w:val="left" w:pos="1490"/>
              </w:tabs>
              <w:spacing w:after="0"/>
              <w:jc w:val="left"/>
              <w:rPr>
                <w:sz w:val="20"/>
                <w:szCs w:val="20"/>
              </w:rPr>
            </w:pPr>
            <w:r>
              <w:rPr>
                <w:sz w:val="20"/>
                <w:szCs w:val="20"/>
              </w:rPr>
              <w:t xml:space="preserve">Ivan Čupen, načelnik </w:t>
            </w:r>
            <w:r>
              <w:rPr>
                <w:sz w:val="20"/>
                <w:szCs w:val="20"/>
              </w:rPr>
              <w:t>Stožera civilne zaštite Općine Kloštar Podravski</w:t>
            </w:r>
          </w:p>
        </w:tc>
        <w:tc>
          <w:tcPr>
            <w:tcW w:w="5803"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jc w:val="left"/>
              <w:rPr>
                <w:sz w:val="20"/>
                <w:szCs w:val="20"/>
              </w:rPr>
            </w:pPr>
            <w:r>
              <w:rPr>
                <w:sz w:val="20"/>
                <w:szCs w:val="20"/>
              </w:rPr>
              <w:t>Krunoslav Karas, načelnik kadrovske Policijske uprave</w:t>
            </w:r>
          </w:p>
        </w:tc>
      </w:tr>
      <w:tr w:rsidR="008F0D85">
        <w:tc>
          <w:tcPr>
            <w:tcW w:w="9059" w:type="dxa"/>
            <w:gridSpan w:val="2"/>
            <w:tcBorders>
              <w:top w:val="single" w:sz="4" w:space="0" w:color="000001"/>
              <w:left w:val="single" w:sz="4" w:space="0" w:color="000001"/>
              <w:bottom w:val="single" w:sz="4" w:space="0" w:color="000001"/>
              <w:right w:val="single" w:sz="4" w:space="0" w:color="000001"/>
            </w:tcBorders>
            <w:shd w:val="clear" w:color="auto" w:fill="F2F2F2"/>
            <w:tcMar>
              <w:left w:w="88" w:type="dxa"/>
            </w:tcMar>
          </w:tcPr>
          <w:p w:rsidR="008F0D85" w:rsidRDefault="00AE42A1">
            <w:pPr>
              <w:spacing w:after="0"/>
              <w:rPr>
                <w:sz w:val="20"/>
                <w:szCs w:val="20"/>
              </w:rPr>
            </w:pPr>
            <w:r>
              <w:rPr>
                <w:sz w:val="20"/>
                <w:szCs w:val="20"/>
              </w:rPr>
              <w:t xml:space="preserve">Izvršitelji: </w:t>
            </w:r>
          </w:p>
        </w:tc>
      </w:tr>
      <w:tr w:rsidR="008F0D85">
        <w:tc>
          <w:tcPr>
            <w:tcW w:w="9059" w:type="dxa"/>
            <w:gridSpan w:val="2"/>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8F0D85" w:rsidRDefault="00AE42A1">
            <w:pPr>
              <w:spacing w:after="0"/>
              <w:rPr>
                <w:rFonts w:cs="Calibri"/>
                <w:sz w:val="20"/>
                <w:szCs w:val="20"/>
              </w:rPr>
            </w:pPr>
            <w:r>
              <w:rPr>
                <w:rFonts w:cs="Calibri"/>
                <w:sz w:val="20"/>
                <w:szCs w:val="20"/>
              </w:rPr>
              <w:t>Renata Imbrišić, član DVD-a</w:t>
            </w:r>
          </w:p>
        </w:tc>
      </w:tr>
    </w:tbl>
    <w:p w:rsidR="008F0D85" w:rsidRDefault="008F0D85">
      <w:pPr>
        <w:spacing w:after="0"/>
        <w:rPr>
          <w:b/>
        </w:rPr>
      </w:pPr>
    </w:p>
    <w:p w:rsidR="008F0D85" w:rsidRDefault="00AE42A1">
      <w:pPr>
        <w:rPr>
          <w:szCs w:val="24"/>
        </w:rPr>
      </w:pPr>
      <w:bookmarkStart w:id="1384" w:name="_Hlk499504716"/>
      <w:r>
        <w:rPr>
          <w:b/>
        </w:rPr>
        <w:t>Konzultant:</w:t>
      </w:r>
      <w:bookmarkEnd w:id="1384"/>
      <w:r>
        <w:t xml:space="preserve"> Ustanova za obrazovanje odraslih Defensor, Zagrebačka 71, 42 000 Varaždin</w:t>
      </w:r>
    </w:p>
    <w:p w:rsidR="008F0D85" w:rsidRDefault="008F0D85"/>
    <w:p w:rsidR="008F0D85" w:rsidRDefault="008F0D85"/>
    <w:p w:rsidR="008F0D85" w:rsidRDefault="00AE42A1">
      <w:r>
        <w:t>Datum: 7.11.2018.</w:t>
      </w:r>
    </w:p>
    <w:p w:rsidR="008F0D85" w:rsidRDefault="00AE42A1">
      <w:r>
        <w:t>KLASA: 810-01/18-01/01</w:t>
      </w:r>
    </w:p>
    <w:p w:rsidR="008F0D85" w:rsidRDefault="00AE42A1">
      <w:r>
        <w:t>URBROJ: 2173/16-18-03</w:t>
      </w:r>
    </w:p>
    <w:p w:rsidR="008F0D85" w:rsidRDefault="008F0D85"/>
    <w:p w:rsidR="008F0D85" w:rsidRDefault="00AE42A1">
      <w:r>
        <w:lastRenderedPageBreak/>
        <w:t xml:space="preserve">                                                                                  PREDSJEDNIK OPĆINSKOG VIJEĆA:</w:t>
      </w:r>
    </w:p>
    <w:p w:rsidR="008F0D85" w:rsidRDefault="00AE42A1">
      <w:r>
        <w:t xml:space="preserve">                                                                                                   ANTUN KARAS</w:t>
      </w:r>
    </w:p>
    <w:sectPr w:rsidR="008F0D85">
      <w:headerReference w:type="default" r:id="rId118"/>
      <w:footerReference w:type="default" r:id="rId119"/>
      <w:pgSz w:w="11906" w:h="16838"/>
      <w:pgMar w:top="1417" w:right="1417" w:bottom="1417" w:left="1417" w:header="709" w:footer="709"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E42A1" w:rsidRDefault="00AE42A1">
      <w:pPr>
        <w:spacing w:after="0" w:line="240" w:lineRule="auto"/>
      </w:pPr>
      <w:r>
        <w:separator/>
      </w:r>
    </w:p>
  </w:endnote>
  <w:endnote w:type="continuationSeparator" w:id="0">
    <w:p w:rsidR="00AE42A1" w:rsidRDefault="00AE42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roman"/>
    <w:pitch w:val="variable"/>
  </w:font>
  <w:font w:name="Times-NewRoman">
    <w:charset w:val="EE"/>
    <w:family w:val="roman"/>
    <w:pitch w:val="variable"/>
  </w:font>
  <w:font w:name="Franklin Gothic Heavy">
    <w:charset w:val="EE"/>
    <w:family w:val="roman"/>
    <w:pitch w:val="variable"/>
  </w:font>
  <w:font w:name="Liberation Sans">
    <w:altName w:val="Arial"/>
    <w:charset w:val="EE"/>
    <w:family w:val="roman"/>
    <w:pitch w:val="variable"/>
  </w:font>
  <w:font w:name="Microsoft YaHei">
    <w:panose1 w:val="020B0503020204020204"/>
    <w:charset w:val="00"/>
    <w:family w:val="roman"/>
    <w:notTrueType/>
    <w:pitch w:val="default"/>
  </w:font>
  <w:font w:name="Cambria">
    <w:panose1 w:val="02040503050406030204"/>
    <w:charset w:val="EE"/>
    <w:family w:val="roman"/>
    <w:pitch w:val="variable"/>
    <w:sig w:usb0="E00006FF" w:usb1="420024FF" w:usb2="02000000" w:usb3="00000000" w:csb0="0000019F" w:csb1="00000000"/>
  </w:font>
  <w:font w:name="Tahoma,Bold">
    <w:panose1 w:val="00000000000000000000"/>
    <w:charset w:val="00"/>
    <w:family w:val="roman"/>
    <w:notTrueType/>
    <w:pitch w:val="default"/>
  </w:font>
  <w:font w:name="Century Gothic">
    <w:panose1 w:val="020B0502020202020204"/>
    <w:charset w:val="EE"/>
    <w:family w:val="swiss"/>
    <w:pitch w:val="variable"/>
    <w:sig w:usb0="00000287" w:usb1="00000000" w:usb2="00000000" w:usb3="00000000" w:csb0="0000009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Podnoje"/>
    </w:pPr>
    <w:r>
      <w:rPr>
        <w:noProof/>
      </w:rPr>
      <mc:AlternateContent>
        <mc:Choice Requires="wps">
          <w:drawing>
            <wp:anchor distT="0" distB="0" distL="118745" distR="118745" simplePos="0" relativeHeight="34" behindDoc="1" locked="0" layoutInCell="1" allowOverlap="1">
              <wp:simplePos x="0" y="0"/>
              <wp:positionH relativeFrom="column">
                <wp:posOffset>-68580</wp:posOffset>
              </wp:positionH>
              <wp:positionV relativeFrom="paragraph">
                <wp:posOffset>635</wp:posOffset>
              </wp:positionV>
              <wp:extent cx="5760720" cy="368935"/>
              <wp:effectExtent l="0" t="0" r="0" b="0"/>
              <wp:wrapSquare wrapText="bothSides"/>
              <wp:docPr id="14" name="Okvir1"/>
              <wp:cNvGraphicFramePr/>
              <a:graphic xmlns:a="http://schemas.openxmlformats.org/drawingml/2006/main">
                <a:graphicData uri="http://schemas.microsoft.com/office/word/2010/wordprocessingShape">
                  <wps:wsp>
                    <wps:cNvSpPr/>
                    <wps:spPr>
                      <a:xfrm>
                        <a:off x="0" y="0"/>
                        <a:ext cx="5760000" cy="368280"/>
                      </a:xfrm>
                      <a:prstGeom prst="rect">
                        <a:avLst/>
                      </a:prstGeom>
                      <a:noFill/>
                      <a:ln>
                        <a:noFill/>
                      </a:ln>
                    </wps:spPr>
                    <wps:style>
                      <a:lnRef idx="0">
                        <a:scrgbClr r="0" g="0" b="0"/>
                      </a:lnRef>
                      <a:fillRef idx="0">
                        <a:scrgbClr r="0" g="0" b="0"/>
                      </a:fillRef>
                      <a:effectRef idx="0">
                        <a:scrgbClr r="0" g="0" b="0"/>
                      </a:effectRef>
                      <a:fontRef idx="minor"/>
                    </wps:style>
                    <wps:txbx>
                      <w:txbxContent>
                        <w:tbl>
                          <w:tblPr>
                            <w:tblW w:w="5000" w:type="pct"/>
                            <w:tblBorders>
                              <w:bottom w:val="single" w:sz="4" w:space="0" w:color="4F81BD"/>
                              <w:insideH w:val="single" w:sz="4" w:space="0" w:color="4F81BD"/>
                            </w:tblBorders>
                            <w:tblLook w:val="00A0" w:firstRow="1" w:lastRow="0" w:firstColumn="1" w:lastColumn="0" w:noHBand="0" w:noVBand="0"/>
                          </w:tblPr>
                          <w:tblGrid>
                            <w:gridCol w:w="4043"/>
                            <w:gridCol w:w="998"/>
                            <w:gridCol w:w="4046"/>
                          </w:tblGrid>
                          <w:tr w:rsidR="008F0D85">
                            <w:trPr>
                              <w:trHeight w:val="151"/>
                            </w:trPr>
                            <w:tc>
                              <w:tcPr>
                                <w:tcW w:w="4037" w:type="dxa"/>
                                <w:tcBorders>
                                  <w:bottom w:val="single" w:sz="4" w:space="0" w:color="4F81BD"/>
                                </w:tcBorders>
                                <w:shd w:val="clear" w:color="auto" w:fill="auto"/>
                              </w:tcPr>
                              <w:p w:rsidR="008F0D85" w:rsidRDefault="008F0D85">
                                <w:pPr>
                                  <w:pStyle w:val="Zaglavlje"/>
                                  <w:rPr>
                                    <w:rFonts w:ascii="Cambria" w:hAnsi="Cambria"/>
                                    <w:b/>
                                    <w:bCs/>
                                  </w:rPr>
                                </w:pPr>
                                <w:bookmarkStart w:id="166" w:name="__UnoMark__6018_1935607046"/>
                                <w:bookmarkEnd w:id="166"/>
                              </w:p>
                            </w:tc>
                            <w:tc>
                              <w:tcPr>
                                <w:tcW w:w="996" w:type="dxa"/>
                                <w:vMerge w:val="restart"/>
                                <w:tcBorders>
                                  <w:bottom w:val="single" w:sz="4" w:space="0" w:color="4F81BD"/>
                                </w:tcBorders>
                                <w:shd w:val="clear" w:color="auto" w:fill="auto"/>
                                <w:vAlign w:val="center"/>
                              </w:tcPr>
                              <w:p w:rsidR="008F0D85" w:rsidRDefault="00AE42A1">
                                <w:pPr>
                                  <w:pStyle w:val="Bezproreda"/>
                                </w:pPr>
                                <w:bookmarkStart w:id="167" w:name="__UnoMark__6019_1935607046"/>
                                <w:bookmarkEnd w:id="167"/>
                                <w:r>
                                  <w:rPr>
                                    <w:bCs/>
                                    <w:sz w:val="20"/>
                                  </w:rPr>
                                  <w:t xml:space="preserve">Stranica </w:t>
                                </w:r>
                                <w:r>
                                  <w:rPr>
                                    <w:bCs/>
                                    <w:sz w:val="20"/>
                                  </w:rPr>
                                  <w:fldChar w:fldCharType="begin"/>
                                </w:r>
                                <w:r>
                                  <w:instrText>PAGE</w:instrText>
                                </w:r>
                                <w:r>
                                  <w:fldChar w:fldCharType="separate"/>
                                </w:r>
                                <w:r>
                                  <w:t>34</w:t>
                                </w:r>
                                <w:r>
                                  <w:fldChar w:fldCharType="end"/>
                                </w:r>
                                <w:bookmarkStart w:id="168" w:name="__UnoMark__6020_1935607046"/>
                                <w:bookmarkEnd w:id="168"/>
                                <w:r>
                                  <w:rPr>
                                    <w:b/>
                                    <w:bCs/>
                                    <w:sz w:val="20"/>
                                  </w:rPr>
                                  <w:t xml:space="preserve">                     </w:t>
                                </w:r>
                              </w:p>
                            </w:tc>
                            <w:tc>
                              <w:tcPr>
                                <w:tcW w:w="4040" w:type="dxa"/>
                                <w:tcBorders>
                                  <w:bottom w:val="single" w:sz="4" w:space="0" w:color="4F81BD"/>
                                </w:tcBorders>
                                <w:shd w:val="clear" w:color="auto" w:fill="auto"/>
                              </w:tcPr>
                              <w:p w:rsidR="008F0D85" w:rsidRDefault="008F0D85">
                                <w:pPr>
                                  <w:pStyle w:val="Zaglavlje"/>
                                  <w:rPr>
                                    <w:rFonts w:ascii="Cambria" w:hAnsi="Cambria"/>
                                    <w:b/>
                                    <w:bCs/>
                                  </w:rPr>
                                </w:pPr>
                                <w:bookmarkStart w:id="169" w:name="__UnoMark__6021_1935607046"/>
                                <w:bookmarkStart w:id="170" w:name="__UnoMark__6022_1935607046"/>
                                <w:bookmarkEnd w:id="169"/>
                                <w:bookmarkEnd w:id="170"/>
                              </w:p>
                            </w:tc>
                          </w:tr>
                          <w:tr w:rsidR="008F0D85">
                            <w:trPr>
                              <w:trHeight w:val="150"/>
                            </w:trPr>
                            <w:tc>
                              <w:tcPr>
                                <w:tcW w:w="4037"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71" w:name="__UnoMark__6023_1935607046"/>
                                <w:bookmarkStart w:id="172" w:name="__UnoMark__6024_1935607046"/>
                                <w:bookmarkEnd w:id="171"/>
                                <w:bookmarkEnd w:id="172"/>
                              </w:p>
                            </w:tc>
                            <w:tc>
                              <w:tcPr>
                                <w:tcW w:w="996"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173" w:name="__UnoMark__6025_1935607046"/>
                                <w:bookmarkStart w:id="174" w:name="__UnoMark__6026_1935607046"/>
                                <w:bookmarkEnd w:id="173"/>
                                <w:bookmarkEnd w:id="174"/>
                              </w:p>
                            </w:tc>
                            <w:tc>
                              <w:tcPr>
                                <w:tcW w:w="4040"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75" w:name="__UnoMark__6027_1935607046"/>
                                <w:bookmarkEnd w:id="175"/>
                              </w:p>
                            </w:tc>
                          </w:tr>
                        </w:tbl>
                        <w:p w:rsidR="00000000" w:rsidRDefault="00AE42A1"/>
                      </w:txbxContent>
                    </wps:txbx>
                    <wps:bodyPr lIns="0" tIns="0" rIns="0" bIns="0">
                      <a:spAutoFit/>
                    </wps:bodyPr>
                  </wps:wsp>
                </a:graphicData>
              </a:graphic>
              <wp14:sizeRelH relativeFrom="margin">
                <wp14:pctWidth>100000</wp14:pctWidth>
              </wp14:sizeRelH>
            </wp:anchor>
          </w:drawing>
        </mc:Choice>
        <mc:Fallback>
          <w:pict>
            <v:rect id="Okvir1" o:spid="_x0000_s1026" style="position:absolute;left:0;text-align:left;margin-left:-5.4pt;margin-top:.05pt;width:453.6pt;height:29.05pt;z-index:-503316446;visibility:visible;mso-wrap-style:square;mso-width-percent:1000;mso-wrap-distance-left:9.35pt;mso-wrap-distance-top:0;mso-wrap-distance-right:9.35pt;mso-wrap-distance-bottom:0;mso-position-horizontal:absolute;mso-position-horizontal-relative:text;mso-position-vertical:absolute;mso-position-vertical-relative:text;mso-width-percent:100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" filled="f" stroked="f">
              <v:textbox style="mso-fit-shape-to-text:t" inset="0,0,0,0">
                <w:txbxContent>
                  <w:tbl>
                    <w:tblPr>
                      <w:tblW w:w="5000" w:type="pct"/>
                      <w:tblBorders>
                        <w:bottom w:val="single" w:sz="4" w:space="0" w:color="4F81BD"/>
                        <w:insideH w:val="single" w:sz="4" w:space="0" w:color="4F81BD"/>
                      </w:tblBorders>
                      <w:tblLook w:val="00A0" w:firstRow="1" w:lastRow="0" w:firstColumn="1" w:lastColumn="0" w:noHBand="0" w:noVBand="0"/>
                    </w:tblPr>
                    <w:tblGrid>
                      <w:gridCol w:w="4043"/>
                      <w:gridCol w:w="998"/>
                      <w:gridCol w:w="4046"/>
                    </w:tblGrid>
                    <w:tr w:rsidR="008F0D85">
                      <w:trPr>
                        <w:trHeight w:val="151"/>
                      </w:trPr>
                      <w:tc>
                        <w:tcPr>
                          <w:tcW w:w="4037" w:type="dxa"/>
                          <w:tcBorders>
                            <w:bottom w:val="single" w:sz="4" w:space="0" w:color="4F81BD"/>
                          </w:tcBorders>
                          <w:shd w:val="clear" w:color="auto" w:fill="auto"/>
                        </w:tcPr>
                        <w:p w:rsidR="008F0D85" w:rsidRDefault="008F0D85">
                          <w:pPr>
                            <w:pStyle w:val="Zaglavlje"/>
                            <w:rPr>
                              <w:rFonts w:ascii="Cambria" w:hAnsi="Cambria"/>
                              <w:b/>
                              <w:bCs/>
                            </w:rPr>
                          </w:pPr>
                          <w:bookmarkStart w:id="176" w:name="__UnoMark__6018_1935607046"/>
                          <w:bookmarkEnd w:id="176"/>
                        </w:p>
                      </w:tc>
                      <w:tc>
                        <w:tcPr>
                          <w:tcW w:w="996" w:type="dxa"/>
                          <w:vMerge w:val="restart"/>
                          <w:tcBorders>
                            <w:bottom w:val="single" w:sz="4" w:space="0" w:color="4F81BD"/>
                          </w:tcBorders>
                          <w:shd w:val="clear" w:color="auto" w:fill="auto"/>
                          <w:vAlign w:val="center"/>
                        </w:tcPr>
                        <w:p w:rsidR="008F0D85" w:rsidRDefault="00AE42A1">
                          <w:pPr>
                            <w:pStyle w:val="Bezproreda"/>
                          </w:pPr>
                          <w:bookmarkStart w:id="177" w:name="__UnoMark__6019_1935607046"/>
                          <w:bookmarkEnd w:id="177"/>
                          <w:r>
                            <w:rPr>
                              <w:bCs/>
                              <w:sz w:val="20"/>
                            </w:rPr>
                            <w:t xml:space="preserve">Stranica </w:t>
                          </w:r>
                          <w:r>
                            <w:rPr>
                              <w:bCs/>
                              <w:sz w:val="20"/>
                            </w:rPr>
                            <w:fldChar w:fldCharType="begin"/>
                          </w:r>
                          <w:r>
                            <w:instrText>PAGE</w:instrText>
                          </w:r>
                          <w:r>
                            <w:fldChar w:fldCharType="separate"/>
                          </w:r>
                          <w:r>
                            <w:t>34</w:t>
                          </w:r>
                          <w:r>
                            <w:fldChar w:fldCharType="end"/>
                          </w:r>
                          <w:bookmarkStart w:id="178" w:name="__UnoMark__6020_1935607046"/>
                          <w:bookmarkEnd w:id="178"/>
                          <w:r>
                            <w:rPr>
                              <w:b/>
                              <w:bCs/>
                              <w:sz w:val="20"/>
                            </w:rPr>
                            <w:t xml:space="preserve">                     </w:t>
                          </w:r>
                        </w:p>
                      </w:tc>
                      <w:tc>
                        <w:tcPr>
                          <w:tcW w:w="4040" w:type="dxa"/>
                          <w:tcBorders>
                            <w:bottom w:val="single" w:sz="4" w:space="0" w:color="4F81BD"/>
                          </w:tcBorders>
                          <w:shd w:val="clear" w:color="auto" w:fill="auto"/>
                        </w:tcPr>
                        <w:p w:rsidR="008F0D85" w:rsidRDefault="008F0D85">
                          <w:pPr>
                            <w:pStyle w:val="Zaglavlje"/>
                            <w:rPr>
                              <w:rFonts w:ascii="Cambria" w:hAnsi="Cambria"/>
                              <w:b/>
                              <w:bCs/>
                            </w:rPr>
                          </w:pPr>
                          <w:bookmarkStart w:id="179" w:name="__UnoMark__6021_1935607046"/>
                          <w:bookmarkStart w:id="180" w:name="__UnoMark__6022_1935607046"/>
                          <w:bookmarkEnd w:id="179"/>
                          <w:bookmarkEnd w:id="180"/>
                        </w:p>
                      </w:tc>
                    </w:tr>
                    <w:tr w:rsidR="008F0D85">
                      <w:trPr>
                        <w:trHeight w:val="150"/>
                      </w:trPr>
                      <w:tc>
                        <w:tcPr>
                          <w:tcW w:w="4037"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81" w:name="__UnoMark__6023_1935607046"/>
                          <w:bookmarkStart w:id="182" w:name="__UnoMark__6024_1935607046"/>
                          <w:bookmarkEnd w:id="181"/>
                          <w:bookmarkEnd w:id="182"/>
                        </w:p>
                      </w:tc>
                      <w:tc>
                        <w:tcPr>
                          <w:tcW w:w="996"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183" w:name="__UnoMark__6025_1935607046"/>
                          <w:bookmarkStart w:id="184" w:name="__UnoMark__6026_1935607046"/>
                          <w:bookmarkEnd w:id="183"/>
                          <w:bookmarkEnd w:id="184"/>
                        </w:p>
                      </w:tc>
                      <w:tc>
                        <w:tcPr>
                          <w:tcW w:w="4040"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85" w:name="__UnoMark__6027_1935607046"/>
                          <w:bookmarkEnd w:id="185"/>
                        </w:p>
                      </w:tc>
                    </w:tr>
                  </w:tbl>
                  <w:p w:rsidR="00000000" w:rsidRDefault="00AE42A1"/>
                </w:txbxContent>
              </v:textbox>
              <w10:wrap type="square"/>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Podnoje"/>
    </w:pPr>
    <w:r>
      <w:rPr>
        <w:noProof/>
      </w:rPr>
      <mc:AlternateContent>
        <mc:Choice Requires="wps">
          <w:drawing>
            <wp:anchor distT="0" distB="0" distL="118745" distR="118745" simplePos="0" relativeHeight="219" behindDoc="1" locked="0" layoutInCell="1" allowOverlap="1">
              <wp:simplePos x="0" y="0"/>
              <wp:positionH relativeFrom="column">
                <wp:posOffset>-68580</wp:posOffset>
              </wp:positionH>
              <wp:positionV relativeFrom="paragraph">
                <wp:posOffset>635</wp:posOffset>
              </wp:positionV>
              <wp:extent cx="9777730" cy="368935"/>
              <wp:effectExtent l="0" t="0" r="0" b="0"/>
              <wp:wrapSquare wrapText="bothSides"/>
              <wp:docPr id="129" name="Okvir10"/>
              <wp:cNvGraphicFramePr/>
              <a:graphic xmlns:a="http://schemas.openxmlformats.org/drawingml/2006/main">
                <a:graphicData uri="http://schemas.microsoft.com/office/word/2010/wordprocessingShape">
                  <wps:wsp>
                    <wps:cNvSpPr/>
                    <wps:spPr>
                      <a:xfrm>
                        <a:off x="0" y="0"/>
                        <a:ext cx="9777240" cy="368280"/>
                      </a:xfrm>
                      <a:prstGeom prst="rect">
                        <a:avLst/>
                      </a:prstGeom>
                      <a:noFill/>
                      <a:ln>
                        <a:noFill/>
                      </a:ln>
                    </wps:spPr>
                    <wps:style>
                      <a:lnRef idx="0">
                        <a:scrgbClr r="0" g="0" b="0"/>
                      </a:lnRef>
                      <a:fillRef idx="0">
                        <a:scrgbClr r="0" g="0" b="0"/>
                      </a:fillRef>
                      <a:effectRef idx="0">
                        <a:scrgbClr r="0" g="0" b="0"/>
                      </a:effectRef>
                      <a:fontRef idx="minor"/>
                    </wps:style>
                    <wps:txbx>
                      <w:txbxContent>
                        <w:tbl>
                          <w:tblPr>
                            <w:tblW w:w="5000" w:type="pct"/>
                            <w:tblBorders>
                              <w:bottom w:val="single" w:sz="4" w:space="0" w:color="4F81BD"/>
                              <w:insideH w:val="single" w:sz="4" w:space="0" w:color="4F81BD"/>
                            </w:tblBorders>
                            <w:tblLook w:val="00A0" w:firstRow="1" w:lastRow="0" w:firstColumn="1" w:lastColumn="0" w:noHBand="0" w:noVBand="0"/>
                          </w:tblPr>
                          <w:tblGrid>
                            <w:gridCol w:w="6938"/>
                            <w:gridCol w:w="1540"/>
                            <w:gridCol w:w="6935"/>
                          </w:tblGrid>
                          <w:tr w:rsidR="008F0D85">
                            <w:trPr>
                              <w:trHeight w:val="151"/>
                            </w:trPr>
                            <w:tc>
                              <w:tcPr>
                                <w:tcW w:w="6931" w:type="dxa"/>
                                <w:tcBorders>
                                  <w:bottom w:val="single" w:sz="4" w:space="0" w:color="4F81BD"/>
                                </w:tcBorders>
                                <w:shd w:val="clear" w:color="auto" w:fill="auto"/>
                              </w:tcPr>
                              <w:p w:rsidR="008F0D85" w:rsidRDefault="008F0D85">
                                <w:pPr>
                                  <w:pStyle w:val="Zaglavlje"/>
                                  <w:rPr>
                                    <w:rFonts w:ascii="Cambria" w:hAnsi="Cambria"/>
                                    <w:b/>
                                    <w:bCs/>
                                  </w:rPr>
                                </w:pPr>
                                <w:bookmarkStart w:id="1359" w:name="__UnoMark__23945_1935607046"/>
                                <w:bookmarkEnd w:id="1359"/>
                              </w:p>
                            </w:tc>
                            <w:tc>
                              <w:tcPr>
                                <w:tcW w:w="1539" w:type="dxa"/>
                                <w:vMerge w:val="restart"/>
                                <w:tcBorders>
                                  <w:bottom w:val="single" w:sz="4" w:space="0" w:color="4F81BD"/>
                                </w:tcBorders>
                                <w:shd w:val="clear" w:color="auto" w:fill="auto"/>
                                <w:vAlign w:val="center"/>
                              </w:tcPr>
                              <w:p w:rsidR="008F0D85" w:rsidRDefault="00AE42A1">
                                <w:pPr>
                                  <w:pStyle w:val="Bezproreda"/>
                                </w:pPr>
                                <w:bookmarkStart w:id="1360" w:name="__UnoMark__23946_1935607046"/>
                                <w:bookmarkEnd w:id="1360"/>
                                <w:r>
                                  <w:rPr>
                                    <w:bCs/>
                                    <w:sz w:val="20"/>
                                  </w:rPr>
                                  <w:t xml:space="preserve">Stranica </w:t>
                                </w:r>
                                <w:r>
                                  <w:rPr>
                                    <w:bCs/>
                                    <w:sz w:val="20"/>
                                  </w:rPr>
                                  <w:fldChar w:fldCharType="begin"/>
                                </w:r>
                                <w:r>
                                  <w:instrText>PAGE</w:instrText>
                                </w:r>
                                <w:r>
                                  <w:fldChar w:fldCharType="separate"/>
                                </w:r>
                                <w:r>
                                  <w:t>219</w:t>
                                </w:r>
                                <w:r>
                                  <w:fldChar w:fldCharType="end"/>
                                </w:r>
                                <w:bookmarkStart w:id="1361" w:name="__UnoMark__23947_1935607046"/>
                                <w:bookmarkEnd w:id="1361"/>
                                <w:r>
                                  <w:rPr>
                                    <w:b/>
                                    <w:bCs/>
                                    <w:sz w:val="20"/>
                                  </w:rPr>
                                  <w:t xml:space="preserve">                     </w:t>
                                </w:r>
                              </w:p>
                            </w:tc>
                            <w:tc>
                              <w:tcPr>
                                <w:tcW w:w="6929" w:type="dxa"/>
                                <w:tcBorders>
                                  <w:bottom w:val="single" w:sz="4" w:space="0" w:color="4F81BD"/>
                                </w:tcBorders>
                                <w:shd w:val="clear" w:color="auto" w:fill="auto"/>
                              </w:tcPr>
                              <w:p w:rsidR="008F0D85" w:rsidRDefault="008F0D85">
                                <w:pPr>
                                  <w:pStyle w:val="Zaglavlje"/>
                                  <w:rPr>
                                    <w:rFonts w:ascii="Cambria" w:hAnsi="Cambria"/>
                                    <w:b/>
                                    <w:bCs/>
                                  </w:rPr>
                                </w:pPr>
                                <w:bookmarkStart w:id="1362" w:name="__UnoMark__23948_1935607046"/>
                                <w:bookmarkStart w:id="1363" w:name="__UnoMark__23949_1935607046"/>
                                <w:bookmarkEnd w:id="1362"/>
                                <w:bookmarkEnd w:id="1363"/>
                              </w:p>
                            </w:tc>
                          </w:tr>
                          <w:tr w:rsidR="008F0D85">
                            <w:trPr>
                              <w:trHeight w:val="150"/>
                            </w:trPr>
                            <w:tc>
                              <w:tcPr>
                                <w:tcW w:w="6931"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364" w:name="__UnoMark__23950_1935607046"/>
                                <w:bookmarkStart w:id="1365" w:name="__UnoMark__23951_1935607046"/>
                                <w:bookmarkEnd w:id="1364"/>
                                <w:bookmarkEnd w:id="1365"/>
                              </w:p>
                            </w:tc>
                            <w:tc>
                              <w:tcPr>
                                <w:tcW w:w="1539"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1366" w:name="__UnoMark__23952_1935607046"/>
                                <w:bookmarkStart w:id="1367" w:name="__UnoMark__23953_1935607046"/>
                                <w:bookmarkEnd w:id="1366"/>
                                <w:bookmarkEnd w:id="1367"/>
                              </w:p>
                            </w:tc>
                            <w:tc>
                              <w:tcPr>
                                <w:tcW w:w="6929"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368" w:name="__UnoMark__23954_1935607046"/>
                                <w:bookmarkEnd w:id="1368"/>
                              </w:p>
                            </w:tc>
                          </w:tr>
                        </w:tbl>
                        <w:p w:rsidR="00000000" w:rsidRDefault="00AE42A1"/>
                      </w:txbxContent>
                    </wps:txbx>
                    <wps:bodyPr lIns="0" tIns="0" rIns="0" bIns="0">
                      <a:spAutoFit/>
                    </wps:bodyPr>
                  </wps:wsp>
                </a:graphicData>
              </a:graphic>
              <wp14:sizeRelH relativeFrom="margin">
                <wp14:pctWidth>100000</wp14:pctWidth>
              </wp14:sizeRelH>
            </wp:anchor>
          </w:drawing>
        </mc:Choice>
        <mc:Fallback>
          <w:pict>
            <v:rect id="Okvir10" o:spid="_x0000_s1035" style="position:absolute;left:0;text-align:left;margin-left:-5.4pt;margin-top:.05pt;width:769.9pt;height:29.05pt;z-index:-503316261;visibility:visible;mso-wrap-style:square;mso-width-percent:1000;mso-wrap-distance-left:9.35pt;mso-wrap-distance-top:0;mso-wrap-distance-right:9.35pt;mso-wrap-distance-bottom:0;mso-position-horizontal:absolute;mso-position-horizontal-relative:text;mso-position-vertical:absolute;mso-position-vertical-relative:text;mso-width-percent:100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" filled="f" stroked="f">
              <v:textbox style="mso-fit-shape-to-text:t" inset="0,0,0,0">
                <w:txbxContent>
                  <w:tbl>
                    <w:tblPr>
                      <w:tblW w:w="5000" w:type="pct"/>
                      <w:tblBorders>
                        <w:bottom w:val="single" w:sz="4" w:space="0" w:color="4F81BD"/>
                        <w:insideH w:val="single" w:sz="4" w:space="0" w:color="4F81BD"/>
                      </w:tblBorders>
                      <w:tblLook w:val="00A0" w:firstRow="1" w:lastRow="0" w:firstColumn="1" w:lastColumn="0" w:noHBand="0" w:noVBand="0"/>
                    </w:tblPr>
                    <w:tblGrid>
                      <w:gridCol w:w="6938"/>
                      <w:gridCol w:w="1540"/>
                      <w:gridCol w:w="6935"/>
                    </w:tblGrid>
                    <w:tr w:rsidR="008F0D85">
                      <w:trPr>
                        <w:trHeight w:val="151"/>
                      </w:trPr>
                      <w:tc>
                        <w:tcPr>
                          <w:tcW w:w="6931" w:type="dxa"/>
                          <w:tcBorders>
                            <w:bottom w:val="single" w:sz="4" w:space="0" w:color="4F81BD"/>
                          </w:tcBorders>
                          <w:shd w:val="clear" w:color="auto" w:fill="auto"/>
                        </w:tcPr>
                        <w:p w:rsidR="008F0D85" w:rsidRDefault="008F0D85">
                          <w:pPr>
                            <w:pStyle w:val="Zaglavlje"/>
                            <w:rPr>
                              <w:rFonts w:ascii="Cambria" w:hAnsi="Cambria"/>
                              <w:b/>
                              <w:bCs/>
                            </w:rPr>
                          </w:pPr>
                          <w:bookmarkStart w:id="1369" w:name="__UnoMark__23945_1935607046"/>
                          <w:bookmarkEnd w:id="1369"/>
                        </w:p>
                      </w:tc>
                      <w:tc>
                        <w:tcPr>
                          <w:tcW w:w="1539" w:type="dxa"/>
                          <w:vMerge w:val="restart"/>
                          <w:tcBorders>
                            <w:bottom w:val="single" w:sz="4" w:space="0" w:color="4F81BD"/>
                          </w:tcBorders>
                          <w:shd w:val="clear" w:color="auto" w:fill="auto"/>
                          <w:vAlign w:val="center"/>
                        </w:tcPr>
                        <w:p w:rsidR="008F0D85" w:rsidRDefault="00AE42A1">
                          <w:pPr>
                            <w:pStyle w:val="Bezproreda"/>
                          </w:pPr>
                          <w:bookmarkStart w:id="1370" w:name="__UnoMark__23946_1935607046"/>
                          <w:bookmarkEnd w:id="1370"/>
                          <w:r>
                            <w:rPr>
                              <w:bCs/>
                              <w:sz w:val="20"/>
                            </w:rPr>
                            <w:t xml:space="preserve">Stranica </w:t>
                          </w:r>
                          <w:r>
                            <w:rPr>
                              <w:bCs/>
                              <w:sz w:val="20"/>
                            </w:rPr>
                            <w:fldChar w:fldCharType="begin"/>
                          </w:r>
                          <w:r>
                            <w:instrText>PAGE</w:instrText>
                          </w:r>
                          <w:r>
                            <w:fldChar w:fldCharType="separate"/>
                          </w:r>
                          <w:r>
                            <w:t>219</w:t>
                          </w:r>
                          <w:r>
                            <w:fldChar w:fldCharType="end"/>
                          </w:r>
                          <w:bookmarkStart w:id="1371" w:name="__UnoMark__23947_1935607046"/>
                          <w:bookmarkEnd w:id="1371"/>
                          <w:r>
                            <w:rPr>
                              <w:b/>
                              <w:bCs/>
                              <w:sz w:val="20"/>
                            </w:rPr>
                            <w:t xml:space="preserve">                     </w:t>
                          </w:r>
                        </w:p>
                      </w:tc>
                      <w:tc>
                        <w:tcPr>
                          <w:tcW w:w="6929" w:type="dxa"/>
                          <w:tcBorders>
                            <w:bottom w:val="single" w:sz="4" w:space="0" w:color="4F81BD"/>
                          </w:tcBorders>
                          <w:shd w:val="clear" w:color="auto" w:fill="auto"/>
                        </w:tcPr>
                        <w:p w:rsidR="008F0D85" w:rsidRDefault="008F0D85">
                          <w:pPr>
                            <w:pStyle w:val="Zaglavlje"/>
                            <w:rPr>
                              <w:rFonts w:ascii="Cambria" w:hAnsi="Cambria"/>
                              <w:b/>
                              <w:bCs/>
                            </w:rPr>
                          </w:pPr>
                          <w:bookmarkStart w:id="1372" w:name="__UnoMark__23948_1935607046"/>
                          <w:bookmarkStart w:id="1373" w:name="__UnoMark__23949_1935607046"/>
                          <w:bookmarkEnd w:id="1372"/>
                          <w:bookmarkEnd w:id="1373"/>
                        </w:p>
                      </w:tc>
                    </w:tr>
                    <w:tr w:rsidR="008F0D85">
                      <w:trPr>
                        <w:trHeight w:val="150"/>
                      </w:trPr>
                      <w:tc>
                        <w:tcPr>
                          <w:tcW w:w="6931"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374" w:name="__UnoMark__23950_1935607046"/>
                          <w:bookmarkStart w:id="1375" w:name="__UnoMark__23951_1935607046"/>
                          <w:bookmarkEnd w:id="1374"/>
                          <w:bookmarkEnd w:id="1375"/>
                        </w:p>
                      </w:tc>
                      <w:tc>
                        <w:tcPr>
                          <w:tcW w:w="1539"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1376" w:name="__UnoMark__23952_1935607046"/>
                          <w:bookmarkStart w:id="1377" w:name="__UnoMark__23953_1935607046"/>
                          <w:bookmarkEnd w:id="1376"/>
                          <w:bookmarkEnd w:id="1377"/>
                        </w:p>
                      </w:tc>
                      <w:tc>
                        <w:tcPr>
                          <w:tcW w:w="6929"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378" w:name="__UnoMark__23954_1935607046"/>
                          <w:bookmarkEnd w:id="1378"/>
                        </w:p>
                      </w:tc>
                    </w:tr>
                  </w:tbl>
                  <w:p w:rsidR="00000000" w:rsidRDefault="00AE42A1"/>
                </w:txbxContent>
              </v:textbox>
              <w10:wrap type="square"/>
            </v:rect>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Podnoje"/>
    </w:pPr>
    <w:r>
      <w:rPr>
        <w:noProof/>
      </w:rPr>
      <mc:AlternateContent>
        <mc:Choice Requires="wps">
          <w:drawing>
            <wp:anchor distT="0" distB="0" distL="118745" distR="118745" simplePos="0" relativeHeight="221" behindDoc="1" locked="0" layoutInCell="1" allowOverlap="1">
              <wp:simplePos x="0" y="0"/>
              <wp:positionH relativeFrom="column">
                <wp:posOffset>-68580</wp:posOffset>
              </wp:positionH>
              <wp:positionV relativeFrom="paragraph">
                <wp:posOffset>635</wp:posOffset>
              </wp:positionV>
              <wp:extent cx="5760720" cy="368935"/>
              <wp:effectExtent l="0" t="0" r="0" b="0"/>
              <wp:wrapSquare wrapText="bothSides"/>
              <wp:docPr id="132" name="Okvir11"/>
              <wp:cNvGraphicFramePr/>
              <a:graphic xmlns:a="http://schemas.openxmlformats.org/drawingml/2006/main">
                <a:graphicData uri="http://schemas.microsoft.com/office/word/2010/wordprocessingShape">
                  <wps:wsp>
                    <wps:cNvSpPr/>
                    <wps:spPr>
                      <a:xfrm>
                        <a:off x="0" y="0"/>
                        <a:ext cx="5760000" cy="368280"/>
                      </a:xfrm>
                      <a:prstGeom prst="rect">
                        <a:avLst/>
                      </a:prstGeom>
                      <a:noFill/>
                      <a:ln>
                        <a:noFill/>
                      </a:ln>
                    </wps:spPr>
                    <wps:style>
                      <a:lnRef idx="0">
                        <a:scrgbClr r="0" g="0" b="0"/>
                      </a:lnRef>
                      <a:fillRef idx="0">
                        <a:scrgbClr r="0" g="0" b="0"/>
                      </a:fillRef>
                      <a:effectRef idx="0">
                        <a:scrgbClr r="0" g="0" b="0"/>
                      </a:effectRef>
                      <a:fontRef idx="minor"/>
                    </wps:style>
                    <wps:txbx>
                      <w:txbxContent>
                        <w:tbl>
                          <w:tblPr>
                            <w:tblW w:w="5000" w:type="pct"/>
                            <w:tblBorders>
                              <w:bottom w:val="single" w:sz="4" w:space="0" w:color="4F81BD"/>
                              <w:insideH w:val="single" w:sz="4" w:space="0" w:color="4F81BD"/>
                            </w:tblBorders>
                            <w:tblLook w:val="00A0" w:firstRow="1" w:lastRow="0" w:firstColumn="1" w:lastColumn="0" w:noHBand="0" w:noVBand="0"/>
                          </w:tblPr>
                          <w:tblGrid>
                            <w:gridCol w:w="3883"/>
                            <w:gridCol w:w="1209"/>
                            <w:gridCol w:w="3995"/>
                          </w:tblGrid>
                          <w:tr w:rsidR="008F0D85">
                            <w:trPr>
                              <w:trHeight w:val="151"/>
                            </w:trPr>
                            <w:tc>
                              <w:tcPr>
                                <w:tcW w:w="3877" w:type="dxa"/>
                                <w:tcBorders>
                                  <w:bottom w:val="single" w:sz="4" w:space="0" w:color="4F81BD"/>
                                </w:tcBorders>
                                <w:shd w:val="clear" w:color="auto" w:fill="auto"/>
                              </w:tcPr>
                              <w:p w:rsidR="008F0D85" w:rsidRDefault="008F0D85">
                                <w:pPr>
                                  <w:pStyle w:val="Zaglavlje"/>
                                  <w:rPr>
                                    <w:rFonts w:ascii="Cambria" w:hAnsi="Cambria"/>
                                    <w:b/>
                                    <w:bCs/>
                                  </w:rPr>
                                </w:pPr>
                                <w:bookmarkStart w:id="1385" w:name="__UnoMark__24167_1935607046"/>
                                <w:bookmarkEnd w:id="1385"/>
                              </w:p>
                            </w:tc>
                            <w:tc>
                              <w:tcPr>
                                <w:tcW w:w="1207" w:type="dxa"/>
                                <w:vMerge w:val="restart"/>
                                <w:tcBorders>
                                  <w:bottom w:val="single" w:sz="4" w:space="0" w:color="4F81BD"/>
                                </w:tcBorders>
                                <w:shd w:val="clear" w:color="auto" w:fill="auto"/>
                                <w:vAlign w:val="center"/>
                              </w:tcPr>
                              <w:p w:rsidR="008F0D85" w:rsidRDefault="00AE42A1">
                                <w:pPr>
                                  <w:pStyle w:val="Bezproreda"/>
                                </w:pPr>
                                <w:bookmarkStart w:id="1386" w:name="__UnoMark__24168_1935607046"/>
                                <w:bookmarkEnd w:id="1386"/>
                                <w:r>
                                  <w:rPr>
                                    <w:bCs/>
                                    <w:sz w:val="20"/>
                                  </w:rPr>
                                  <w:t xml:space="preserve">Stranica </w:t>
                                </w:r>
                                <w:r>
                                  <w:rPr>
                                    <w:bCs/>
                                    <w:sz w:val="20"/>
                                  </w:rPr>
                                  <w:fldChar w:fldCharType="begin"/>
                                </w:r>
                                <w:r>
                                  <w:instrText>PAGE</w:instrText>
                                </w:r>
                                <w:r>
                                  <w:fldChar w:fldCharType="separate"/>
                                </w:r>
                                <w:r>
                                  <w:t>221</w:t>
                                </w:r>
                                <w:r>
                                  <w:fldChar w:fldCharType="end"/>
                                </w:r>
                                <w:bookmarkStart w:id="1387" w:name="__UnoMark__24169_1935607046"/>
                                <w:bookmarkEnd w:id="1387"/>
                                <w:r>
                                  <w:rPr>
                                    <w:b/>
                                    <w:bCs/>
                                    <w:sz w:val="20"/>
                                  </w:rPr>
                                  <w:t xml:space="preserve">                     </w:t>
                                </w:r>
                              </w:p>
                            </w:tc>
                            <w:tc>
                              <w:tcPr>
                                <w:tcW w:w="3989" w:type="dxa"/>
                                <w:tcBorders>
                                  <w:bottom w:val="single" w:sz="4" w:space="0" w:color="4F81BD"/>
                                </w:tcBorders>
                                <w:shd w:val="clear" w:color="auto" w:fill="auto"/>
                              </w:tcPr>
                              <w:p w:rsidR="008F0D85" w:rsidRDefault="008F0D85">
                                <w:pPr>
                                  <w:pStyle w:val="Zaglavlje"/>
                                  <w:rPr>
                                    <w:rFonts w:ascii="Cambria" w:hAnsi="Cambria"/>
                                    <w:b/>
                                    <w:bCs/>
                                  </w:rPr>
                                </w:pPr>
                                <w:bookmarkStart w:id="1388" w:name="__UnoMark__24170_1935607046"/>
                                <w:bookmarkStart w:id="1389" w:name="__UnoMark__24171_1935607046"/>
                                <w:bookmarkEnd w:id="1388"/>
                                <w:bookmarkEnd w:id="1389"/>
                              </w:p>
                            </w:tc>
                          </w:tr>
                          <w:tr w:rsidR="008F0D85">
                            <w:trPr>
                              <w:trHeight w:val="150"/>
                            </w:trPr>
                            <w:tc>
                              <w:tcPr>
                                <w:tcW w:w="3877"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390" w:name="__UnoMark__24172_1935607046"/>
                                <w:bookmarkStart w:id="1391" w:name="__UnoMark__24173_1935607046"/>
                                <w:bookmarkEnd w:id="1390"/>
                                <w:bookmarkEnd w:id="1391"/>
                              </w:p>
                            </w:tc>
                            <w:tc>
                              <w:tcPr>
                                <w:tcW w:w="1207"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1392" w:name="__UnoMark__24174_1935607046"/>
                                <w:bookmarkStart w:id="1393" w:name="__UnoMark__24175_1935607046"/>
                                <w:bookmarkEnd w:id="1392"/>
                                <w:bookmarkEnd w:id="1393"/>
                              </w:p>
                            </w:tc>
                            <w:tc>
                              <w:tcPr>
                                <w:tcW w:w="3989"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394" w:name="__UnoMark__24176_1935607046"/>
                                <w:bookmarkEnd w:id="1394"/>
                              </w:p>
                            </w:tc>
                          </w:tr>
                        </w:tbl>
                        <w:p w:rsidR="00000000" w:rsidRDefault="00AE42A1"/>
                      </w:txbxContent>
                    </wps:txbx>
                    <wps:bodyPr lIns="0" tIns="0" rIns="0" bIns="0">
                      <a:spAutoFit/>
                    </wps:bodyPr>
                  </wps:wsp>
                </a:graphicData>
              </a:graphic>
              <wp14:sizeRelH relativeFrom="margin">
                <wp14:pctWidth>100000</wp14:pctWidth>
              </wp14:sizeRelH>
            </wp:anchor>
          </w:drawing>
        </mc:Choice>
        <mc:Fallback>
          <w:pict>
            <v:rect id="Okvir11" o:spid="_x0000_s1036" style="position:absolute;left:0;text-align:left;margin-left:-5.4pt;margin-top:.05pt;width:453.6pt;height:29.05pt;z-index:-503316259;visibility:visible;mso-wrap-style:square;mso-width-percent:1000;mso-wrap-distance-left:9.35pt;mso-wrap-distance-top:0;mso-wrap-distance-right:9.35pt;mso-wrap-distance-bottom:0;mso-position-horizontal:absolute;mso-position-horizontal-relative:text;mso-position-vertical:absolute;mso-position-vertical-relative:text;mso-width-percent:100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" filled="f" stroked="f">
              <v:textbox style="mso-fit-shape-to-text:t" inset="0,0,0,0">
                <w:txbxContent>
                  <w:tbl>
                    <w:tblPr>
                      <w:tblW w:w="5000" w:type="pct"/>
                      <w:tblBorders>
                        <w:bottom w:val="single" w:sz="4" w:space="0" w:color="4F81BD"/>
                        <w:insideH w:val="single" w:sz="4" w:space="0" w:color="4F81BD"/>
                      </w:tblBorders>
                      <w:tblLook w:val="00A0" w:firstRow="1" w:lastRow="0" w:firstColumn="1" w:lastColumn="0" w:noHBand="0" w:noVBand="0"/>
                    </w:tblPr>
                    <w:tblGrid>
                      <w:gridCol w:w="3883"/>
                      <w:gridCol w:w="1209"/>
                      <w:gridCol w:w="3995"/>
                    </w:tblGrid>
                    <w:tr w:rsidR="008F0D85">
                      <w:trPr>
                        <w:trHeight w:val="151"/>
                      </w:trPr>
                      <w:tc>
                        <w:tcPr>
                          <w:tcW w:w="3877" w:type="dxa"/>
                          <w:tcBorders>
                            <w:bottom w:val="single" w:sz="4" w:space="0" w:color="4F81BD"/>
                          </w:tcBorders>
                          <w:shd w:val="clear" w:color="auto" w:fill="auto"/>
                        </w:tcPr>
                        <w:p w:rsidR="008F0D85" w:rsidRDefault="008F0D85">
                          <w:pPr>
                            <w:pStyle w:val="Zaglavlje"/>
                            <w:rPr>
                              <w:rFonts w:ascii="Cambria" w:hAnsi="Cambria"/>
                              <w:b/>
                              <w:bCs/>
                            </w:rPr>
                          </w:pPr>
                          <w:bookmarkStart w:id="1395" w:name="__UnoMark__24167_1935607046"/>
                          <w:bookmarkEnd w:id="1395"/>
                        </w:p>
                      </w:tc>
                      <w:tc>
                        <w:tcPr>
                          <w:tcW w:w="1207" w:type="dxa"/>
                          <w:vMerge w:val="restart"/>
                          <w:tcBorders>
                            <w:bottom w:val="single" w:sz="4" w:space="0" w:color="4F81BD"/>
                          </w:tcBorders>
                          <w:shd w:val="clear" w:color="auto" w:fill="auto"/>
                          <w:vAlign w:val="center"/>
                        </w:tcPr>
                        <w:p w:rsidR="008F0D85" w:rsidRDefault="00AE42A1">
                          <w:pPr>
                            <w:pStyle w:val="Bezproreda"/>
                          </w:pPr>
                          <w:bookmarkStart w:id="1396" w:name="__UnoMark__24168_1935607046"/>
                          <w:bookmarkEnd w:id="1396"/>
                          <w:r>
                            <w:rPr>
                              <w:bCs/>
                              <w:sz w:val="20"/>
                            </w:rPr>
                            <w:t xml:space="preserve">Stranica </w:t>
                          </w:r>
                          <w:r>
                            <w:rPr>
                              <w:bCs/>
                              <w:sz w:val="20"/>
                            </w:rPr>
                            <w:fldChar w:fldCharType="begin"/>
                          </w:r>
                          <w:r>
                            <w:instrText>PAGE</w:instrText>
                          </w:r>
                          <w:r>
                            <w:fldChar w:fldCharType="separate"/>
                          </w:r>
                          <w:r>
                            <w:t>221</w:t>
                          </w:r>
                          <w:r>
                            <w:fldChar w:fldCharType="end"/>
                          </w:r>
                          <w:bookmarkStart w:id="1397" w:name="__UnoMark__24169_1935607046"/>
                          <w:bookmarkEnd w:id="1397"/>
                          <w:r>
                            <w:rPr>
                              <w:b/>
                              <w:bCs/>
                              <w:sz w:val="20"/>
                            </w:rPr>
                            <w:t xml:space="preserve">                     </w:t>
                          </w:r>
                        </w:p>
                      </w:tc>
                      <w:tc>
                        <w:tcPr>
                          <w:tcW w:w="3989" w:type="dxa"/>
                          <w:tcBorders>
                            <w:bottom w:val="single" w:sz="4" w:space="0" w:color="4F81BD"/>
                          </w:tcBorders>
                          <w:shd w:val="clear" w:color="auto" w:fill="auto"/>
                        </w:tcPr>
                        <w:p w:rsidR="008F0D85" w:rsidRDefault="008F0D85">
                          <w:pPr>
                            <w:pStyle w:val="Zaglavlje"/>
                            <w:rPr>
                              <w:rFonts w:ascii="Cambria" w:hAnsi="Cambria"/>
                              <w:b/>
                              <w:bCs/>
                            </w:rPr>
                          </w:pPr>
                          <w:bookmarkStart w:id="1398" w:name="__UnoMark__24170_1935607046"/>
                          <w:bookmarkStart w:id="1399" w:name="__UnoMark__24171_1935607046"/>
                          <w:bookmarkEnd w:id="1398"/>
                          <w:bookmarkEnd w:id="1399"/>
                        </w:p>
                      </w:tc>
                    </w:tr>
                    <w:tr w:rsidR="008F0D85">
                      <w:trPr>
                        <w:trHeight w:val="150"/>
                      </w:trPr>
                      <w:tc>
                        <w:tcPr>
                          <w:tcW w:w="3877"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400" w:name="__UnoMark__24172_1935607046"/>
                          <w:bookmarkStart w:id="1401" w:name="__UnoMark__24173_1935607046"/>
                          <w:bookmarkEnd w:id="1400"/>
                          <w:bookmarkEnd w:id="1401"/>
                        </w:p>
                      </w:tc>
                      <w:tc>
                        <w:tcPr>
                          <w:tcW w:w="1207"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1402" w:name="__UnoMark__24174_1935607046"/>
                          <w:bookmarkStart w:id="1403" w:name="__UnoMark__24175_1935607046"/>
                          <w:bookmarkEnd w:id="1402"/>
                          <w:bookmarkEnd w:id="1403"/>
                        </w:p>
                      </w:tc>
                      <w:tc>
                        <w:tcPr>
                          <w:tcW w:w="3989"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404" w:name="__UnoMark__24176_1935607046"/>
                          <w:bookmarkEnd w:id="1404"/>
                        </w:p>
                      </w:tc>
                    </w:tr>
                  </w:tbl>
                  <w:p w:rsidR="00000000" w:rsidRDefault="00AE42A1"/>
                </w:txbxContent>
              </v:textbox>
              <w10:wrap type="squar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Podnoje"/>
    </w:pPr>
    <w:r>
      <w:rPr>
        <w:noProof/>
      </w:rPr>
      <mc:AlternateContent>
        <mc:Choice Requires="wps">
          <w:drawing>
            <wp:anchor distT="0" distB="0" distL="118745" distR="118745" simplePos="0" relativeHeight="36" behindDoc="1" locked="0" layoutInCell="1" allowOverlap="1">
              <wp:simplePos x="0" y="0"/>
              <wp:positionH relativeFrom="column">
                <wp:posOffset>-68580</wp:posOffset>
              </wp:positionH>
              <wp:positionV relativeFrom="paragraph">
                <wp:posOffset>635</wp:posOffset>
              </wp:positionV>
              <wp:extent cx="8891270" cy="368935"/>
              <wp:effectExtent l="0" t="0" r="0" b="0"/>
              <wp:wrapSquare wrapText="bothSides"/>
              <wp:docPr id="16" name="Okvir2"/>
              <wp:cNvGraphicFramePr/>
              <a:graphic xmlns:a="http://schemas.openxmlformats.org/drawingml/2006/main">
                <a:graphicData uri="http://schemas.microsoft.com/office/word/2010/wordprocessingShape">
                  <wps:wsp>
                    <wps:cNvSpPr/>
                    <wps:spPr>
                      <a:xfrm>
                        <a:off x="0" y="0"/>
                        <a:ext cx="8890560" cy="368280"/>
                      </a:xfrm>
                      <a:prstGeom prst="rect">
                        <a:avLst/>
                      </a:prstGeom>
                      <a:noFill/>
                      <a:ln>
                        <a:noFill/>
                      </a:ln>
                    </wps:spPr>
                    <wps:style>
                      <a:lnRef idx="0">
                        <a:scrgbClr r="0" g="0" b="0"/>
                      </a:lnRef>
                      <a:fillRef idx="0">
                        <a:scrgbClr r="0" g="0" b="0"/>
                      </a:fillRef>
                      <a:effectRef idx="0">
                        <a:scrgbClr r="0" g="0" b="0"/>
                      </a:effectRef>
                      <a:fontRef idx="minor"/>
                    </wps:style>
                    <wps:txbx>
                      <w:txbxContent>
                        <w:tbl>
                          <w:tblPr>
                            <w:tblW w:w="5000" w:type="pct"/>
                            <w:tblBorders>
                              <w:bottom w:val="single" w:sz="4" w:space="0" w:color="4F81BD"/>
                              <w:insideH w:val="single" w:sz="4" w:space="0" w:color="4F81BD"/>
                            </w:tblBorders>
                            <w:tblLook w:val="00A0" w:firstRow="1" w:lastRow="0" w:firstColumn="1" w:lastColumn="0" w:noHBand="0" w:noVBand="0"/>
                          </w:tblPr>
                          <w:tblGrid>
                            <w:gridCol w:w="6246"/>
                            <w:gridCol w:w="1414"/>
                            <w:gridCol w:w="6357"/>
                          </w:tblGrid>
                          <w:tr w:rsidR="008F0D85">
                            <w:trPr>
                              <w:trHeight w:val="151"/>
                            </w:trPr>
                            <w:tc>
                              <w:tcPr>
                                <w:tcW w:w="6239" w:type="dxa"/>
                                <w:tcBorders>
                                  <w:bottom w:val="single" w:sz="4" w:space="0" w:color="4F81BD"/>
                                </w:tcBorders>
                                <w:shd w:val="clear" w:color="auto" w:fill="auto"/>
                              </w:tcPr>
                              <w:p w:rsidR="008F0D85" w:rsidRDefault="008F0D85">
                                <w:pPr>
                                  <w:pStyle w:val="Zaglavlje"/>
                                  <w:rPr>
                                    <w:rFonts w:ascii="Cambria" w:hAnsi="Cambria"/>
                                    <w:b/>
                                    <w:bCs/>
                                  </w:rPr>
                                </w:pPr>
                                <w:bookmarkStart w:id="194" w:name="__UnoMark__7005_1935607046"/>
                                <w:bookmarkEnd w:id="194"/>
                              </w:p>
                            </w:tc>
                            <w:tc>
                              <w:tcPr>
                                <w:tcW w:w="1413" w:type="dxa"/>
                                <w:vMerge w:val="restart"/>
                                <w:tcBorders>
                                  <w:bottom w:val="single" w:sz="4" w:space="0" w:color="4F81BD"/>
                                </w:tcBorders>
                                <w:shd w:val="clear" w:color="auto" w:fill="auto"/>
                                <w:vAlign w:val="center"/>
                              </w:tcPr>
                              <w:p w:rsidR="008F0D85" w:rsidRDefault="00AE42A1">
                                <w:pPr>
                                  <w:pStyle w:val="Bezproreda"/>
                                </w:pPr>
                                <w:bookmarkStart w:id="195" w:name="__UnoMark__7006_1935607046"/>
                                <w:bookmarkEnd w:id="195"/>
                                <w:r>
                                  <w:rPr>
                                    <w:bCs/>
                                    <w:sz w:val="20"/>
                                  </w:rPr>
                                  <w:t xml:space="preserve">Stranica </w:t>
                                </w:r>
                                <w:r>
                                  <w:rPr>
                                    <w:bCs/>
                                    <w:sz w:val="20"/>
                                  </w:rPr>
                                  <w:fldChar w:fldCharType="begin"/>
                                </w:r>
                                <w:r>
                                  <w:instrText>PAGE</w:instrText>
                                </w:r>
                                <w:r>
                                  <w:fldChar w:fldCharType="separate"/>
                                </w:r>
                                <w:r>
                                  <w:t>36</w:t>
                                </w:r>
                                <w:r>
                                  <w:fldChar w:fldCharType="end"/>
                                </w:r>
                                <w:bookmarkStart w:id="196" w:name="__UnoMark__7007_1935607046"/>
                                <w:bookmarkEnd w:id="196"/>
                                <w:r>
                                  <w:rPr>
                                    <w:b/>
                                    <w:bCs/>
                                    <w:sz w:val="20"/>
                                  </w:rPr>
                                  <w:t xml:space="preserve">                     </w:t>
                                </w:r>
                              </w:p>
                            </w:tc>
                            <w:tc>
                              <w:tcPr>
                                <w:tcW w:w="6351" w:type="dxa"/>
                                <w:tcBorders>
                                  <w:bottom w:val="single" w:sz="4" w:space="0" w:color="4F81BD"/>
                                </w:tcBorders>
                                <w:shd w:val="clear" w:color="auto" w:fill="auto"/>
                              </w:tcPr>
                              <w:p w:rsidR="008F0D85" w:rsidRDefault="008F0D85">
                                <w:pPr>
                                  <w:pStyle w:val="Zaglavlje"/>
                                  <w:rPr>
                                    <w:rFonts w:ascii="Cambria" w:hAnsi="Cambria"/>
                                    <w:b/>
                                    <w:bCs/>
                                  </w:rPr>
                                </w:pPr>
                                <w:bookmarkStart w:id="197" w:name="__UnoMark__7008_1935607046"/>
                                <w:bookmarkStart w:id="198" w:name="__UnoMark__7009_1935607046"/>
                                <w:bookmarkEnd w:id="197"/>
                                <w:bookmarkEnd w:id="198"/>
                              </w:p>
                            </w:tc>
                          </w:tr>
                          <w:tr w:rsidR="008F0D85">
                            <w:trPr>
                              <w:trHeight w:val="150"/>
                            </w:trPr>
                            <w:tc>
                              <w:tcPr>
                                <w:tcW w:w="6239"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99" w:name="__UnoMark__7010_1935607046"/>
                                <w:bookmarkStart w:id="200" w:name="__UnoMark__7011_1935607046"/>
                                <w:bookmarkEnd w:id="199"/>
                                <w:bookmarkEnd w:id="200"/>
                              </w:p>
                            </w:tc>
                            <w:tc>
                              <w:tcPr>
                                <w:tcW w:w="1413"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201" w:name="__UnoMark__7012_1935607046"/>
                                <w:bookmarkStart w:id="202" w:name="__UnoMark__7013_1935607046"/>
                                <w:bookmarkEnd w:id="201"/>
                                <w:bookmarkEnd w:id="202"/>
                              </w:p>
                            </w:tc>
                            <w:tc>
                              <w:tcPr>
                                <w:tcW w:w="6351"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203" w:name="__UnoMark__7014_1935607046"/>
                                <w:bookmarkEnd w:id="203"/>
                              </w:p>
                            </w:tc>
                          </w:tr>
                        </w:tbl>
                        <w:p w:rsidR="00000000" w:rsidRDefault="00AE42A1"/>
                      </w:txbxContent>
                    </wps:txbx>
                    <wps:bodyPr lIns="0" tIns="0" rIns="0" bIns="0">
                      <a:spAutoFit/>
                    </wps:bodyPr>
                  </wps:wsp>
                </a:graphicData>
              </a:graphic>
              <wp14:sizeRelH relativeFrom="margin">
                <wp14:pctWidth>100000</wp14:pctWidth>
              </wp14:sizeRelH>
            </wp:anchor>
          </w:drawing>
        </mc:Choice>
        <mc:Fallback>
          <w:pict>
            <v:rect id="Okvir2" o:spid="_x0000_s1027" style="position:absolute;left:0;text-align:left;margin-left:-5.4pt;margin-top:.05pt;width:700.1pt;height:29.05pt;z-index:-503316444;visibility:visible;mso-wrap-style:square;mso-width-percent:1000;mso-wrap-distance-left:9.35pt;mso-wrap-distance-top:0;mso-wrap-distance-right:9.35pt;mso-wrap-distance-bottom:0;mso-position-horizontal:absolute;mso-position-horizontal-relative:text;mso-position-vertical:absolute;mso-position-vertical-relative:text;mso-width-percent:100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" filled="f" stroked="f">
              <v:textbox style="mso-fit-shape-to-text:t" inset="0,0,0,0">
                <w:txbxContent>
                  <w:tbl>
                    <w:tblPr>
                      <w:tblW w:w="5000" w:type="pct"/>
                      <w:tblBorders>
                        <w:bottom w:val="single" w:sz="4" w:space="0" w:color="4F81BD"/>
                        <w:insideH w:val="single" w:sz="4" w:space="0" w:color="4F81BD"/>
                      </w:tblBorders>
                      <w:tblLook w:val="00A0" w:firstRow="1" w:lastRow="0" w:firstColumn="1" w:lastColumn="0" w:noHBand="0" w:noVBand="0"/>
                    </w:tblPr>
                    <w:tblGrid>
                      <w:gridCol w:w="6246"/>
                      <w:gridCol w:w="1414"/>
                      <w:gridCol w:w="6357"/>
                    </w:tblGrid>
                    <w:tr w:rsidR="008F0D85">
                      <w:trPr>
                        <w:trHeight w:val="151"/>
                      </w:trPr>
                      <w:tc>
                        <w:tcPr>
                          <w:tcW w:w="6239" w:type="dxa"/>
                          <w:tcBorders>
                            <w:bottom w:val="single" w:sz="4" w:space="0" w:color="4F81BD"/>
                          </w:tcBorders>
                          <w:shd w:val="clear" w:color="auto" w:fill="auto"/>
                        </w:tcPr>
                        <w:p w:rsidR="008F0D85" w:rsidRDefault="008F0D85">
                          <w:pPr>
                            <w:pStyle w:val="Zaglavlje"/>
                            <w:rPr>
                              <w:rFonts w:ascii="Cambria" w:hAnsi="Cambria"/>
                              <w:b/>
                              <w:bCs/>
                            </w:rPr>
                          </w:pPr>
                          <w:bookmarkStart w:id="204" w:name="__UnoMark__7005_1935607046"/>
                          <w:bookmarkEnd w:id="204"/>
                        </w:p>
                      </w:tc>
                      <w:tc>
                        <w:tcPr>
                          <w:tcW w:w="1413" w:type="dxa"/>
                          <w:vMerge w:val="restart"/>
                          <w:tcBorders>
                            <w:bottom w:val="single" w:sz="4" w:space="0" w:color="4F81BD"/>
                          </w:tcBorders>
                          <w:shd w:val="clear" w:color="auto" w:fill="auto"/>
                          <w:vAlign w:val="center"/>
                        </w:tcPr>
                        <w:p w:rsidR="008F0D85" w:rsidRDefault="00AE42A1">
                          <w:pPr>
                            <w:pStyle w:val="Bezproreda"/>
                          </w:pPr>
                          <w:bookmarkStart w:id="205" w:name="__UnoMark__7006_1935607046"/>
                          <w:bookmarkEnd w:id="205"/>
                          <w:r>
                            <w:rPr>
                              <w:bCs/>
                              <w:sz w:val="20"/>
                            </w:rPr>
                            <w:t xml:space="preserve">Stranica </w:t>
                          </w:r>
                          <w:r>
                            <w:rPr>
                              <w:bCs/>
                              <w:sz w:val="20"/>
                            </w:rPr>
                            <w:fldChar w:fldCharType="begin"/>
                          </w:r>
                          <w:r>
                            <w:instrText>PAGE</w:instrText>
                          </w:r>
                          <w:r>
                            <w:fldChar w:fldCharType="separate"/>
                          </w:r>
                          <w:r>
                            <w:t>36</w:t>
                          </w:r>
                          <w:r>
                            <w:fldChar w:fldCharType="end"/>
                          </w:r>
                          <w:bookmarkStart w:id="206" w:name="__UnoMark__7007_1935607046"/>
                          <w:bookmarkEnd w:id="206"/>
                          <w:r>
                            <w:rPr>
                              <w:b/>
                              <w:bCs/>
                              <w:sz w:val="20"/>
                            </w:rPr>
                            <w:t xml:space="preserve">                     </w:t>
                          </w:r>
                        </w:p>
                      </w:tc>
                      <w:tc>
                        <w:tcPr>
                          <w:tcW w:w="6351" w:type="dxa"/>
                          <w:tcBorders>
                            <w:bottom w:val="single" w:sz="4" w:space="0" w:color="4F81BD"/>
                          </w:tcBorders>
                          <w:shd w:val="clear" w:color="auto" w:fill="auto"/>
                        </w:tcPr>
                        <w:p w:rsidR="008F0D85" w:rsidRDefault="008F0D85">
                          <w:pPr>
                            <w:pStyle w:val="Zaglavlje"/>
                            <w:rPr>
                              <w:rFonts w:ascii="Cambria" w:hAnsi="Cambria"/>
                              <w:b/>
                              <w:bCs/>
                            </w:rPr>
                          </w:pPr>
                          <w:bookmarkStart w:id="207" w:name="__UnoMark__7008_1935607046"/>
                          <w:bookmarkStart w:id="208" w:name="__UnoMark__7009_1935607046"/>
                          <w:bookmarkEnd w:id="207"/>
                          <w:bookmarkEnd w:id="208"/>
                        </w:p>
                      </w:tc>
                    </w:tr>
                    <w:tr w:rsidR="008F0D85">
                      <w:trPr>
                        <w:trHeight w:val="150"/>
                      </w:trPr>
                      <w:tc>
                        <w:tcPr>
                          <w:tcW w:w="6239"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209" w:name="__UnoMark__7010_1935607046"/>
                          <w:bookmarkStart w:id="210" w:name="__UnoMark__7011_1935607046"/>
                          <w:bookmarkEnd w:id="209"/>
                          <w:bookmarkEnd w:id="210"/>
                        </w:p>
                      </w:tc>
                      <w:tc>
                        <w:tcPr>
                          <w:tcW w:w="1413"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211" w:name="__UnoMark__7012_1935607046"/>
                          <w:bookmarkStart w:id="212" w:name="__UnoMark__7013_1935607046"/>
                          <w:bookmarkEnd w:id="211"/>
                          <w:bookmarkEnd w:id="212"/>
                        </w:p>
                      </w:tc>
                      <w:tc>
                        <w:tcPr>
                          <w:tcW w:w="6351"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213" w:name="__UnoMark__7014_1935607046"/>
                          <w:bookmarkEnd w:id="213"/>
                        </w:p>
                      </w:tc>
                    </w:tr>
                  </w:tbl>
                  <w:p w:rsidR="00000000" w:rsidRDefault="00AE42A1"/>
                </w:txbxContent>
              </v:textbox>
              <w10:wrap type="squar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Podnoje"/>
    </w:pPr>
    <w:r>
      <w:rPr>
        <w:noProof/>
      </w:rPr>
      <mc:AlternateContent>
        <mc:Choice Requires="wps">
          <w:drawing>
            <wp:anchor distT="0" distB="0" distL="118745" distR="118745" simplePos="0" relativeHeight="53" behindDoc="1" locked="0" layoutInCell="1" allowOverlap="1">
              <wp:simplePos x="0" y="0"/>
              <wp:positionH relativeFrom="column">
                <wp:posOffset>-68580</wp:posOffset>
              </wp:positionH>
              <wp:positionV relativeFrom="paragraph">
                <wp:posOffset>635</wp:posOffset>
              </wp:positionV>
              <wp:extent cx="5759450" cy="368935"/>
              <wp:effectExtent l="0" t="0" r="0" b="0"/>
              <wp:wrapSquare wrapText="bothSides"/>
              <wp:docPr id="22" name="Okvir3"/>
              <wp:cNvGraphicFramePr/>
              <a:graphic xmlns:a="http://schemas.openxmlformats.org/drawingml/2006/main">
                <a:graphicData uri="http://schemas.microsoft.com/office/word/2010/wordprocessingShape">
                  <wps:wsp>
                    <wps:cNvSpPr/>
                    <wps:spPr>
                      <a:xfrm>
                        <a:off x="0" y="0"/>
                        <a:ext cx="5758920" cy="368280"/>
                      </a:xfrm>
                      <a:prstGeom prst="rect">
                        <a:avLst/>
                      </a:prstGeom>
                      <a:noFill/>
                      <a:ln>
                        <a:noFill/>
                      </a:ln>
                    </wps:spPr>
                    <wps:style>
                      <a:lnRef idx="0">
                        <a:scrgbClr r="0" g="0" b="0"/>
                      </a:lnRef>
                      <a:fillRef idx="0">
                        <a:scrgbClr r="0" g="0" b="0"/>
                      </a:fillRef>
                      <a:effectRef idx="0">
                        <a:scrgbClr r="0" g="0" b="0"/>
                      </a:effectRef>
                      <a:fontRef idx="minor"/>
                    </wps:style>
                    <wps:txbx>
                      <w:txbxContent>
                        <w:tbl>
                          <w:tblPr>
                            <w:tblW w:w="5000" w:type="pct"/>
                            <w:tblBorders>
                              <w:bottom w:val="single" w:sz="4" w:space="0" w:color="4F81BD"/>
                              <w:insideH w:val="single" w:sz="4" w:space="0" w:color="4F81BD"/>
                            </w:tblBorders>
                            <w:tblLook w:val="00A0" w:firstRow="1" w:lastRow="0" w:firstColumn="1" w:lastColumn="0" w:noHBand="0" w:noVBand="0"/>
                          </w:tblPr>
                          <w:tblGrid>
                            <w:gridCol w:w="3934"/>
                            <w:gridCol w:w="1110"/>
                            <w:gridCol w:w="4041"/>
                          </w:tblGrid>
                          <w:tr w:rsidR="008F0D85">
                            <w:trPr>
                              <w:trHeight w:val="151"/>
                            </w:trPr>
                            <w:tc>
                              <w:tcPr>
                                <w:tcW w:w="3928" w:type="dxa"/>
                                <w:tcBorders>
                                  <w:bottom w:val="single" w:sz="4" w:space="0" w:color="4F81BD"/>
                                </w:tcBorders>
                                <w:shd w:val="clear" w:color="auto" w:fill="auto"/>
                              </w:tcPr>
                              <w:p w:rsidR="008F0D85" w:rsidRDefault="008F0D85">
                                <w:pPr>
                                  <w:pStyle w:val="Zaglavlje"/>
                                  <w:rPr>
                                    <w:rFonts w:ascii="Cambria" w:hAnsi="Cambria"/>
                                    <w:b/>
                                    <w:bCs/>
                                  </w:rPr>
                                </w:pPr>
                                <w:bookmarkStart w:id="278" w:name="__UnoMark__7660_1935607046"/>
                                <w:bookmarkEnd w:id="278"/>
                              </w:p>
                            </w:tc>
                            <w:tc>
                              <w:tcPr>
                                <w:tcW w:w="1108" w:type="dxa"/>
                                <w:vMerge w:val="restart"/>
                                <w:tcBorders>
                                  <w:bottom w:val="single" w:sz="4" w:space="0" w:color="4F81BD"/>
                                </w:tcBorders>
                                <w:shd w:val="clear" w:color="auto" w:fill="auto"/>
                                <w:vAlign w:val="center"/>
                              </w:tcPr>
                              <w:p w:rsidR="008F0D85" w:rsidRDefault="00AE42A1">
                                <w:pPr>
                                  <w:pStyle w:val="Bezproreda"/>
                                </w:pPr>
                                <w:bookmarkStart w:id="279" w:name="__UnoMark__7661_1935607046"/>
                                <w:bookmarkEnd w:id="279"/>
                                <w:r>
                                  <w:rPr>
                                    <w:bCs/>
                                    <w:sz w:val="20"/>
                                  </w:rPr>
                                  <w:t xml:space="preserve">Stranica </w:t>
                                </w:r>
                                <w:r>
                                  <w:rPr>
                                    <w:bCs/>
                                    <w:sz w:val="20"/>
                                  </w:rPr>
                                  <w:fldChar w:fldCharType="begin"/>
                                </w:r>
                                <w:r>
                                  <w:instrText>PAGE</w:instrText>
                                </w:r>
                                <w:r>
                                  <w:fldChar w:fldCharType="separate"/>
                                </w:r>
                                <w:r>
                                  <w:t>53</w:t>
                                </w:r>
                                <w:r>
                                  <w:fldChar w:fldCharType="end"/>
                                </w:r>
                                <w:bookmarkStart w:id="280" w:name="__UnoMark__7662_1935607046"/>
                                <w:bookmarkEnd w:id="280"/>
                                <w:r>
                                  <w:rPr>
                                    <w:b/>
                                    <w:bCs/>
                                    <w:sz w:val="20"/>
                                  </w:rPr>
                                  <w:t xml:space="preserve">                     </w:t>
                                </w:r>
                              </w:p>
                            </w:tc>
                            <w:tc>
                              <w:tcPr>
                                <w:tcW w:w="4035" w:type="dxa"/>
                                <w:tcBorders>
                                  <w:bottom w:val="single" w:sz="4" w:space="0" w:color="4F81BD"/>
                                </w:tcBorders>
                                <w:shd w:val="clear" w:color="auto" w:fill="auto"/>
                              </w:tcPr>
                              <w:p w:rsidR="008F0D85" w:rsidRDefault="008F0D85">
                                <w:pPr>
                                  <w:pStyle w:val="Zaglavlje"/>
                                  <w:rPr>
                                    <w:rFonts w:ascii="Cambria" w:hAnsi="Cambria"/>
                                    <w:b/>
                                    <w:bCs/>
                                  </w:rPr>
                                </w:pPr>
                                <w:bookmarkStart w:id="281" w:name="__UnoMark__7663_1935607046"/>
                                <w:bookmarkStart w:id="282" w:name="__UnoMark__7664_1935607046"/>
                                <w:bookmarkEnd w:id="281"/>
                                <w:bookmarkEnd w:id="282"/>
                              </w:p>
                            </w:tc>
                          </w:tr>
                          <w:tr w:rsidR="008F0D85">
                            <w:trPr>
                              <w:trHeight w:val="150"/>
                            </w:trPr>
                            <w:tc>
                              <w:tcPr>
                                <w:tcW w:w="3928"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283" w:name="__UnoMark__7665_1935607046"/>
                                <w:bookmarkStart w:id="284" w:name="__UnoMark__7666_1935607046"/>
                                <w:bookmarkEnd w:id="283"/>
                                <w:bookmarkEnd w:id="284"/>
                              </w:p>
                            </w:tc>
                            <w:tc>
                              <w:tcPr>
                                <w:tcW w:w="1108"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285" w:name="__UnoMark__7667_1935607046"/>
                                <w:bookmarkStart w:id="286" w:name="__UnoMark__7668_1935607046"/>
                                <w:bookmarkEnd w:id="285"/>
                                <w:bookmarkEnd w:id="286"/>
                              </w:p>
                            </w:tc>
                            <w:tc>
                              <w:tcPr>
                                <w:tcW w:w="4035"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287" w:name="__UnoMark__7669_1935607046"/>
                                <w:bookmarkEnd w:id="287"/>
                              </w:p>
                            </w:tc>
                          </w:tr>
                        </w:tbl>
                        <w:p w:rsidR="00000000" w:rsidRDefault="00AE42A1"/>
                      </w:txbxContent>
                    </wps:txbx>
                    <wps:bodyPr lIns="0" tIns="0" rIns="0" bIns="0">
                      <a:spAutoFit/>
                    </wps:bodyPr>
                  </wps:wsp>
                </a:graphicData>
              </a:graphic>
              <wp14:sizeRelH relativeFrom="margin">
                <wp14:pctWidth>100000</wp14:pctWidth>
              </wp14:sizeRelH>
            </wp:anchor>
          </w:drawing>
        </mc:Choice>
        <mc:Fallback>
          <w:pict>
            <v:rect id="Okvir3" o:spid="_x0000_s1028" style="position:absolute;left:0;text-align:left;margin-left:-5.4pt;margin-top:.05pt;width:453.5pt;height:29.05pt;z-index:-503316427;visibility:visible;mso-wrap-style:square;mso-width-percent:1000;mso-wrap-distance-left:9.35pt;mso-wrap-distance-top:0;mso-wrap-distance-right:9.35pt;mso-wrap-distance-bottom:0;mso-position-horizontal:absolute;mso-position-horizontal-relative:text;mso-position-vertical:absolute;mso-position-vertical-relative:text;mso-width-percent:100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" filled="f" stroked="f">
              <v:textbox style="mso-fit-shape-to-text:t" inset="0,0,0,0">
                <w:txbxContent>
                  <w:tbl>
                    <w:tblPr>
                      <w:tblW w:w="5000" w:type="pct"/>
                      <w:tblBorders>
                        <w:bottom w:val="single" w:sz="4" w:space="0" w:color="4F81BD"/>
                        <w:insideH w:val="single" w:sz="4" w:space="0" w:color="4F81BD"/>
                      </w:tblBorders>
                      <w:tblLook w:val="00A0" w:firstRow="1" w:lastRow="0" w:firstColumn="1" w:lastColumn="0" w:noHBand="0" w:noVBand="0"/>
                    </w:tblPr>
                    <w:tblGrid>
                      <w:gridCol w:w="3934"/>
                      <w:gridCol w:w="1110"/>
                      <w:gridCol w:w="4041"/>
                    </w:tblGrid>
                    <w:tr w:rsidR="008F0D85">
                      <w:trPr>
                        <w:trHeight w:val="151"/>
                      </w:trPr>
                      <w:tc>
                        <w:tcPr>
                          <w:tcW w:w="3928" w:type="dxa"/>
                          <w:tcBorders>
                            <w:bottom w:val="single" w:sz="4" w:space="0" w:color="4F81BD"/>
                          </w:tcBorders>
                          <w:shd w:val="clear" w:color="auto" w:fill="auto"/>
                        </w:tcPr>
                        <w:p w:rsidR="008F0D85" w:rsidRDefault="008F0D85">
                          <w:pPr>
                            <w:pStyle w:val="Zaglavlje"/>
                            <w:rPr>
                              <w:rFonts w:ascii="Cambria" w:hAnsi="Cambria"/>
                              <w:b/>
                              <w:bCs/>
                            </w:rPr>
                          </w:pPr>
                          <w:bookmarkStart w:id="288" w:name="__UnoMark__7660_1935607046"/>
                          <w:bookmarkEnd w:id="288"/>
                        </w:p>
                      </w:tc>
                      <w:tc>
                        <w:tcPr>
                          <w:tcW w:w="1108" w:type="dxa"/>
                          <w:vMerge w:val="restart"/>
                          <w:tcBorders>
                            <w:bottom w:val="single" w:sz="4" w:space="0" w:color="4F81BD"/>
                          </w:tcBorders>
                          <w:shd w:val="clear" w:color="auto" w:fill="auto"/>
                          <w:vAlign w:val="center"/>
                        </w:tcPr>
                        <w:p w:rsidR="008F0D85" w:rsidRDefault="00AE42A1">
                          <w:pPr>
                            <w:pStyle w:val="Bezproreda"/>
                          </w:pPr>
                          <w:bookmarkStart w:id="289" w:name="__UnoMark__7661_1935607046"/>
                          <w:bookmarkEnd w:id="289"/>
                          <w:r>
                            <w:rPr>
                              <w:bCs/>
                              <w:sz w:val="20"/>
                            </w:rPr>
                            <w:t xml:space="preserve">Stranica </w:t>
                          </w:r>
                          <w:r>
                            <w:rPr>
                              <w:bCs/>
                              <w:sz w:val="20"/>
                            </w:rPr>
                            <w:fldChar w:fldCharType="begin"/>
                          </w:r>
                          <w:r>
                            <w:instrText>PAGE</w:instrText>
                          </w:r>
                          <w:r>
                            <w:fldChar w:fldCharType="separate"/>
                          </w:r>
                          <w:r>
                            <w:t>53</w:t>
                          </w:r>
                          <w:r>
                            <w:fldChar w:fldCharType="end"/>
                          </w:r>
                          <w:bookmarkStart w:id="290" w:name="__UnoMark__7662_1935607046"/>
                          <w:bookmarkEnd w:id="290"/>
                          <w:r>
                            <w:rPr>
                              <w:b/>
                              <w:bCs/>
                              <w:sz w:val="20"/>
                            </w:rPr>
                            <w:t xml:space="preserve">                     </w:t>
                          </w:r>
                        </w:p>
                      </w:tc>
                      <w:tc>
                        <w:tcPr>
                          <w:tcW w:w="4035" w:type="dxa"/>
                          <w:tcBorders>
                            <w:bottom w:val="single" w:sz="4" w:space="0" w:color="4F81BD"/>
                          </w:tcBorders>
                          <w:shd w:val="clear" w:color="auto" w:fill="auto"/>
                        </w:tcPr>
                        <w:p w:rsidR="008F0D85" w:rsidRDefault="008F0D85">
                          <w:pPr>
                            <w:pStyle w:val="Zaglavlje"/>
                            <w:rPr>
                              <w:rFonts w:ascii="Cambria" w:hAnsi="Cambria"/>
                              <w:b/>
                              <w:bCs/>
                            </w:rPr>
                          </w:pPr>
                          <w:bookmarkStart w:id="291" w:name="__UnoMark__7663_1935607046"/>
                          <w:bookmarkStart w:id="292" w:name="__UnoMark__7664_1935607046"/>
                          <w:bookmarkEnd w:id="291"/>
                          <w:bookmarkEnd w:id="292"/>
                        </w:p>
                      </w:tc>
                    </w:tr>
                    <w:tr w:rsidR="008F0D85">
                      <w:trPr>
                        <w:trHeight w:val="150"/>
                      </w:trPr>
                      <w:tc>
                        <w:tcPr>
                          <w:tcW w:w="3928"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293" w:name="__UnoMark__7665_1935607046"/>
                          <w:bookmarkStart w:id="294" w:name="__UnoMark__7666_1935607046"/>
                          <w:bookmarkEnd w:id="293"/>
                          <w:bookmarkEnd w:id="294"/>
                        </w:p>
                      </w:tc>
                      <w:tc>
                        <w:tcPr>
                          <w:tcW w:w="1108"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295" w:name="__UnoMark__7667_1935607046"/>
                          <w:bookmarkStart w:id="296" w:name="__UnoMark__7668_1935607046"/>
                          <w:bookmarkEnd w:id="295"/>
                          <w:bookmarkEnd w:id="296"/>
                        </w:p>
                      </w:tc>
                      <w:tc>
                        <w:tcPr>
                          <w:tcW w:w="4035"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297" w:name="__UnoMark__7669_1935607046"/>
                          <w:bookmarkEnd w:id="297"/>
                        </w:p>
                      </w:tc>
                    </w:tr>
                  </w:tbl>
                  <w:p w:rsidR="00000000" w:rsidRDefault="00AE42A1"/>
                </w:txbxContent>
              </v:textbox>
              <w10:wrap type="squar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Podnoje"/>
    </w:pPr>
    <w:r>
      <w:rPr>
        <w:noProof/>
      </w:rPr>
      <mc:AlternateContent>
        <mc:Choice Requires="wps">
          <w:drawing>
            <wp:anchor distT="0" distB="0" distL="118745" distR="118745" simplePos="0" relativeHeight="59" behindDoc="1" locked="0" layoutInCell="1" allowOverlap="1">
              <wp:simplePos x="0" y="0"/>
              <wp:positionH relativeFrom="column">
                <wp:posOffset>-68580</wp:posOffset>
              </wp:positionH>
              <wp:positionV relativeFrom="paragraph">
                <wp:posOffset>635</wp:posOffset>
              </wp:positionV>
              <wp:extent cx="8891270" cy="368935"/>
              <wp:effectExtent l="0" t="0" r="0" b="0"/>
              <wp:wrapSquare wrapText="bothSides"/>
              <wp:docPr id="24" name="Okvir4"/>
              <wp:cNvGraphicFramePr/>
              <a:graphic xmlns:a="http://schemas.openxmlformats.org/drawingml/2006/main">
                <a:graphicData uri="http://schemas.microsoft.com/office/word/2010/wordprocessingShape">
                  <wps:wsp>
                    <wps:cNvSpPr/>
                    <wps:spPr>
                      <a:xfrm>
                        <a:off x="0" y="0"/>
                        <a:ext cx="8890560" cy="368280"/>
                      </a:xfrm>
                      <a:prstGeom prst="rect">
                        <a:avLst/>
                      </a:prstGeom>
                      <a:noFill/>
                      <a:ln>
                        <a:noFill/>
                      </a:ln>
                    </wps:spPr>
                    <wps:style>
                      <a:lnRef idx="0">
                        <a:scrgbClr r="0" g="0" b="0"/>
                      </a:lnRef>
                      <a:fillRef idx="0">
                        <a:scrgbClr r="0" g="0" b="0"/>
                      </a:fillRef>
                      <a:effectRef idx="0">
                        <a:scrgbClr r="0" g="0" b="0"/>
                      </a:effectRef>
                      <a:fontRef idx="minor"/>
                    </wps:style>
                    <wps:txbx>
                      <w:txbxContent>
                        <w:tbl>
                          <w:tblPr>
                            <w:tblW w:w="5000" w:type="pct"/>
                            <w:tblBorders>
                              <w:bottom w:val="single" w:sz="4" w:space="0" w:color="4F81BD"/>
                              <w:insideH w:val="single" w:sz="4" w:space="0" w:color="4F81BD"/>
                            </w:tblBorders>
                            <w:tblLook w:val="00A0" w:firstRow="1" w:lastRow="0" w:firstColumn="1" w:lastColumn="0" w:noHBand="0" w:noVBand="0"/>
                          </w:tblPr>
                          <w:tblGrid>
                            <w:gridCol w:w="6308"/>
                            <w:gridCol w:w="1401"/>
                            <w:gridCol w:w="6308"/>
                          </w:tblGrid>
                          <w:tr w:rsidR="008F0D85">
                            <w:trPr>
                              <w:trHeight w:val="151"/>
                            </w:trPr>
                            <w:tc>
                              <w:tcPr>
                                <w:tcW w:w="6301" w:type="dxa"/>
                                <w:tcBorders>
                                  <w:bottom w:val="single" w:sz="4" w:space="0" w:color="4F81BD"/>
                                </w:tcBorders>
                                <w:shd w:val="clear" w:color="auto" w:fill="auto"/>
                              </w:tcPr>
                              <w:p w:rsidR="008F0D85" w:rsidRDefault="008F0D85">
                                <w:pPr>
                                  <w:pStyle w:val="Zaglavlje"/>
                                  <w:rPr>
                                    <w:rFonts w:ascii="Cambria" w:hAnsi="Cambria"/>
                                    <w:b/>
                                    <w:bCs/>
                                  </w:rPr>
                                </w:pPr>
                                <w:bookmarkStart w:id="305" w:name="__UnoMark__8036_1935607046"/>
                                <w:bookmarkEnd w:id="305"/>
                              </w:p>
                            </w:tc>
                            <w:tc>
                              <w:tcPr>
                                <w:tcW w:w="1400" w:type="dxa"/>
                                <w:vMerge w:val="restart"/>
                                <w:tcBorders>
                                  <w:bottom w:val="single" w:sz="4" w:space="0" w:color="4F81BD"/>
                                </w:tcBorders>
                                <w:shd w:val="clear" w:color="auto" w:fill="auto"/>
                                <w:vAlign w:val="center"/>
                              </w:tcPr>
                              <w:p w:rsidR="008F0D85" w:rsidRDefault="00AE42A1">
                                <w:pPr>
                                  <w:pStyle w:val="Bezproreda"/>
                                </w:pPr>
                                <w:bookmarkStart w:id="306" w:name="__UnoMark__8037_1935607046"/>
                                <w:bookmarkEnd w:id="306"/>
                                <w:r>
                                  <w:rPr>
                                    <w:bCs/>
                                    <w:sz w:val="20"/>
                                  </w:rPr>
                                  <w:t xml:space="preserve">Stranica </w:t>
                                </w:r>
                                <w:r>
                                  <w:rPr>
                                    <w:bCs/>
                                    <w:sz w:val="20"/>
                                  </w:rPr>
                                  <w:fldChar w:fldCharType="begin"/>
                                </w:r>
                                <w:r>
                                  <w:instrText>PAGE</w:instrText>
                                </w:r>
                                <w:r>
                                  <w:fldChar w:fldCharType="separate"/>
                                </w:r>
                                <w:r>
                                  <w:t>59</w:t>
                                </w:r>
                                <w:r>
                                  <w:fldChar w:fldCharType="end"/>
                                </w:r>
                                <w:bookmarkStart w:id="307" w:name="__UnoMark__8038_1935607046"/>
                                <w:bookmarkEnd w:id="307"/>
                                <w:r>
                                  <w:rPr>
                                    <w:b/>
                                    <w:bCs/>
                                    <w:sz w:val="20"/>
                                  </w:rPr>
                                  <w:t xml:space="preserve">                     </w:t>
                                </w:r>
                              </w:p>
                            </w:tc>
                            <w:tc>
                              <w:tcPr>
                                <w:tcW w:w="6302" w:type="dxa"/>
                                <w:tcBorders>
                                  <w:bottom w:val="single" w:sz="4" w:space="0" w:color="4F81BD"/>
                                </w:tcBorders>
                                <w:shd w:val="clear" w:color="auto" w:fill="auto"/>
                              </w:tcPr>
                              <w:p w:rsidR="008F0D85" w:rsidRDefault="008F0D85">
                                <w:pPr>
                                  <w:pStyle w:val="Zaglavlje"/>
                                  <w:rPr>
                                    <w:rFonts w:ascii="Cambria" w:hAnsi="Cambria"/>
                                    <w:b/>
                                    <w:bCs/>
                                  </w:rPr>
                                </w:pPr>
                                <w:bookmarkStart w:id="308" w:name="__UnoMark__8039_1935607046"/>
                                <w:bookmarkStart w:id="309" w:name="__UnoMark__8040_1935607046"/>
                                <w:bookmarkEnd w:id="308"/>
                                <w:bookmarkEnd w:id="309"/>
                              </w:p>
                            </w:tc>
                          </w:tr>
                          <w:tr w:rsidR="008F0D85">
                            <w:trPr>
                              <w:trHeight w:val="150"/>
                            </w:trPr>
                            <w:tc>
                              <w:tcPr>
                                <w:tcW w:w="6301"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310" w:name="__UnoMark__8041_1935607046"/>
                                <w:bookmarkStart w:id="311" w:name="__UnoMark__8042_1935607046"/>
                                <w:bookmarkEnd w:id="310"/>
                                <w:bookmarkEnd w:id="311"/>
                              </w:p>
                            </w:tc>
                            <w:tc>
                              <w:tcPr>
                                <w:tcW w:w="1400"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312" w:name="__UnoMark__8043_1935607046"/>
                                <w:bookmarkStart w:id="313" w:name="__UnoMark__8044_1935607046"/>
                                <w:bookmarkEnd w:id="312"/>
                                <w:bookmarkEnd w:id="313"/>
                              </w:p>
                            </w:tc>
                            <w:tc>
                              <w:tcPr>
                                <w:tcW w:w="6302"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314" w:name="__UnoMark__8045_1935607046"/>
                                <w:bookmarkEnd w:id="314"/>
                              </w:p>
                            </w:tc>
                          </w:tr>
                        </w:tbl>
                        <w:p w:rsidR="00000000" w:rsidRDefault="00AE42A1"/>
                      </w:txbxContent>
                    </wps:txbx>
                    <wps:bodyPr lIns="0" tIns="0" rIns="0" bIns="0">
                      <a:spAutoFit/>
                    </wps:bodyPr>
                  </wps:wsp>
                </a:graphicData>
              </a:graphic>
              <wp14:sizeRelH relativeFrom="margin">
                <wp14:pctWidth>100000</wp14:pctWidth>
              </wp14:sizeRelH>
            </wp:anchor>
          </w:drawing>
        </mc:Choice>
        <mc:Fallback>
          <w:pict>
            <v:rect id="Okvir4" o:spid="_x0000_s1029" style="position:absolute;left:0;text-align:left;margin-left:-5.4pt;margin-top:.05pt;width:700.1pt;height:29.05pt;z-index:-503316421;visibility:visible;mso-wrap-style:square;mso-width-percent:1000;mso-wrap-distance-left:9.35pt;mso-wrap-distance-top:0;mso-wrap-distance-right:9.35pt;mso-wrap-distance-bottom:0;mso-position-horizontal:absolute;mso-position-horizontal-relative:text;mso-position-vertical:absolute;mso-position-vertical-relative:text;mso-width-percent:100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" filled="f" stroked="f">
              <v:textbox style="mso-fit-shape-to-text:t" inset="0,0,0,0">
                <w:txbxContent>
                  <w:tbl>
                    <w:tblPr>
                      <w:tblW w:w="5000" w:type="pct"/>
                      <w:tblBorders>
                        <w:bottom w:val="single" w:sz="4" w:space="0" w:color="4F81BD"/>
                        <w:insideH w:val="single" w:sz="4" w:space="0" w:color="4F81BD"/>
                      </w:tblBorders>
                      <w:tblLook w:val="00A0" w:firstRow="1" w:lastRow="0" w:firstColumn="1" w:lastColumn="0" w:noHBand="0" w:noVBand="0"/>
                    </w:tblPr>
                    <w:tblGrid>
                      <w:gridCol w:w="6308"/>
                      <w:gridCol w:w="1401"/>
                      <w:gridCol w:w="6308"/>
                    </w:tblGrid>
                    <w:tr w:rsidR="008F0D85">
                      <w:trPr>
                        <w:trHeight w:val="151"/>
                      </w:trPr>
                      <w:tc>
                        <w:tcPr>
                          <w:tcW w:w="6301" w:type="dxa"/>
                          <w:tcBorders>
                            <w:bottom w:val="single" w:sz="4" w:space="0" w:color="4F81BD"/>
                          </w:tcBorders>
                          <w:shd w:val="clear" w:color="auto" w:fill="auto"/>
                        </w:tcPr>
                        <w:p w:rsidR="008F0D85" w:rsidRDefault="008F0D85">
                          <w:pPr>
                            <w:pStyle w:val="Zaglavlje"/>
                            <w:rPr>
                              <w:rFonts w:ascii="Cambria" w:hAnsi="Cambria"/>
                              <w:b/>
                              <w:bCs/>
                            </w:rPr>
                          </w:pPr>
                          <w:bookmarkStart w:id="315" w:name="__UnoMark__8036_1935607046"/>
                          <w:bookmarkEnd w:id="315"/>
                        </w:p>
                      </w:tc>
                      <w:tc>
                        <w:tcPr>
                          <w:tcW w:w="1400" w:type="dxa"/>
                          <w:vMerge w:val="restart"/>
                          <w:tcBorders>
                            <w:bottom w:val="single" w:sz="4" w:space="0" w:color="4F81BD"/>
                          </w:tcBorders>
                          <w:shd w:val="clear" w:color="auto" w:fill="auto"/>
                          <w:vAlign w:val="center"/>
                        </w:tcPr>
                        <w:p w:rsidR="008F0D85" w:rsidRDefault="00AE42A1">
                          <w:pPr>
                            <w:pStyle w:val="Bezproreda"/>
                          </w:pPr>
                          <w:bookmarkStart w:id="316" w:name="__UnoMark__8037_1935607046"/>
                          <w:bookmarkEnd w:id="316"/>
                          <w:r>
                            <w:rPr>
                              <w:bCs/>
                              <w:sz w:val="20"/>
                            </w:rPr>
                            <w:t xml:space="preserve">Stranica </w:t>
                          </w:r>
                          <w:r>
                            <w:rPr>
                              <w:bCs/>
                              <w:sz w:val="20"/>
                            </w:rPr>
                            <w:fldChar w:fldCharType="begin"/>
                          </w:r>
                          <w:r>
                            <w:instrText>PAGE</w:instrText>
                          </w:r>
                          <w:r>
                            <w:fldChar w:fldCharType="separate"/>
                          </w:r>
                          <w:r>
                            <w:t>59</w:t>
                          </w:r>
                          <w:r>
                            <w:fldChar w:fldCharType="end"/>
                          </w:r>
                          <w:bookmarkStart w:id="317" w:name="__UnoMark__8038_1935607046"/>
                          <w:bookmarkEnd w:id="317"/>
                          <w:r>
                            <w:rPr>
                              <w:b/>
                              <w:bCs/>
                              <w:sz w:val="20"/>
                            </w:rPr>
                            <w:t xml:space="preserve">                     </w:t>
                          </w:r>
                        </w:p>
                      </w:tc>
                      <w:tc>
                        <w:tcPr>
                          <w:tcW w:w="6302" w:type="dxa"/>
                          <w:tcBorders>
                            <w:bottom w:val="single" w:sz="4" w:space="0" w:color="4F81BD"/>
                          </w:tcBorders>
                          <w:shd w:val="clear" w:color="auto" w:fill="auto"/>
                        </w:tcPr>
                        <w:p w:rsidR="008F0D85" w:rsidRDefault="008F0D85">
                          <w:pPr>
                            <w:pStyle w:val="Zaglavlje"/>
                            <w:rPr>
                              <w:rFonts w:ascii="Cambria" w:hAnsi="Cambria"/>
                              <w:b/>
                              <w:bCs/>
                            </w:rPr>
                          </w:pPr>
                          <w:bookmarkStart w:id="318" w:name="__UnoMark__8039_1935607046"/>
                          <w:bookmarkStart w:id="319" w:name="__UnoMark__8040_1935607046"/>
                          <w:bookmarkEnd w:id="318"/>
                          <w:bookmarkEnd w:id="319"/>
                        </w:p>
                      </w:tc>
                    </w:tr>
                    <w:tr w:rsidR="008F0D85">
                      <w:trPr>
                        <w:trHeight w:val="150"/>
                      </w:trPr>
                      <w:tc>
                        <w:tcPr>
                          <w:tcW w:w="6301"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320" w:name="__UnoMark__8041_1935607046"/>
                          <w:bookmarkStart w:id="321" w:name="__UnoMark__8042_1935607046"/>
                          <w:bookmarkEnd w:id="320"/>
                          <w:bookmarkEnd w:id="321"/>
                        </w:p>
                      </w:tc>
                      <w:tc>
                        <w:tcPr>
                          <w:tcW w:w="1400"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322" w:name="__UnoMark__8043_1935607046"/>
                          <w:bookmarkStart w:id="323" w:name="__UnoMark__8044_1935607046"/>
                          <w:bookmarkEnd w:id="322"/>
                          <w:bookmarkEnd w:id="323"/>
                        </w:p>
                      </w:tc>
                      <w:tc>
                        <w:tcPr>
                          <w:tcW w:w="6302"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324" w:name="__UnoMark__8045_1935607046"/>
                          <w:bookmarkEnd w:id="324"/>
                        </w:p>
                      </w:tc>
                    </w:tr>
                  </w:tbl>
                  <w:p w:rsidR="00000000" w:rsidRDefault="00AE42A1"/>
                </w:txbxContent>
              </v:textbox>
              <w10:wrap type="squar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Podnoje"/>
    </w:pPr>
    <w:r>
      <w:rPr>
        <w:noProof/>
      </w:rPr>
      <mc:AlternateContent>
        <mc:Choice Requires="wps">
          <w:drawing>
            <wp:anchor distT="0" distB="0" distL="118745" distR="118745" simplePos="0" relativeHeight="122" behindDoc="1" locked="0" layoutInCell="1" allowOverlap="1">
              <wp:simplePos x="0" y="0"/>
              <wp:positionH relativeFrom="column">
                <wp:posOffset>-68580</wp:posOffset>
              </wp:positionH>
              <wp:positionV relativeFrom="paragraph">
                <wp:posOffset>635</wp:posOffset>
              </wp:positionV>
              <wp:extent cx="5759450" cy="368935"/>
              <wp:effectExtent l="0" t="0" r="0" b="0"/>
              <wp:wrapSquare wrapText="bothSides"/>
              <wp:docPr id="81" name="Okvir5"/>
              <wp:cNvGraphicFramePr/>
              <a:graphic xmlns:a="http://schemas.openxmlformats.org/drawingml/2006/main">
                <a:graphicData uri="http://schemas.microsoft.com/office/word/2010/wordprocessingShape">
                  <wps:wsp>
                    <wps:cNvSpPr/>
                    <wps:spPr>
                      <a:xfrm>
                        <a:off x="0" y="0"/>
                        <a:ext cx="5758920" cy="368280"/>
                      </a:xfrm>
                      <a:prstGeom prst="rect">
                        <a:avLst/>
                      </a:prstGeom>
                      <a:noFill/>
                      <a:ln>
                        <a:noFill/>
                      </a:ln>
                    </wps:spPr>
                    <wps:style>
                      <a:lnRef idx="0">
                        <a:scrgbClr r="0" g="0" b="0"/>
                      </a:lnRef>
                      <a:fillRef idx="0">
                        <a:scrgbClr r="0" g="0" b="0"/>
                      </a:fillRef>
                      <a:effectRef idx="0">
                        <a:scrgbClr r="0" g="0" b="0"/>
                      </a:effectRef>
                      <a:fontRef idx="minor"/>
                    </wps:style>
                    <wps:txbx>
                      <w:txbxContent>
                        <w:tbl>
                          <w:tblPr>
                            <w:tblW w:w="5000" w:type="pct"/>
                            <w:tblBorders>
                              <w:bottom w:val="single" w:sz="4" w:space="0" w:color="4F81BD"/>
                              <w:insideH w:val="single" w:sz="4" w:space="0" w:color="4F81BD"/>
                            </w:tblBorders>
                            <w:tblLook w:val="00A0" w:firstRow="1" w:lastRow="0" w:firstColumn="1" w:lastColumn="0" w:noHBand="0" w:noVBand="0"/>
                          </w:tblPr>
                          <w:tblGrid>
                            <w:gridCol w:w="3934"/>
                            <w:gridCol w:w="1110"/>
                            <w:gridCol w:w="4041"/>
                          </w:tblGrid>
                          <w:tr w:rsidR="008F0D85">
                            <w:trPr>
                              <w:trHeight w:val="151"/>
                            </w:trPr>
                            <w:tc>
                              <w:tcPr>
                                <w:tcW w:w="3928" w:type="dxa"/>
                                <w:tcBorders>
                                  <w:bottom w:val="single" w:sz="4" w:space="0" w:color="4F81BD"/>
                                </w:tcBorders>
                                <w:shd w:val="clear" w:color="auto" w:fill="auto"/>
                              </w:tcPr>
                              <w:p w:rsidR="008F0D85" w:rsidRDefault="008F0D85">
                                <w:pPr>
                                  <w:pStyle w:val="Zaglavlje"/>
                                  <w:rPr>
                                    <w:rFonts w:ascii="Cambria" w:hAnsi="Cambria"/>
                                    <w:b/>
                                    <w:bCs/>
                                  </w:rPr>
                                </w:pPr>
                                <w:bookmarkStart w:id="827" w:name="__UnoMark__12533_1935607046"/>
                                <w:bookmarkEnd w:id="827"/>
                              </w:p>
                            </w:tc>
                            <w:tc>
                              <w:tcPr>
                                <w:tcW w:w="1108" w:type="dxa"/>
                                <w:vMerge w:val="restart"/>
                                <w:tcBorders>
                                  <w:bottom w:val="single" w:sz="4" w:space="0" w:color="4F81BD"/>
                                </w:tcBorders>
                                <w:shd w:val="clear" w:color="auto" w:fill="auto"/>
                                <w:vAlign w:val="center"/>
                              </w:tcPr>
                              <w:p w:rsidR="008F0D85" w:rsidRDefault="00AE42A1">
                                <w:pPr>
                                  <w:pStyle w:val="Bezproreda"/>
                                </w:pPr>
                                <w:bookmarkStart w:id="828" w:name="__UnoMark__12534_1935607046"/>
                                <w:bookmarkEnd w:id="828"/>
                                <w:r>
                                  <w:rPr>
                                    <w:bCs/>
                                    <w:sz w:val="20"/>
                                  </w:rPr>
                                  <w:t xml:space="preserve">Stranica </w:t>
                                </w:r>
                                <w:r>
                                  <w:rPr>
                                    <w:bCs/>
                                    <w:sz w:val="20"/>
                                  </w:rPr>
                                  <w:fldChar w:fldCharType="begin"/>
                                </w:r>
                                <w:r>
                                  <w:instrText>PAGE</w:instrText>
                                </w:r>
                                <w:r>
                                  <w:fldChar w:fldCharType="separate"/>
                                </w:r>
                                <w:r>
                                  <w:t>122</w:t>
                                </w:r>
                                <w:r>
                                  <w:fldChar w:fldCharType="end"/>
                                </w:r>
                                <w:bookmarkStart w:id="829" w:name="__UnoMark__12535_1935607046"/>
                                <w:bookmarkEnd w:id="829"/>
                                <w:r>
                                  <w:rPr>
                                    <w:b/>
                                    <w:bCs/>
                                    <w:sz w:val="20"/>
                                  </w:rPr>
                                  <w:t xml:space="preserve">                     </w:t>
                                </w:r>
                              </w:p>
                            </w:tc>
                            <w:tc>
                              <w:tcPr>
                                <w:tcW w:w="4035" w:type="dxa"/>
                                <w:tcBorders>
                                  <w:bottom w:val="single" w:sz="4" w:space="0" w:color="4F81BD"/>
                                </w:tcBorders>
                                <w:shd w:val="clear" w:color="auto" w:fill="auto"/>
                              </w:tcPr>
                              <w:p w:rsidR="008F0D85" w:rsidRDefault="008F0D85">
                                <w:pPr>
                                  <w:pStyle w:val="Zaglavlje"/>
                                  <w:rPr>
                                    <w:rFonts w:ascii="Cambria" w:hAnsi="Cambria"/>
                                    <w:b/>
                                    <w:bCs/>
                                  </w:rPr>
                                </w:pPr>
                                <w:bookmarkStart w:id="830" w:name="__UnoMark__12536_1935607046"/>
                                <w:bookmarkStart w:id="831" w:name="__UnoMark__12537_1935607046"/>
                                <w:bookmarkEnd w:id="830"/>
                                <w:bookmarkEnd w:id="831"/>
                              </w:p>
                            </w:tc>
                          </w:tr>
                          <w:tr w:rsidR="008F0D85">
                            <w:trPr>
                              <w:trHeight w:val="150"/>
                            </w:trPr>
                            <w:tc>
                              <w:tcPr>
                                <w:tcW w:w="3928"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832" w:name="__UnoMark__12538_1935607046"/>
                                <w:bookmarkStart w:id="833" w:name="__UnoMark__12539_1935607046"/>
                                <w:bookmarkEnd w:id="832"/>
                                <w:bookmarkEnd w:id="833"/>
                              </w:p>
                            </w:tc>
                            <w:tc>
                              <w:tcPr>
                                <w:tcW w:w="1108"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834" w:name="__UnoMark__12540_1935607046"/>
                                <w:bookmarkStart w:id="835" w:name="__UnoMark__12541_1935607046"/>
                                <w:bookmarkEnd w:id="834"/>
                                <w:bookmarkEnd w:id="835"/>
                              </w:p>
                            </w:tc>
                            <w:tc>
                              <w:tcPr>
                                <w:tcW w:w="4035"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836" w:name="__UnoMark__12542_1935607046"/>
                                <w:bookmarkEnd w:id="836"/>
                              </w:p>
                            </w:tc>
                          </w:tr>
                        </w:tbl>
                        <w:p w:rsidR="00000000" w:rsidRDefault="00AE42A1"/>
                      </w:txbxContent>
                    </wps:txbx>
                    <wps:bodyPr lIns="0" tIns="0" rIns="0" bIns="0">
                      <a:spAutoFit/>
                    </wps:bodyPr>
                  </wps:wsp>
                </a:graphicData>
              </a:graphic>
              <wp14:sizeRelH relativeFrom="margin">
                <wp14:pctWidth>100000</wp14:pctWidth>
              </wp14:sizeRelH>
            </wp:anchor>
          </w:drawing>
        </mc:Choice>
        <mc:Fallback>
          <w:pict>
            <v:rect id="Okvir5" o:spid="_x0000_s1030" style="position:absolute;left:0;text-align:left;margin-left:-5.4pt;margin-top:.05pt;width:453.5pt;height:29.05pt;z-index:-503316358;visibility:visible;mso-wrap-style:square;mso-width-percent:1000;mso-wrap-distance-left:9.35pt;mso-wrap-distance-top:0;mso-wrap-distance-right:9.35pt;mso-wrap-distance-bottom:0;mso-position-horizontal:absolute;mso-position-horizontal-relative:text;mso-position-vertical:absolute;mso-position-vertical-relative:text;mso-width-percent:100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" filled="f" stroked="f">
              <v:textbox style="mso-fit-shape-to-text:t" inset="0,0,0,0">
                <w:txbxContent>
                  <w:tbl>
                    <w:tblPr>
                      <w:tblW w:w="5000" w:type="pct"/>
                      <w:tblBorders>
                        <w:bottom w:val="single" w:sz="4" w:space="0" w:color="4F81BD"/>
                        <w:insideH w:val="single" w:sz="4" w:space="0" w:color="4F81BD"/>
                      </w:tblBorders>
                      <w:tblLook w:val="00A0" w:firstRow="1" w:lastRow="0" w:firstColumn="1" w:lastColumn="0" w:noHBand="0" w:noVBand="0"/>
                    </w:tblPr>
                    <w:tblGrid>
                      <w:gridCol w:w="3934"/>
                      <w:gridCol w:w="1110"/>
                      <w:gridCol w:w="4041"/>
                    </w:tblGrid>
                    <w:tr w:rsidR="008F0D85">
                      <w:trPr>
                        <w:trHeight w:val="151"/>
                      </w:trPr>
                      <w:tc>
                        <w:tcPr>
                          <w:tcW w:w="3928" w:type="dxa"/>
                          <w:tcBorders>
                            <w:bottom w:val="single" w:sz="4" w:space="0" w:color="4F81BD"/>
                          </w:tcBorders>
                          <w:shd w:val="clear" w:color="auto" w:fill="auto"/>
                        </w:tcPr>
                        <w:p w:rsidR="008F0D85" w:rsidRDefault="008F0D85">
                          <w:pPr>
                            <w:pStyle w:val="Zaglavlje"/>
                            <w:rPr>
                              <w:rFonts w:ascii="Cambria" w:hAnsi="Cambria"/>
                              <w:b/>
                              <w:bCs/>
                            </w:rPr>
                          </w:pPr>
                          <w:bookmarkStart w:id="837" w:name="__UnoMark__12533_1935607046"/>
                          <w:bookmarkEnd w:id="837"/>
                        </w:p>
                      </w:tc>
                      <w:tc>
                        <w:tcPr>
                          <w:tcW w:w="1108" w:type="dxa"/>
                          <w:vMerge w:val="restart"/>
                          <w:tcBorders>
                            <w:bottom w:val="single" w:sz="4" w:space="0" w:color="4F81BD"/>
                          </w:tcBorders>
                          <w:shd w:val="clear" w:color="auto" w:fill="auto"/>
                          <w:vAlign w:val="center"/>
                        </w:tcPr>
                        <w:p w:rsidR="008F0D85" w:rsidRDefault="00AE42A1">
                          <w:pPr>
                            <w:pStyle w:val="Bezproreda"/>
                          </w:pPr>
                          <w:bookmarkStart w:id="838" w:name="__UnoMark__12534_1935607046"/>
                          <w:bookmarkEnd w:id="838"/>
                          <w:r>
                            <w:rPr>
                              <w:bCs/>
                              <w:sz w:val="20"/>
                            </w:rPr>
                            <w:t xml:space="preserve">Stranica </w:t>
                          </w:r>
                          <w:r>
                            <w:rPr>
                              <w:bCs/>
                              <w:sz w:val="20"/>
                            </w:rPr>
                            <w:fldChar w:fldCharType="begin"/>
                          </w:r>
                          <w:r>
                            <w:instrText>PAGE</w:instrText>
                          </w:r>
                          <w:r>
                            <w:fldChar w:fldCharType="separate"/>
                          </w:r>
                          <w:r>
                            <w:t>122</w:t>
                          </w:r>
                          <w:r>
                            <w:fldChar w:fldCharType="end"/>
                          </w:r>
                          <w:bookmarkStart w:id="839" w:name="__UnoMark__12535_1935607046"/>
                          <w:bookmarkEnd w:id="839"/>
                          <w:r>
                            <w:rPr>
                              <w:b/>
                              <w:bCs/>
                              <w:sz w:val="20"/>
                            </w:rPr>
                            <w:t xml:space="preserve">                     </w:t>
                          </w:r>
                        </w:p>
                      </w:tc>
                      <w:tc>
                        <w:tcPr>
                          <w:tcW w:w="4035" w:type="dxa"/>
                          <w:tcBorders>
                            <w:bottom w:val="single" w:sz="4" w:space="0" w:color="4F81BD"/>
                          </w:tcBorders>
                          <w:shd w:val="clear" w:color="auto" w:fill="auto"/>
                        </w:tcPr>
                        <w:p w:rsidR="008F0D85" w:rsidRDefault="008F0D85">
                          <w:pPr>
                            <w:pStyle w:val="Zaglavlje"/>
                            <w:rPr>
                              <w:rFonts w:ascii="Cambria" w:hAnsi="Cambria"/>
                              <w:b/>
                              <w:bCs/>
                            </w:rPr>
                          </w:pPr>
                          <w:bookmarkStart w:id="840" w:name="__UnoMark__12536_1935607046"/>
                          <w:bookmarkStart w:id="841" w:name="__UnoMark__12537_1935607046"/>
                          <w:bookmarkEnd w:id="840"/>
                          <w:bookmarkEnd w:id="841"/>
                        </w:p>
                      </w:tc>
                    </w:tr>
                    <w:tr w:rsidR="008F0D85">
                      <w:trPr>
                        <w:trHeight w:val="150"/>
                      </w:trPr>
                      <w:tc>
                        <w:tcPr>
                          <w:tcW w:w="3928"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842" w:name="__UnoMark__12538_1935607046"/>
                          <w:bookmarkStart w:id="843" w:name="__UnoMark__12539_1935607046"/>
                          <w:bookmarkEnd w:id="842"/>
                          <w:bookmarkEnd w:id="843"/>
                        </w:p>
                      </w:tc>
                      <w:tc>
                        <w:tcPr>
                          <w:tcW w:w="1108"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844" w:name="__UnoMark__12540_1935607046"/>
                          <w:bookmarkStart w:id="845" w:name="__UnoMark__12541_1935607046"/>
                          <w:bookmarkEnd w:id="844"/>
                          <w:bookmarkEnd w:id="845"/>
                        </w:p>
                      </w:tc>
                      <w:tc>
                        <w:tcPr>
                          <w:tcW w:w="4035"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846" w:name="__UnoMark__12542_1935607046"/>
                          <w:bookmarkEnd w:id="846"/>
                        </w:p>
                      </w:tc>
                    </w:tr>
                  </w:tbl>
                  <w:p w:rsidR="00000000" w:rsidRDefault="00AE42A1"/>
                </w:txbxContent>
              </v:textbox>
              <w10:wrap type="squar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Podnoje"/>
    </w:pPr>
    <w:r>
      <w:rPr>
        <w:noProof/>
      </w:rPr>
      <mc:AlternateContent>
        <mc:Choice Requires="wps">
          <w:drawing>
            <wp:anchor distT="0" distB="0" distL="118745" distR="118745" simplePos="0" relativeHeight="124" behindDoc="1" locked="0" layoutInCell="1" allowOverlap="1">
              <wp:simplePos x="0" y="0"/>
              <wp:positionH relativeFrom="column">
                <wp:posOffset>-68580</wp:posOffset>
              </wp:positionH>
              <wp:positionV relativeFrom="paragraph">
                <wp:posOffset>635</wp:posOffset>
              </wp:positionV>
              <wp:extent cx="8891270" cy="368935"/>
              <wp:effectExtent l="0" t="0" r="0" b="0"/>
              <wp:wrapSquare wrapText="bothSides"/>
              <wp:docPr id="83" name="Okvir6"/>
              <wp:cNvGraphicFramePr/>
              <a:graphic xmlns:a="http://schemas.openxmlformats.org/drawingml/2006/main">
                <a:graphicData uri="http://schemas.microsoft.com/office/word/2010/wordprocessingShape">
                  <wps:wsp>
                    <wps:cNvSpPr/>
                    <wps:spPr>
                      <a:xfrm>
                        <a:off x="0" y="0"/>
                        <a:ext cx="8890560" cy="368280"/>
                      </a:xfrm>
                      <a:prstGeom prst="rect">
                        <a:avLst/>
                      </a:prstGeom>
                      <a:noFill/>
                      <a:ln>
                        <a:noFill/>
                      </a:ln>
                    </wps:spPr>
                    <wps:style>
                      <a:lnRef idx="0">
                        <a:scrgbClr r="0" g="0" b="0"/>
                      </a:lnRef>
                      <a:fillRef idx="0">
                        <a:scrgbClr r="0" g="0" b="0"/>
                      </a:fillRef>
                      <a:effectRef idx="0">
                        <a:scrgbClr r="0" g="0" b="0"/>
                      </a:effectRef>
                      <a:fontRef idx="minor"/>
                    </wps:style>
                    <wps:txbx>
                      <w:txbxContent>
                        <w:tbl>
                          <w:tblPr>
                            <w:tblW w:w="5000" w:type="pct"/>
                            <w:tblBorders>
                              <w:bottom w:val="single" w:sz="4" w:space="0" w:color="4F81BD"/>
                              <w:insideH w:val="single" w:sz="4" w:space="0" w:color="4F81BD"/>
                            </w:tblBorders>
                            <w:tblLook w:val="00A0" w:firstRow="1" w:lastRow="0" w:firstColumn="1" w:lastColumn="0" w:noHBand="0" w:noVBand="0"/>
                          </w:tblPr>
                          <w:tblGrid>
                            <w:gridCol w:w="6308"/>
                            <w:gridCol w:w="1401"/>
                            <w:gridCol w:w="6308"/>
                          </w:tblGrid>
                          <w:tr w:rsidR="008F0D85">
                            <w:trPr>
                              <w:trHeight w:val="151"/>
                            </w:trPr>
                            <w:tc>
                              <w:tcPr>
                                <w:tcW w:w="6301" w:type="dxa"/>
                                <w:tcBorders>
                                  <w:bottom w:val="single" w:sz="4" w:space="0" w:color="4F81BD"/>
                                </w:tcBorders>
                                <w:shd w:val="clear" w:color="auto" w:fill="auto"/>
                              </w:tcPr>
                              <w:p w:rsidR="008F0D85" w:rsidRDefault="008F0D85">
                                <w:pPr>
                                  <w:pStyle w:val="Zaglavlje"/>
                                  <w:rPr>
                                    <w:rFonts w:ascii="Cambria" w:hAnsi="Cambria"/>
                                    <w:b/>
                                    <w:bCs/>
                                  </w:rPr>
                                </w:pPr>
                                <w:bookmarkStart w:id="850" w:name="__UnoMark__12677_1935607046"/>
                                <w:bookmarkEnd w:id="850"/>
                              </w:p>
                            </w:tc>
                            <w:tc>
                              <w:tcPr>
                                <w:tcW w:w="1400" w:type="dxa"/>
                                <w:vMerge w:val="restart"/>
                                <w:tcBorders>
                                  <w:bottom w:val="single" w:sz="4" w:space="0" w:color="4F81BD"/>
                                </w:tcBorders>
                                <w:shd w:val="clear" w:color="auto" w:fill="auto"/>
                                <w:vAlign w:val="center"/>
                              </w:tcPr>
                              <w:p w:rsidR="008F0D85" w:rsidRDefault="00AE42A1">
                                <w:pPr>
                                  <w:pStyle w:val="Bezproreda"/>
                                </w:pPr>
                                <w:bookmarkStart w:id="851" w:name="__UnoMark__12678_1935607046"/>
                                <w:bookmarkEnd w:id="851"/>
                                <w:r>
                                  <w:rPr>
                                    <w:bCs/>
                                    <w:sz w:val="20"/>
                                  </w:rPr>
                                  <w:t xml:space="preserve">Stranica </w:t>
                                </w:r>
                                <w:r>
                                  <w:rPr>
                                    <w:bCs/>
                                    <w:sz w:val="20"/>
                                  </w:rPr>
                                  <w:fldChar w:fldCharType="begin"/>
                                </w:r>
                                <w:r>
                                  <w:instrText>PAGE</w:instrText>
                                </w:r>
                                <w:r>
                                  <w:fldChar w:fldCharType="separate"/>
                                </w:r>
                                <w:r>
                                  <w:t>124</w:t>
                                </w:r>
                                <w:r>
                                  <w:fldChar w:fldCharType="end"/>
                                </w:r>
                                <w:bookmarkStart w:id="852" w:name="__UnoMark__12679_1935607046"/>
                                <w:bookmarkEnd w:id="852"/>
                                <w:r>
                                  <w:rPr>
                                    <w:b/>
                                    <w:bCs/>
                                    <w:sz w:val="20"/>
                                  </w:rPr>
                                  <w:t xml:space="preserve">                     </w:t>
                                </w:r>
                              </w:p>
                            </w:tc>
                            <w:tc>
                              <w:tcPr>
                                <w:tcW w:w="6302" w:type="dxa"/>
                                <w:tcBorders>
                                  <w:bottom w:val="single" w:sz="4" w:space="0" w:color="4F81BD"/>
                                </w:tcBorders>
                                <w:shd w:val="clear" w:color="auto" w:fill="auto"/>
                              </w:tcPr>
                              <w:p w:rsidR="008F0D85" w:rsidRDefault="008F0D85">
                                <w:pPr>
                                  <w:pStyle w:val="Zaglavlje"/>
                                  <w:rPr>
                                    <w:rFonts w:ascii="Cambria" w:hAnsi="Cambria"/>
                                    <w:b/>
                                    <w:bCs/>
                                  </w:rPr>
                                </w:pPr>
                                <w:bookmarkStart w:id="853" w:name="__UnoMark__12680_1935607046"/>
                                <w:bookmarkStart w:id="854" w:name="__UnoMark__12681_1935607046"/>
                                <w:bookmarkEnd w:id="853"/>
                                <w:bookmarkEnd w:id="854"/>
                              </w:p>
                            </w:tc>
                          </w:tr>
                          <w:tr w:rsidR="008F0D85">
                            <w:trPr>
                              <w:trHeight w:val="150"/>
                            </w:trPr>
                            <w:tc>
                              <w:tcPr>
                                <w:tcW w:w="6301"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855" w:name="__UnoMark__12682_1935607046"/>
                                <w:bookmarkStart w:id="856" w:name="__UnoMark__12683_1935607046"/>
                                <w:bookmarkEnd w:id="855"/>
                                <w:bookmarkEnd w:id="856"/>
                              </w:p>
                            </w:tc>
                            <w:tc>
                              <w:tcPr>
                                <w:tcW w:w="1400"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857" w:name="__UnoMark__12684_1935607046"/>
                                <w:bookmarkStart w:id="858" w:name="__UnoMark__12685_1935607046"/>
                                <w:bookmarkEnd w:id="857"/>
                                <w:bookmarkEnd w:id="858"/>
                              </w:p>
                            </w:tc>
                            <w:tc>
                              <w:tcPr>
                                <w:tcW w:w="6302"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859" w:name="__UnoMark__12686_1935607046"/>
                                <w:bookmarkEnd w:id="859"/>
                              </w:p>
                            </w:tc>
                          </w:tr>
                        </w:tbl>
                        <w:p w:rsidR="00000000" w:rsidRDefault="00AE42A1"/>
                      </w:txbxContent>
                    </wps:txbx>
                    <wps:bodyPr lIns="0" tIns="0" rIns="0" bIns="0">
                      <a:spAutoFit/>
                    </wps:bodyPr>
                  </wps:wsp>
                </a:graphicData>
              </a:graphic>
              <wp14:sizeRelH relativeFrom="margin">
                <wp14:pctWidth>100000</wp14:pctWidth>
              </wp14:sizeRelH>
            </wp:anchor>
          </w:drawing>
        </mc:Choice>
        <mc:Fallback>
          <w:pict>
            <v:rect id="Okvir6" o:spid="_x0000_s1031" style="position:absolute;left:0;text-align:left;margin-left:-5.4pt;margin-top:.05pt;width:700.1pt;height:29.05pt;z-index:-503316356;visibility:visible;mso-wrap-style:square;mso-width-percent:1000;mso-wrap-distance-left:9.35pt;mso-wrap-distance-top:0;mso-wrap-distance-right:9.35pt;mso-wrap-distance-bottom:0;mso-position-horizontal:absolute;mso-position-horizontal-relative:text;mso-position-vertical:absolute;mso-position-vertical-relative:text;mso-width-percent:100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" filled="f" stroked="f">
              <v:textbox style="mso-fit-shape-to-text:t" inset="0,0,0,0">
                <w:txbxContent>
                  <w:tbl>
                    <w:tblPr>
                      <w:tblW w:w="5000" w:type="pct"/>
                      <w:tblBorders>
                        <w:bottom w:val="single" w:sz="4" w:space="0" w:color="4F81BD"/>
                        <w:insideH w:val="single" w:sz="4" w:space="0" w:color="4F81BD"/>
                      </w:tblBorders>
                      <w:tblLook w:val="00A0" w:firstRow="1" w:lastRow="0" w:firstColumn="1" w:lastColumn="0" w:noHBand="0" w:noVBand="0"/>
                    </w:tblPr>
                    <w:tblGrid>
                      <w:gridCol w:w="6308"/>
                      <w:gridCol w:w="1401"/>
                      <w:gridCol w:w="6308"/>
                    </w:tblGrid>
                    <w:tr w:rsidR="008F0D85">
                      <w:trPr>
                        <w:trHeight w:val="151"/>
                      </w:trPr>
                      <w:tc>
                        <w:tcPr>
                          <w:tcW w:w="6301" w:type="dxa"/>
                          <w:tcBorders>
                            <w:bottom w:val="single" w:sz="4" w:space="0" w:color="4F81BD"/>
                          </w:tcBorders>
                          <w:shd w:val="clear" w:color="auto" w:fill="auto"/>
                        </w:tcPr>
                        <w:p w:rsidR="008F0D85" w:rsidRDefault="008F0D85">
                          <w:pPr>
                            <w:pStyle w:val="Zaglavlje"/>
                            <w:rPr>
                              <w:rFonts w:ascii="Cambria" w:hAnsi="Cambria"/>
                              <w:b/>
                              <w:bCs/>
                            </w:rPr>
                          </w:pPr>
                          <w:bookmarkStart w:id="860" w:name="__UnoMark__12677_1935607046"/>
                          <w:bookmarkEnd w:id="860"/>
                        </w:p>
                      </w:tc>
                      <w:tc>
                        <w:tcPr>
                          <w:tcW w:w="1400" w:type="dxa"/>
                          <w:vMerge w:val="restart"/>
                          <w:tcBorders>
                            <w:bottom w:val="single" w:sz="4" w:space="0" w:color="4F81BD"/>
                          </w:tcBorders>
                          <w:shd w:val="clear" w:color="auto" w:fill="auto"/>
                          <w:vAlign w:val="center"/>
                        </w:tcPr>
                        <w:p w:rsidR="008F0D85" w:rsidRDefault="00AE42A1">
                          <w:pPr>
                            <w:pStyle w:val="Bezproreda"/>
                          </w:pPr>
                          <w:bookmarkStart w:id="861" w:name="__UnoMark__12678_1935607046"/>
                          <w:bookmarkEnd w:id="861"/>
                          <w:r>
                            <w:rPr>
                              <w:bCs/>
                              <w:sz w:val="20"/>
                            </w:rPr>
                            <w:t xml:space="preserve">Stranica </w:t>
                          </w:r>
                          <w:r>
                            <w:rPr>
                              <w:bCs/>
                              <w:sz w:val="20"/>
                            </w:rPr>
                            <w:fldChar w:fldCharType="begin"/>
                          </w:r>
                          <w:r>
                            <w:instrText>PAGE</w:instrText>
                          </w:r>
                          <w:r>
                            <w:fldChar w:fldCharType="separate"/>
                          </w:r>
                          <w:r>
                            <w:t>124</w:t>
                          </w:r>
                          <w:r>
                            <w:fldChar w:fldCharType="end"/>
                          </w:r>
                          <w:bookmarkStart w:id="862" w:name="__UnoMark__12679_1935607046"/>
                          <w:bookmarkEnd w:id="862"/>
                          <w:r>
                            <w:rPr>
                              <w:b/>
                              <w:bCs/>
                              <w:sz w:val="20"/>
                            </w:rPr>
                            <w:t xml:space="preserve">                     </w:t>
                          </w:r>
                        </w:p>
                      </w:tc>
                      <w:tc>
                        <w:tcPr>
                          <w:tcW w:w="6302" w:type="dxa"/>
                          <w:tcBorders>
                            <w:bottom w:val="single" w:sz="4" w:space="0" w:color="4F81BD"/>
                          </w:tcBorders>
                          <w:shd w:val="clear" w:color="auto" w:fill="auto"/>
                        </w:tcPr>
                        <w:p w:rsidR="008F0D85" w:rsidRDefault="008F0D85">
                          <w:pPr>
                            <w:pStyle w:val="Zaglavlje"/>
                            <w:rPr>
                              <w:rFonts w:ascii="Cambria" w:hAnsi="Cambria"/>
                              <w:b/>
                              <w:bCs/>
                            </w:rPr>
                          </w:pPr>
                          <w:bookmarkStart w:id="863" w:name="__UnoMark__12680_1935607046"/>
                          <w:bookmarkStart w:id="864" w:name="__UnoMark__12681_1935607046"/>
                          <w:bookmarkEnd w:id="863"/>
                          <w:bookmarkEnd w:id="864"/>
                        </w:p>
                      </w:tc>
                    </w:tr>
                    <w:tr w:rsidR="008F0D85">
                      <w:trPr>
                        <w:trHeight w:val="150"/>
                      </w:trPr>
                      <w:tc>
                        <w:tcPr>
                          <w:tcW w:w="6301"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865" w:name="__UnoMark__12682_1935607046"/>
                          <w:bookmarkStart w:id="866" w:name="__UnoMark__12683_1935607046"/>
                          <w:bookmarkEnd w:id="865"/>
                          <w:bookmarkEnd w:id="866"/>
                        </w:p>
                      </w:tc>
                      <w:tc>
                        <w:tcPr>
                          <w:tcW w:w="1400"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867" w:name="__UnoMark__12684_1935607046"/>
                          <w:bookmarkStart w:id="868" w:name="__UnoMark__12685_1935607046"/>
                          <w:bookmarkEnd w:id="867"/>
                          <w:bookmarkEnd w:id="868"/>
                        </w:p>
                      </w:tc>
                      <w:tc>
                        <w:tcPr>
                          <w:tcW w:w="6302"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869" w:name="__UnoMark__12686_1935607046"/>
                          <w:bookmarkEnd w:id="869"/>
                        </w:p>
                      </w:tc>
                    </w:tr>
                  </w:tbl>
                  <w:p w:rsidR="00000000" w:rsidRDefault="00AE42A1"/>
                </w:txbxContent>
              </v:textbox>
              <w10:wrap type="squar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Podnoje"/>
    </w:pPr>
    <w:r>
      <w:rPr>
        <w:noProof/>
      </w:rPr>
      <mc:AlternateContent>
        <mc:Choice Requires="wps">
          <w:drawing>
            <wp:anchor distT="0" distB="0" distL="118745" distR="118745" simplePos="0" relativeHeight="182" behindDoc="1" locked="0" layoutInCell="1" allowOverlap="1">
              <wp:simplePos x="0" y="0"/>
              <wp:positionH relativeFrom="column">
                <wp:posOffset>-68580</wp:posOffset>
              </wp:positionH>
              <wp:positionV relativeFrom="paragraph">
                <wp:posOffset>635</wp:posOffset>
              </wp:positionV>
              <wp:extent cx="5759450" cy="368935"/>
              <wp:effectExtent l="0" t="0" r="0" b="0"/>
              <wp:wrapSquare wrapText="bothSides"/>
              <wp:docPr id="118" name="Okvir7"/>
              <wp:cNvGraphicFramePr/>
              <a:graphic xmlns:a="http://schemas.openxmlformats.org/drawingml/2006/main">
                <a:graphicData uri="http://schemas.microsoft.com/office/word/2010/wordprocessingShape">
                  <wps:wsp>
                    <wps:cNvSpPr/>
                    <wps:spPr>
                      <a:xfrm>
                        <a:off x="0" y="0"/>
                        <a:ext cx="5758920" cy="368280"/>
                      </a:xfrm>
                      <a:prstGeom prst="rect">
                        <a:avLst/>
                      </a:prstGeom>
                      <a:noFill/>
                      <a:ln>
                        <a:noFill/>
                      </a:ln>
                    </wps:spPr>
                    <wps:style>
                      <a:lnRef idx="0">
                        <a:scrgbClr r="0" g="0" b="0"/>
                      </a:lnRef>
                      <a:fillRef idx="0">
                        <a:scrgbClr r="0" g="0" b="0"/>
                      </a:fillRef>
                      <a:effectRef idx="0">
                        <a:scrgbClr r="0" g="0" b="0"/>
                      </a:effectRef>
                      <a:fontRef idx="minor"/>
                    </wps:style>
                    <wps:txbx>
                      <w:txbxContent>
                        <w:tbl>
                          <w:tblPr>
                            <w:tblW w:w="5000" w:type="pct"/>
                            <w:tblBorders>
                              <w:bottom w:val="single" w:sz="4" w:space="0" w:color="4F81BD"/>
                              <w:insideH w:val="single" w:sz="4" w:space="0" w:color="4F81BD"/>
                            </w:tblBorders>
                            <w:tblLook w:val="00A0" w:firstRow="1" w:lastRow="0" w:firstColumn="1" w:lastColumn="0" w:noHBand="0" w:noVBand="0"/>
                          </w:tblPr>
                          <w:tblGrid>
                            <w:gridCol w:w="3882"/>
                            <w:gridCol w:w="1212"/>
                            <w:gridCol w:w="3991"/>
                          </w:tblGrid>
                          <w:tr w:rsidR="008F0D85">
                            <w:trPr>
                              <w:trHeight w:val="151"/>
                            </w:trPr>
                            <w:tc>
                              <w:tcPr>
                                <w:tcW w:w="3876" w:type="dxa"/>
                                <w:tcBorders>
                                  <w:bottom w:val="single" w:sz="4" w:space="0" w:color="4F81BD"/>
                                </w:tcBorders>
                                <w:shd w:val="clear" w:color="auto" w:fill="auto"/>
                              </w:tcPr>
                              <w:p w:rsidR="008F0D85" w:rsidRDefault="008F0D85">
                                <w:pPr>
                                  <w:pStyle w:val="Zaglavlje"/>
                                  <w:rPr>
                                    <w:rFonts w:ascii="Cambria" w:hAnsi="Cambria"/>
                                    <w:b/>
                                    <w:bCs/>
                                  </w:rPr>
                                </w:pPr>
                                <w:bookmarkStart w:id="1196" w:name="__UnoMark__17832_1935607046"/>
                                <w:bookmarkEnd w:id="1196"/>
                              </w:p>
                            </w:tc>
                            <w:tc>
                              <w:tcPr>
                                <w:tcW w:w="1210" w:type="dxa"/>
                                <w:vMerge w:val="restart"/>
                                <w:tcBorders>
                                  <w:bottom w:val="single" w:sz="4" w:space="0" w:color="4F81BD"/>
                                </w:tcBorders>
                                <w:shd w:val="clear" w:color="auto" w:fill="auto"/>
                                <w:vAlign w:val="center"/>
                              </w:tcPr>
                              <w:p w:rsidR="008F0D85" w:rsidRDefault="00AE42A1">
                                <w:pPr>
                                  <w:pStyle w:val="Bezproreda"/>
                                </w:pPr>
                                <w:bookmarkStart w:id="1197" w:name="__UnoMark__17833_1935607046"/>
                                <w:bookmarkEnd w:id="1197"/>
                                <w:r>
                                  <w:rPr>
                                    <w:bCs/>
                                    <w:sz w:val="20"/>
                                  </w:rPr>
                                  <w:t xml:space="preserve">Stranica </w:t>
                                </w:r>
                                <w:r>
                                  <w:rPr>
                                    <w:bCs/>
                                    <w:sz w:val="20"/>
                                  </w:rPr>
                                  <w:fldChar w:fldCharType="begin"/>
                                </w:r>
                                <w:r>
                                  <w:instrText>PAGE</w:instrText>
                                </w:r>
                                <w:r>
                                  <w:fldChar w:fldCharType="separate"/>
                                </w:r>
                                <w:r>
                                  <w:t>182</w:t>
                                </w:r>
                                <w:r>
                                  <w:fldChar w:fldCharType="end"/>
                                </w:r>
                                <w:bookmarkStart w:id="1198" w:name="__UnoMark__17834_1935607046"/>
                                <w:bookmarkEnd w:id="1198"/>
                                <w:r>
                                  <w:rPr>
                                    <w:b/>
                                    <w:bCs/>
                                    <w:sz w:val="20"/>
                                  </w:rPr>
                                  <w:t xml:space="preserve">                     </w:t>
                                </w:r>
                              </w:p>
                            </w:tc>
                            <w:tc>
                              <w:tcPr>
                                <w:tcW w:w="3985" w:type="dxa"/>
                                <w:tcBorders>
                                  <w:bottom w:val="single" w:sz="4" w:space="0" w:color="4F81BD"/>
                                </w:tcBorders>
                                <w:shd w:val="clear" w:color="auto" w:fill="auto"/>
                              </w:tcPr>
                              <w:p w:rsidR="008F0D85" w:rsidRDefault="008F0D85">
                                <w:pPr>
                                  <w:pStyle w:val="Zaglavlje"/>
                                  <w:rPr>
                                    <w:rFonts w:ascii="Cambria" w:hAnsi="Cambria"/>
                                    <w:b/>
                                    <w:bCs/>
                                  </w:rPr>
                                </w:pPr>
                                <w:bookmarkStart w:id="1199" w:name="__UnoMark__17835_1935607046"/>
                                <w:bookmarkStart w:id="1200" w:name="__UnoMark__17836_1935607046"/>
                                <w:bookmarkEnd w:id="1199"/>
                                <w:bookmarkEnd w:id="1200"/>
                              </w:p>
                            </w:tc>
                          </w:tr>
                          <w:tr w:rsidR="008F0D85">
                            <w:trPr>
                              <w:trHeight w:val="150"/>
                            </w:trPr>
                            <w:tc>
                              <w:tcPr>
                                <w:tcW w:w="3876"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201" w:name="__UnoMark__17837_1935607046"/>
                                <w:bookmarkStart w:id="1202" w:name="__UnoMark__17838_1935607046"/>
                                <w:bookmarkEnd w:id="1201"/>
                                <w:bookmarkEnd w:id="1202"/>
                              </w:p>
                            </w:tc>
                            <w:tc>
                              <w:tcPr>
                                <w:tcW w:w="1210"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1203" w:name="__UnoMark__17839_1935607046"/>
                                <w:bookmarkStart w:id="1204" w:name="__UnoMark__17840_1935607046"/>
                                <w:bookmarkEnd w:id="1203"/>
                                <w:bookmarkEnd w:id="1204"/>
                              </w:p>
                            </w:tc>
                            <w:tc>
                              <w:tcPr>
                                <w:tcW w:w="3985"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205" w:name="__UnoMark__17841_1935607046"/>
                                <w:bookmarkEnd w:id="1205"/>
                              </w:p>
                            </w:tc>
                          </w:tr>
                        </w:tbl>
                        <w:p w:rsidR="00000000" w:rsidRDefault="00AE42A1"/>
                      </w:txbxContent>
                    </wps:txbx>
                    <wps:bodyPr lIns="0" tIns="0" rIns="0" bIns="0">
                      <a:spAutoFit/>
                    </wps:bodyPr>
                  </wps:wsp>
                </a:graphicData>
              </a:graphic>
              <wp14:sizeRelH relativeFrom="margin">
                <wp14:pctWidth>100000</wp14:pctWidth>
              </wp14:sizeRelH>
            </wp:anchor>
          </w:drawing>
        </mc:Choice>
        <mc:Fallback>
          <w:pict>
            <v:rect id="Okvir7" o:spid="_x0000_s1032" style="position:absolute;left:0;text-align:left;margin-left:-5.4pt;margin-top:.05pt;width:453.5pt;height:29.05pt;z-index:-503316298;visibility:visible;mso-wrap-style:square;mso-width-percent:1000;mso-wrap-distance-left:9.35pt;mso-wrap-distance-top:0;mso-wrap-distance-right:9.35pt;mso-wrap-distance-bottom:0;mso-position-horizontal:absolute;mso-position-horizontal-relative:text;mso-position-vertical:absolute;mso-position-vertical-relative:text;mso-width-percent:100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" filled="f" stroked="f">
              <v:textbox style="mso-fit-shape-to-text:t" inset="0,0,0,0">
                <w:txbxContent>
                  <w:tbl>
                    <w:tblPr>
                      <w:tblW w:w="5000" w:type="pct"/>
                      <w:tblBorders>
                        <w:bottom w:val="single" w:sz="4" w:space="0" w:color="4F81BD"/>
                        <w:insideH w:val="single" w:sz="4" w:space="0" w:color="4F81BD"/>
                      </w:tblBorders>
                      <w:tblLook w:val="00A0" w:firstRow="1" w:lastRow="0" w:firstColumn="1" w:lastColumn="0" w:noHBand="0" w:noVBand="0"/>
                    </w:tblPr>
                    <w:tblGrid>
                      <w:gridCol w:w="3882"/>
                      <w:gridCol w:w="1212"/>
                      <w:gridCol w:w="3991"/>
                    </w:tblGrid>
                    <w:tr w:rsidR="008F0D85">
                      <w:trPr>
                        <w:trHeight w:val="151"/>
                      </w:trPr>
                      <w:tc>
                        <w:tcPr>
                          <w:tcW w:w="3876" w:type="dxa"/>
                          <w:tcBorders>
                            <w:bottom w:val="single" w:sz="4" w:space="0" w:color="4F81BD"/>
                          </w:tcBorders>
                          <w:shd w:val="clear" w:color="auto" w:fill="auto"/>
                        </w:tcPr>
                        <w:p w:rsidR="008F0D85" w:rsidRDefault="008F0D85">
                          <w:pPr>
                            <w:pStyle w:val="Zaglavlje"/>
                            <w:rPr>
                              <w:rFonts w:ascii="Cambria" w:hAnsi="Cambria"/>
                              <w:b/>
                              <w:bCs/>
                            </w:rPr>
                          </w:pPr>
                          <w:bookmarkStart w:id="1206" w:name="__UnoMark__17832_1935607046"/>
                          <w:bookmarkEnd w:id="1206"/>
                        </w:p>
                      </w:tc>
                      <w:tc>
                        <w:tcPr>
                          <w:tcW w:w="1210" w:type="dxa"/>
                          <w:vMerge w:val="restart"/>
                          <w:tcBorders>
                            <w:bottom w:val="single" w:sz="4" w:space="0" w:color="4F81BD"/>
                          </w:tcBorders>
                          <w:shd w:val="clear" w:color="auto" w:fill="auto"/>
                          <w:vAlign w:val="center"/>
                        </w:tcPr>
                        <w:p w:rsidR="008F0D85" w:rsidRDefault="00AE42A1">
                          <w:pPr>
                            <w:pStyle w:val="Bezproreda"/>
                          </w:pPr>
                          <w:bookmarkStart w:id="1207" w:name="__UnoMark__17833_1935607046"/>
                          <w:bookmarkEnd w:id="1207"/>
                          <w:r>
                            <w:rPr>
                              <w:bCs/>
                              <w:sz w:val="20"/>
                            </w:rPr>
                            <w:t xml:space="preserve">Stranica </w:t>
                          </w:r>
                          <w:r>
                            <w:rPr>
                              <w:bCs/>
                              <w:sz w:val="20"/>
                            </w:rPr>
                            <w:fldChar w:fldCharType="begin"/>
                          </w:r>
                          <w:r>
                            <w:instrText>PAGE</w:instrText>
                          </w:r>
                          <w:r>
                            <w:fldChar w:fldCharType="separate"/>
                          </w:r>
                          <w:r>
                            <w:t>182</w:t>
                          </w:r>
                          <w:r>
                            <w:fldChar w:fldCharType="end"/>
                          </w:r>
                          <w:bookmarkStart w:id="1208" w:name="__UnoMark__17834_1935607046"/>
                          <w:bookmarkEnd w:id="1208"/>
                          <w:r>
                            <w:rPr>
                              <w:b/>
                              <w:bCs/>
                              <w:sz w:val="20"/>
                            </w:rPr>
                            <w:t xml:space="preserve">                     </w:t>
                          </w:r>
                        </w:p>
                      </w:tc>
                      <w:tc>
                        <w:tcPr>
                          <w:tcW w:w="3985" w:type="dxa"/>
                          <w:tcBorders>
                            <w:bottom w:val="single" w:sz="4" w:space="0" w:color="4F81BD"/>
                          </w:tcBorders>
                          <w:shd w:val="clear" w:color="auto" w:fill="auto"/>
                        </w:tcPr>
                        <w:p w:rsidR="008F0D85" w:rsidRDefault="008F0D85">
                          <w:pPr>
                            <w:pStyle w:val="Zaglavlje"/>
                            <w:rPr>
                              <w:rFonts w:ascii="Cambria" w:hAnsi="Cambria"/>
                              <w:b/>
                              <w:bCs/>
                            </w:rPr>
                          </w:pPr>
                          <w:bookmarkStart w:id="1209" w:name="__UnoMark__17835_1935607046"/>
                          <w:bookmarkStart w:id="1210" w:name="__UnoMark__17836_1935607046"/>
                          <w:bookmarkEnd w:id="1209"/>
                          <w:bookmarkEnd w:id="1210"/>
                        </w:p>
                      </w:tc>
                    </w:tr>
                    <w:tr w:rsidR="008F0D85">
                      <w:trPr>
                        <w:trHeight w:val="150"/>
                      </w:trPr>
                      <w:tc>
                        <w:tcPr>
                          <w:tcW w:w="3876"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211" w:name="__UnoMark__17837_1935607046"/>
                          <w:bookmarkStart w:id="1212" w:name="__UnoMark__17838_1935607046"/>
                          <w:bookmarkEnd w:id="1211"/>
                          <w:bookmarkEnd w:id="1212"/>
                        </w:p>
                      </w:tc>
                      <w:tc>
                        <w:tcPr>
                          <w:tcW w:w="1210"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1213" w:name="__UnoMark__17839_1935607046"/>
                          <w:bookmarkStart w:id="1214" w:name="__UnoMark__17840_1935607046"/>
                          <w:bookmarkEnd w:id="1213"/>
                          <w:bookmarkEnd w:id="1214"/>
                        </w:p>
                      </w:tc>
                      <w:tc>
                        <w:tcPr>
                          <w:tcW w:w="3985"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215" w:name="__UnoMark__17841_1935607046"/>
                          <w:bookmarkEnd w:id="1215"/>
                        </w:p>
                      </w:tc>
                    </w:tr>
                  </w:tbl>
                  <w:p w:rsidR="00000000" w:rsidRDefault="00AE42A1"/>
                </w:txbxContent>
              </v:textbox>
              <w10:wrap type="square"/>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Podnoje"/>
    </w:pPr>
    <w:r>
      <w:rPr>
        <w:noProof/>
      </w:rPr>
      <mc:AlternateContent>
        <mc:Choice Requires="wps">
          <w:drawing>
            <wp:anchor distT="0" distB="0" distL="118745" distR="118745" simplePos="0" relativeHeight="210" behindDoc="1" locked="0" layoutInCell="1" allowOverlap="1">
              <wp:simplePos x="0" y="0"/>
              <wp:positionH relativeFrom="column">
                <wp:posOffset>-68580</wp:posOffset>
              </wp:positionH>
              <wp:positionV relativeFrom="paragraph">
                <wp:posOffset>635</wp:posOffset>
              </wp:positionV>
              <wp:extent cx="8891270" cy="368935"/>
              <wp:effectExtent l="0" t="0" r="0" b="0"/>
              <wp:wrapSquare wrapText="bothSides"/>
              <wp:docPr id="120" name="Okvir8"/>
              <wp:cNvGraphicFramePr/>
              <a:graphic xmlns:a="http://schemas.openxmlformats.org/drawingml/2006/main">
                <a:graphicData uri="http://schemas.microsoft.com/office/word/2010/wordprocessingShape">
                  <wps:wsp>
                    <wps:cNvSpPr/>
                    <wps:spPr>
                      <a:xfrm>
                        <a:off x="0" y="0"/>
                        <a:ext cx="8890560" cy="368280"/>
                      </a:xfrm>
                      <a:prstGeom prst="rect">
                        <a:avLst/>
                      </a:prstGeom>
                      <a:noFill/>
                      <a:ln>
                        <a:noFill/>
                      </a:ln>
                    </wps:spPr>
                    <wps:style>
                      <a:lnRef idx="0">
                        <a:scrgbClr r="0" g="0" b="0"/>
                      </a:lnRef>
                      <a:fillRef idx="0">
                        <a:scrgbClr r="0" g="0" b="0"/>
                      </a:fillRef>
                      <a:effectRef idx="0">
                        <a:scrgbClr r="0" g="0" b="0"/>
                      </a:effectRef>
                      <a:fontRef idx="minor"/>
                    </wps:style>
                    <wps:txbx>
                      <w:txbxContent>
                        <w:tbl>
                          <w:tblPr>
                            <w:tblW w:w="5000" w:type="pct"/>
                            <w:tblBorders>
                              <w:bottom w:val="single" w:sz="4" w:space="0" w:color="4F81BD"/>
                              <w:insideH w:val="single" w:sz="4" w:space="0" w:color="4F81BD"/>
                            </w:tblBorders>
                            <w:tblLook w:val="00A0" w:firstRow="1" w:lastRow="0" w:firstColumn="1" w:lastColumn="0" w:noHBand="0" w:noVBand="0"/>
                          </w:tblPr>
                          <w:tblGrid>
                            <w:gridCol w:w="6308"/>
                            <w:gridCol w:w="1401"/>
                            <w:gridCol w:w="6308"/>
                          </w:tblGrid>
                          <w:tr w:rsidR="008F0D85">
                            <w:trPr>
                              <w:trHeight w:val="151"/>
                            </w:trPr>
                            <w:tc>
                              <w:tcPr>
                                <w:tcW w:w="6301" w:type="dxa"/>
                                <w:tcBorders>
                                  <w:bottom w:val="single" w:sz="4" w:space="0" w:color="4F81BD"/>
                                </w:tcBorders>
                                <w:shd w:val="clear" w:color="auto" w:fill="auto"/>
                              </w:tcPr>
                              <w:p w:rsidR="008F0D85" w:rsidRDefault="008F0D85">
                                <w:pPr>
                                  <w:pStyle w:val="Zaglavlje"/>
                                  <w:rPr>
                                    <w:rFonts w:ascii="Cambria" w:hAnsi="Cambria"/>
                                    <w:b/>
                                    <w:bCs/>
                                  </w:rPr>
                                </w:pPr>
                                <w:bookmarkStart w:id="1286" w:name="__UnoMark__23404_1935607046"/>
                                <w:bookmarkEnd w:id="1286"/>
                              </w:p>
                            </w:tc>
                            <w:tc>
                              <w:tcPr>
                                <w:tcW w:w="1400" w:type="dxa"/>
                                <w:vMerge w:val="restart"/>
                                <w:tcBorders>
                                  <w:bottom w:val="single" w:sz="4" w:space="0" w:color="4F81BD"/>
                                </w:tcBorders>
                                <w:shd w:val="clear" w:color="auto" w:fill="auto"/>
                                <w:vAlign w:val="center"/>
                              </w:tcPr>
                              <w:p w:rsidR="008F0D85" w:rsidRDefault="00AE42A1">
                                <w:pPr>
                                  <w:pStyle w:val="Bezproreda"/>
                                </w:pPr>
                                <w:bookmarkStart w:id="1287" w:name="__UnoMark__23405_1935607046"/>
                                <w:bookmarkEnd w:id="1287"/>
                                <w:r>
                                  <w:rPr>
                                    <w:bCs/>
                                    <w:sz w:val="20"/>
                                  </w:rPr>
                                  <w:t xml:space="preserve">Stranica </w:t>
                                </w:r>
                                <w:r>
                                  <w:rPr>
                                    <w:bCs/>
                                    <w:sz w:val="20"/>
                                  </w:rPr>
                                  <w:fldChar w:fldCharType="begin"/>
                                </w:r>
                                <w:r>
                                  <w:instrText>PAGE</w:instrText>
                                </w:r>
                                <w:r>
                                  <w:fldChar w:fldCharType="separate"/>
                                </w:r>
                                <w:r>
                                  <w:t>210</w:t>
                                </w:r>
                                <w:r>
                                  <w:fldChar w:fldCharType="end"/>
                                </w:r>
                                <w:bookmarkStart w:id="1288" w:name="__UnoMark__23406_1935607046"/>
                                <w:bookmarkEnd w:id="1288"/>
                                <w:r>
                                  <w:rPr>
                                    <w:b/>
                                    <w:bCs/>
                                    <w:sz w:val="20"/>
                                  </w:rPr>
                                  <w:t xml:space="preserve">                     </w:t>
                                </w:r>
                              </w:p>
                            </w:tc>
                            <w:tc>
                              <w:tcPr>
                                <w:tcW w:w="6302" w:type="dxa"/>
                                <w:tcBorders>
                                  <w:bottom w:val="single" w:sz="4" w:space="0" w:color="4F81BD"/>
                                </w:tcBorders>
                                <w:shd w:val="clear" w:color="auto" w:fill="auto"/>
                              </w:tcPr>
                              <w:p w:rsidR="008F0D85" w:rsidRDefault="008F0D85">
                                <w:pPr>
                                  <w:pStyle w:val="Zaglavlje"/>
                                  <w:rPr>
                                    <w:rFonts w:ascii="Cambria" w:hAnsi="Cambria"/>
                                    <w:b/>
                                    <w:bCs/>
                                  </w:rPr>
                                </w:pPr>
                                <w:bookmarkStart w:id="1289" w:name="__UnoMark__23407_1935607046"/>
                                <w:bookmarkStart w:id="1290" w:name="__UnoMark__23408_1935607046"/>
                                <w:bookmarkEnd w:id="1289"/>
                                <w:bookmarkEnd w:id="1290"/>
                              </w:p>
                            </w:tc>
                          </w:tr>
                          <w:tr w:rsidR="008F0D85">
                            <w:trPr>
                              <w:trHeight w:val="150"/>
                            </w:trPr>
                            <w:tc>
                              <w:tcPr>
                                <w:tcW w:w="6301"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291" w:name="__UnoMark__23409_1935607046"/>
                                <w:bookmarkStart w:id="1292" w:name="__UnoMark__23410_1935607046"/>
                                <w:bookmarkEnd w:id="1291"/>
                                <w:bookmarkEnd w:id="1292"/>
                              </w:p>
                            </w:tc>
                            <w:tc>
                              <w:tcPr>
                                <w:tcW w:w="1400"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1293" w:name="__UnoMark__23411_1935607046"/>
                                <w:bookmarkStart w:id="1294" w:name="__UnoMark__23412_1935607046"/>
                                <w:bookmarkEnd w:id="1293"/>
                                <w:bookmarkEnd w:id="1294"/>
                              </w:p>
                            </w:tc>
                            <w:tc>
                              <w:tcPr>
                                <w:tcW w:w="6302"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295" w:name="__UnoMark__23413_1935607046"/>
                                <w:bookmarkEnd w:id="1295"/>
                              </w:p>
                            </w:tc>
                          </w:tr>
                        </w:tbl>
                        <w:p w:rsidR="00000000" w:rsidRDefault="00AE42A1"/>
                      </w:txbxContent>
                    </wps:txbx>
                    <wps:bodyPr lIns="0" tIns="0" rIns="0" bIns="0">
                      <a:spAutoFit/>
                    </wps:bodyPr>
                  </wps:wsp>
                </a:graphicData>
              </a:graphic>
              <wp14:sizeRelH relativeFrom="margin">
                <wp14:pctWidth>100000</wp14:pctWidth>
              </wp14:sizeRelH>
            </wp:anchor>
          </w:drawing>
        </mc:Choice>
        <mc:Fallback>
          <w:pict>
            <v:rect id="Okvir8" o:spid="_x0000_s1033" style="position:absolute;left:0;text-align:left;margin-left:-5.4pt;margin-top:.05pt;width:700.1pt;height:29.05pt;z-index:-503316270;visibility:visible;mso-wrap-style:square;mso-width-percent:1000;mso-wrap-distance-left:9.35pt;mso-wrap-distance-top:0;mso-wrap-distance-right:9.35pt;mso-wrap-distance-bottom:0;mso-position-horizontal:absolute;mso-position-horizontal-relative:text;mso-position-vertical:absolute;mso-position-vertical-relative:text;mso-width-percent:100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" filled="f" stroked="f">
              <v:textbox style="mso-fit-shape-to-text:t" inset="0,0,0,0">
                <w:txbxContent>
                  <w:tbl>
                    <w:tblPr>
                      <w:tblW w:w="5000" w:type="pct"/>
                      <w:tblBorders>
                        <w:bottom w:val="single" w:sz="4" w:space="0" w:color="4F81BD"/>
                        <w:insideH w:val="single" w:sz="4" w:space="0" w:color="4F81BD"/>
                      </w:tblBorders>
                      <w:tblLook w:val="00A0" w:firstRow="1" w:lastRow="0" w:firstColumn="1" w:lastColumn="0" w:noHBand="0" w:noVBand="0"/>
                    </w:tblPr>
                    <w:tblGrid>
                      <w:gridCol w:w="6308"/>
                      <w:gridCol w:w="1401"/>
                      <w:gridCol w:w="6308"/>
                    </w:tblGrid>
                    <w:tr w:rsidR="008F0D85">
                      <w:trPr>
                        <w:trHeight w:val="151"/>
                      </w:trPr>
                      <w:tc>
                        <w:tcPr>
                          <w:tcW w:w="6301" w:type="dxa"/>
                          <w:tcBorders>
                            <w:bottom w:val="single" w:sz="4" w:space="0" w:color="4F81BD"/>
                          </w:tcBorders>
                          <w:shd w:val="clear" w:color="auto" w:fill="auto"/>
                        </w:tcPr>
                        <w:p w:rsidR="008F0D85" w:rsidRDefault="008F0D85">
                          <w:pPr>
                            <w:pStyle w:val="Zaglavlje"/>
                            <w:rPr>
                              <w:rFonts w:ascii="Cambria" w:hAnsi="Cambria"/>
                              <w:b/>
                              <w:bCs/>
                            </w:rPr>
                          </w:pPr>
                          <w:bookmarkStart w:id="1296" w:name="__UnoMark__23404_1935607046"/>
                          <w:bookmarkEnd w:id="1296"/>
                        </w:p>
                      </w:tc>
                      <w:tc>
                        <w:tcPr>
                          <w:tcW w:w="1400" w:type="dxa"/>
                          <w:vMerge w:val="restart"/>
                          <w:tcBorders>
                            <w:bottom w:val="single" w:sz="4" w:space="0" w:color="4F81BD"/>
                          </w:tcBorders>
                          <w:shd w:val="clear" w:color="auto" w:fill="auto"/>
                          <w:vAlign w:val="center"/>
                        </w:tcPr>
                        <w:p w:rsidR="008F0D85" w:rsidRDefault="00AE42A1">
                          <w:pPr>
                            <w:pStyle w:val="Bezproreda"/>
                          </w:pPr>
                          <w:bookmarkStart w:id="1297" w:name="__UnoMark__23405_1935607046"/>
                          <w:bookmarkEnd w:id="1297"/>
                          <w:r>
                            <w:rPr>
                              <w:bCs/>
                              <w:sz w:val="20"/>
                            </w:rPr>
                            <w:t xml:space="preserve">Stranica </w:t>
                          </w:r>
                          <w:r>
                            <w:rPr>
                              <w:bCs/>
                              <w:sz w:val="20"/>
                            </w:rPr>
                            <w:fldChar w:fldCharType="begin"/>
                          </w:r>
                          <w:r>
                            <w:instrText>PAGE</w:instrText>
                          </w:r>
                          <w:r>
                            <w:fldChar w:fldCharType="separate"/>
                          </w:r>
                          <w:r>
                            <w:t>210</w:t>
                          </w:r>
                          <w:r>
                            <w:fldChar w:fldCharType="end"/>
                          </w:r>
                          <w:bookmarkStart w:id="1298" w:name="__UnoMark__23406_1935607046"/>
                          <w:bookmarkEnd w:id="1298"/>
                          <w:r>
                            <w:rPr>
                              <w:b/>
                              <w:bCs/>
                              <w:sz w:val="20"/>
                            </w:rPr>
                            <w:t xml:space="preserve">                     </w:t>
                          </w:r>
                        </w:p>
                      </w:tc>
                      <w:tc>
                        <w:tcPr>
                          <w:tcW w:w="6302" w:type="dxa"/>
                          <w:tcBorders>
                            <w:bottom w:val="single" w:sz="4" w:space="0" w:color="4F81BD"/>
                          </w:tcBorders>
                          <w:shd w:val="clear" w:color="auto" w:fill="auto"/>
                        </w:tcPr>
                        <w:p w:rsidR="008F0D85" w:rsidRDefault="008F0D85">
                          <w:pPr>
                            <w:pStyle w:val="Zaglavlje"/>
                            <w:rPr>
                              <w:rFonts w:ascii="Cambria" w:hAnsi="Cambria"/>
                              <w:b/>
                              <w:bCs/>
                            </w:rPr>
                          </w:pPr>
                          <w:bookmarkStart w:id="1299" w:name="__UnoMark__23407_1935607046"/>
                          <w:bookmarkStart w:id="1300" w:name="__UnoMark__23408_1935607046"/>
                          <w:bookmarkEnd w:id="1299"/>
                          <w:bookmarkEnd w:id="1300"/>
                        </w:p>
                      </w:tc>
                    </w:tr>
                    <w:tr w:rsidR="008F0D85">
                      <w:trPr>
                        <w:trHeight w:val="150"/>
                      </w:trPr>
                      <w:tc>
                        <w:tcPr>
                          <w:tcW w:w="6301"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301" w:name="__UnoMark__23409_1935607046"/>
                          <w:bookmarkStart w:id="1302" w:name="__UnoMark__23410_1935607046"/>
                          <w:bookmarkEnd w:id="1301"/>
                          <w:bookmarkEnd w:id="1302"/>
                        </w:p>
                      </w:tc>
                      <w:tc>
                        <w:tcPr>
                          <w:tcW w:w="1400"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1303" w:name="__UnoMark__23411_1935607046"/>
                          <w:bookmarkStart w:id="1304" w:name="__UnoMark__23412_1935607046"/>
                          <w:bookmarkEnd w:id="1303"/>
                          <w:bookmarkEnd w:id="1304"/>
                        </w:p>
                      </w:tc>
                      <w:tc>
                        <w:tcPr>
                          <w:tcW w:w="6302"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305" w:name="__UnoMark__23413_1935607046"/>
                          <w:bookmarkEnd w:id="1305"/>
                        </w:p>
                      </w:tc>
                    </w:tr>
                  </w:tbl>
                  <w:p w:rsidR="00000000" w:rsidRDefault="00AE42A1"/>
                </w:txbxContent>
              </v:textbox>
              <w10:wrap type="square"/>
            </v:rect>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Podnoje"/>
    </w:pPr>
    <w:r>
      <w:rPr>
        <w:noProof/>
      </w:rPr>
      <mc:AlternateContent>
        <mc:Choice Requires="wps">
          <w:drawing>
            <wp:anchor distT="0" distB="0" distL="118745" distR="118745" simplePos="0" relativeHeight="215" behindDoc="1" locked="0" layoutInCell="1" allowOverlap="1">
              <wp:simplePos x="0" y="0"/>
              <wp:positionH relativeFrom="column">
                <wp:posOffset>-68580</wp:posOffset>
              </wp:positionH>
              <wp:positionV relativeFrom="paragraph">
                <wp:posOffset>635</wp:posOffset>
              </wp:positionV>
              <wp:extent cx="5759450" cy="368935"/>
              <wp:effectExtent l="0" t="0" r="0" b="0"/>
              <wp:wrapSquare wrapText="bothSides"/>
              <wp:docPr id="123" name="Okvir9"/>
              <wp:cNvGraphicFramePr/>
              <a:graphic xmlns:a="http://schemas.openxmlformats.org/drawingml/2006/main">
                <a:graphicData uri="http://schemas.microsoft.com/office/word/2010/wordprocessingShape">
                  <wps:wsp>
                    <wps:cNvSpPr/>
                    <wps:spPr>
                      <a:xfrm>
                        <a:off x="0" y="0"/>
                        <a:ext cx="5758920" cy="368280"/>
                      </a:xfrm>
                      <a:prstGeom prst="rect">
                        <a:avLst/>
                      </a:prstGeom>
                      <a:noFill/>
                      <a:ln>
                        <a:noFill/>
                      </a:ln>
                    </wps:spPr>
                    <wps:style>
                      <a:lnRef idx="0">
                        <a:scrgbClr r="0" g="0" b="0"/>
                      </a:lnRef>
                      <a:fillRef idx="0">
                        <a:scrgbClr r="0" g="0" b="0"/>
                      </a:fillRef>
                      <a:effectRef idx="0">
                        <a:scrgbClr r="0" g="0" b="0"/>
                      </a:effectRef>
                      <a:fontRef idx="minor"/>
                    </wps:style>
                    <wps:txbx>
                      <w:txbxContent>
                        <w:tbl>
                          <w:tblPr>
                            <w:tblW w:w="5000" w:type="pct"/>
                            <w:tblBorders>
                              <w:bottom w:val="single" w:sz="4" w:space="0" w:color="4F81BD"/>
                              <w:insideH w:val="single" w:sz="4" w:space="0" w:color="4F81BD"/>
                            </w:tblBorders>
                            <w:tblLook w:val="00A0" w:firstRow="1" w:lastRow="0" w:firstColumn="1" w:lastColumn="0" w:noHBand="0" w:noVBand="0"/>
                          </w:tblPr>
                          <w:tblGrid>
                            <w:gridCol w:w="3882"/>
                            <w:gridCol w:w="1212"/>
                            <w:gridCol w:w="3991"/>
                          </w:tblGrid>
                          <w:tr w:rsidR="008F0D85">
                            <w:trPr>
                              <w:trHeight w:val="151"/>
                            </w:trPr>
                            <w:tc>
                              <w:tcPr>
                                <w:tcW w:w="3876" w:type="dxa"/>
                                <w:tcBorders>
                                  <w:bottom w:val="single" w:sz="4" w:space="0" w:color="4F81BD"/>
                                </w:tcBorders>
                                <w:shd w:val="clear" w:color="auto" w:fill="auto"/>
                              </w:tcPr>
                              <w:p w:rsidR="008F0D85" w:rsidRDefault="008F0D85">
                                <w:pPr>
                                  <w:pStyle w:val="Zaglavlje"/>
                                  <w:rPr>
                                    <w:rFonts w:ascii="Cambria" w:hAnsi="Cambria"/>
                                    <w:b/>
                                    <w:bCs/>
                                  </w:rPr>
                                </w:pPr>
                                <w:bookmarkStart w:id="1338" w:name="__UnoMark__23859_1935607046"/>
                                <w:bookmarkEnd w:id="1338"/>
                              </w:p>
                            </w:tc>
                            <w:tc>
                              <w:tcPr>
                                <w:tcW w:w="1210" w:type="dxa"/>
                                <w:vMerge w:val="restart"/>
                                <w:tcBorders>
                                  <w:bottom w:val="single" w:sz="4" w:space="0" w:color="4F81BD"/>
                                </w:tcBorders>
                                <w:shd w:val="clear" w:color="auto" w:fill="auto"/>
                                <w:vAlign w:val="center"/>
                              </w:tcPr>
                              <w:p w:rsidR="008F0D85" w:rsidRDefault="00AE42A1">
                                <w:pPr>
                                  <w:pStyle w:val="Bezproreda"/>
                                </w:pPr>
                                <w:bookmarkStart w:id="1339" w:name="__UnoMark__23860_1935607046"/>
                                <w:bookmarkEnd w:id="1339"/>
                                <w:r>
                                  <w:rPr>
                                    <w:bCs/>
                                    <w:sz w:val="20"/>
                                  </w:rPr>
                                  <w:t xml:space="preserve">Stranica </w:t>
                                </w:r>
                                <w:r>
                                  <w:rPr>
                                    <w:bCs/>
                                    <w:sz w:val="20"/>
                                  </w:rPr>
                                  <w:fldChar w:fldCharType="begin"/>
                                </w:r>
                                <w:r>
                                  <w:instrText>PAGE</w:instrText>
                                </w:r>
                                <w:r>
                                  <w:fldChar w:fldCharType="separate"/>
                                </w:r>
                                <w:r>
                                  <w:t>215</w:t>
                                </w:r>
                                <w:r>
                                  <w:fldChar w:fldCharType="end"/>
                                </w:r>
                                <w:bookmarkStart w:id="1340" w:name="__UnoMark__23861_1935607046"/>
                                <w:bookmarkEnd w:id="1340"/>
                                <w:r>
                                  <w:rPr>
                                    <w:b/>
                                    <w:bCs/>
                                    <w:sz w:val="20"/>
                                  </w:rPr>
                                  <w:t xml:space="preserve">                     </w:t>
                                </w:r>
                              </w:p>
                            </w:tc>
                            <w:tc>
                              <w:tcPr>
                                <w:tcW w:w="3985" w:type="dxa"/>
                                <w:tcBorders>
                                  <w:bottom w:val="single" w:sz="4" w:space="0" w:color="4F81BD"/>
                                </w:tcBorders>
                                <w:shd w:val="clear" w:color="auto" w:fill="auto"/>
                              </w:tcPr>
                              <w:p w:rsidR="008F0D85" w:rsidRDefault="008F0D85">
                                <w:pPr>
                                  <w:pStyle w:val="Zaglavlje"/>
                                  <w:rPr>
                                    <w:rFonts w:ascii="Cambria" w:hAnsi="Cambria"/>
                                    <w:b/>
                                    <w:bCs/>
                                  </w:rPr>
                                </w:pPr>
                                <w:bookmarkStart w:id="1341" w:name="__UnoMark__23862_1935607046"/>
                                <w:bookmarkStart w:id="1342" w:name="__UnoMark__23863_1935607046"/>
                                <w:bookmarkEnd w:id="1341"/>
                                <w:bookmarkEnd w:id="1342"/>
                              </w:p>
                            </w:tc>
                          </w:tr>
                          <w:tr w:rsidR="008F0D85">
                            <w:trPr>
                              <w:trHeight w:val="150"/>
                            </w:trPr>
                            <w:tc>
                              <w:tcPr>
                                <w:tcW w:w="3876"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343" w:name="__UnoMark__23864_1935607046"/>
                                <w:bookmarkStart w:id="1344" w:name="__UnoMark__23865_1935607046"/>
                                <w:bookmarkEnd w:id="1343"/>
                                <w:bookmarkEnd w:id="1344"/>
                              </w:p>
                            </w:tc>
                            <w:tc>
                              <w:tcPr>
                                <w:tcW w:w="1210"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1345" w:name="__UnoMark__23866_1935607046"/>
                                <w:bookmarkStart w:id="1346" w:name="__UnoMark__23867_1935607046"/>
                                <w:bookmarkEnd w:id="1345"/>
                                <w:bookmarkEnd w:id="1346"/>
                              </w:p>
                            </w:tc>
                            <w:tc>
                              <w:tcPr>
                                <w:tcW w:w="3985"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347" w:name="__UnoMark__23868_1935607046"/>
                                <w:bookmarkEnd w:id="1347"/>
                              </w:p>
                            </w:tc>
                          </w:tr>
                        </w:tbl>
                        <w:p w:rsidR="00000000" w:rsidRDefault="00AE42A1"/>
                      </w:txbxContent>
                    </wps:txbx>
                    <wps:bodyPr lIns="0" tIns="0" rIns="0" bIns="0">
                      <a:spAutoFit/>
                    </wps:bodyPr>
                  </wps:wsp>
                </a:graphicData>
              </a:graphic>
              <wp14:sizeRelH relativeFrom="margin">
                <wp14:pctWidth>100000</wp14:pctWidth>
              </wp14:sizeRelH>
            </wp:anchor>
          </w:drawing>
        </mc:Choice>
        <mc:Fallback>
          <w:pict>
            <v:rect id="Okvir9" o:spid="_x0000_s1034" style="position:absolute;left:0;text-align:left;margin-left:-5.4pt;margin-top:.05pt;width:453.5pt;height:29.05pt;z-index:-503316265;visibility:visible;mso-wrap-style:square;mso-width-percent:1000;mso-wrap-distance-left:9.35pt;mso-wrap-distance-top:0;mso-wrap-distance-right:9.35pt;mso-wrap-distance-bottom:0;mso-position-horizontal:absolute;mso-position-horizontal-relative:text;mso-position-vertical:absolute;mso-position-vertical-relative:text;mso-width-percent:100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" filled="f" stroked="f">
              <v:textbox style="mso-fit-shape-to-text:t" inset="0,0,0,0">
                <w:txbxContent>
                  <w:tbl>
                    <w:tblPr>
                      <w:tblW w:w="5000" w:type="pct"/>
                      <w:tblBorders>
                        <w:bottom w:val="single" w:sz="4" w:space="0" w:color="4F81BD"/>
                        <w:insideH w:val="single" w:sz="4" w:space="0" w:color="4F81BD"/>
                      </w:tblBorders>
                      <w:tblLook w:val="00A0" w:firstRow="1" w:lastRow="0" w:firstColumn="1" w:lastColumn="0" w:noHBand="0" w:noVBand="0"/>
                    </w:tblPr>
                    <w:tblGrid>
                      <w:gridCol w:w="3882"/>
                      <w:gridCol w:w="1212"/>
                      <w:gridCol w:w="3991"/>
                    </w:tblGrid>
                    <w:tr w:rsidR="008F0D85">
                      <w:trPr>
                        <w:trHeight w:val="151"/>
                      </w:trPr>
                      <w:tc>
                        <w:tcPr>
                          <w:tcW w:w="3876" w:type="dxa"/>
                          <w:tcBorders>
                            <w:bottom w:val="single" w:sz="4" w:space="0" w:color="4F81BD"/>
                          </w:tcBorders>
                          <w:shd w:val="clear" w:color="auto" w:fill="auto"/>
                        </w:tcPr>
                        <w:p w:rsidR="008F0D85" w:rsidRDefault="008F0D85">
                          <w:pPr>
                            <w:pStyle w:val="Zaglavlje"/>
                            <w:rPr>
                              <w:rFonts w:ascii="Cambria" w:hAnsi="Cambria"/>
                              <w:b/>
                              <w:bCs/>
                            </w:rPr>
                          </w:pPr>
                          <w:bookmarkStart w:id="1348" w:name="__UnoMark__23859_1935607046"/>
                          <w:bookmarkEnd w:id="1348"/>
                        </w:p>
                      </w:tc>
                      <w:tc>
                        <w:tcPr>
                          <w:tcW w:w="1210" w:type="dxa"/>
                          <w:vMerge w:val="restart"/>
                          <w:tcBorders>
                            <w:bottom w:val="single" w:sz="4" w:space="0" w:color="4F81BD"/>
                          </w:tcBorders>
                          <w:shd w:val="clear" w:color="auto" w:fill="auto"/>
                          <w:vAlign w:val="center"/>
                        </w:tcPr>
                        <w:p w:rsidR="008F0D85" w:rsidRDefault="00AE42A1">
                          <w:pPr>
                            <w:pStyle w:val="Bezproreda"/>
                          </w:pPr>
                          <w:bookmarkStart w:id="1349" w:name="__UnoMark__23860_1935607046"/>
                          <w:bookmarkEnd w:id="1349"/>
                          <w:r>
                            <w:rPr>
                              <w:bCs/>
                              <w:sz w:val="20"/>
                            </w:rPr>
                            <w:t xml:space="preserve">Stranica </w:t>
                          </w:r>
                          <w:r>
                            <w:rPr>
                              <w:bCs/>
                              <w:sz w:val="20"/>
                            </w:rPr>
                            <w:fldChar w:fldCharType="begin"/>
                          </w:r>
                          <w:r>
                            <w:instrText>PAGE</w:instrText>
                          </w:r>
                          <w:r>
                            <w:fldChar w:fldCharType="separate"/>
                          </w:r>
                          <w:r>
                            <w:t>215</w:t>
                          </w:r>
                          <w:r>
                            <w:fldChar w:fldCharType="end"/>
                          </w:r>
                          <w:bookmarkStart w:id="1350" w:name="__UnoMark__23861_1935607046"/>
                          <w:bookmarkEnd w:id="1350"/>
                          <w:r>
                            <w:rPr>
                              <w:b/>
                              <w:bCs/>
                              <w:sz w:val="20"/>
                            </w:rPr>
                            <w:t xml:space="preserve">                     </w:t>
                          </w:r>
                        </w:p>
                      </w:tc>
                      <w:tc>
                        <w:tcPr>
                          <w:tcW w:w="3985" w:type="dxa"/>
                          <w:tcBorders>
                            <w:bottom w:val="single" w:sz="4" w:space="0" w:color="4F81BD"/>
                          </w:tcBorders>
                          <w:shd w:val="clear" w:color="auto" w:fill="auto"/>
                        </w:tcPr>
                        <w:p w:rsidR="008F0D85" w:rsidRDefault="008F0D85">
                          <w:pPr>
                            <w:pStyle w:val="Zaglavlje"/>
                            <w:rPr>
                              <w:rFonts w:ascii="Cambria" w:hAnsi="Cambria"/>
                              <w:b/>
                              <w:bCs/>
                            </w:rPr>
                          </w:pPr>
                          <w:bookmarkStart w:id="1351" w:name="__UnoMark__23862_1935607046"/>
                          <w:bookmarkStart w:id="1352" w:name="__UnoMark__23863_1935607046"/>
                          <w:bookmarkEnd w:id="1351"/>
                          <w:bookmarkEnd w:id="1352"/>
                        </w:p>
                      </w:tc>
                    </w:tr>
                    <w:tr w:rsidR="008F0D85">
                      <w:trPr>
                        <w:trHeight w:val="150"/>
                      </w:trPr>
                      <w:tc>
                        <w:tcPr>
                          <w:tcW w:w="3876"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353" w:name="__UnoMark__23864_1935607046"/>
                          <w:bookmarkStart w:id="1354" w:name="__UnoMark__23865_1935607046"/>
                          <w:bookmarkEnd w:id="1353"/>
                          <w:bookmarkEnd w:id="1354"/>
                        </w:p>
                      </w:tc>
                      <w:tc>
                        <w:tcPr>
                          <w:tcW w:w="1210" w:type="dxa"/>
                          <w:vMerge/>
                          <w:tcBorders>
                            <w:top w:val="single" w:sz="4" w:space="0" w:color="4F81BD"/>
                            <w:bottom w:val="single" w:sz="4" w:space="0" w:color="4F81BD"/>
                          </w:tcBorders>
                          <w:shd w:val="clear" w:color="auto" w:fill="auto"/>
                        </w:tcPr>
                        <w:p w:rsidR="008F0D85" w:rsidRDefault="008F0D85">
                          <w:pPr>
                            <w:pStyle w:val="Zaglavlje"/>
                            <w:jc w:val="center"/>
                            <w:rPr>
                              <w:rFonts w:ascii="Cambria" w:hAnsi="Cambria"/>
                              <w:b/>
                              <w:bCs/>
                            </w:rPr>
                          </w:pPr>
                          <w:bookmarkStart w:id="1355" w:name="__UnoMark__23866_1935607046"/>
                          <w:bookmarkStart w:id="1356" w:name="__UnoMark__23867_1935607046"/>
                          <w:bookmarkEnd w:id="1355"/>
                          <w:bookmarkEnd w:id="1356"/>
                        </w:p>
                      </w:tc>
                      <w:tc>
                        <w:tcPr>
                          <w:tcW w:w="3985" w:type="dxa"/>
                          <w:tcBorders>
                            <w:top w:val="single" w:sz="4" w:space="0" w:color="4F81BD"/>
                            <w:bottom w:val="single" w:sz="4" w:space="0" w:color="4F81BD"/>
                          </w:tcBorders>
                          <w:shd w:val="clear" w:color="auto" w:fill="auto"/>
                        </w:tcPr>
                        <w:p w:rsidR="008F0D85" w:rsidRDefault="008F0D85">
                          <w:pPr>
                            <w:pStyle w:val="Zaglavlje"/>
                            <w:rPr>
                              <w:rFonts w:ascii="Cambria" w:hAnsi="Cambria"/>
                              <w:b/>
                              <w:bCs/>
                            </w:rPr>
                          </w:pPr>
                          <w:bookmarkStart w:id="1357" w:name="__UnoMark__23868_1935607046"/>
                          <w:bookmarkEnd w:id="1357"/>
                        </w:p>
                      </w:tc>
                    </w:tr>
                  </w:tbl>
                  <w:p w:rsidR="00000000" w:rsidRDefault="00AE42A1"/>
                </w:txbxContent>
              </v:textbox>
              <w10:wrap type="squar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E42A1" w:rsidRDefault="00AE42A1">
      <w:r>
        <w:separator/>
      </w:r>
    </w:p>
  </w:footnote>
  <w:footnote w:type="continuationSeparator" w:id="0">
    <w:p w:rsidR="00AE42A1" w:rsidRDefault="00AE42A1">
      <w:r>
        <w:continuationSeparator/>
      </w:r>
    </w:p>
  </w:footnote>
  <w:footnote w:id="1">
    <w:p w:rsidR="008F0D85" w:rsidRDefault="00AE42A1">
      <w:pPr>
        <w:pStyle w:val="Tekstfusnote"/>
      </w:pPr>
      <w:bookmarkStart w:id="214" w:name="_Hlk483826911"/>
      <w:bookmarkEnd w:id="214"/>
      <w:r>
        <w:rPr>
          <w:rStyle w:val="Referencafusnote"/>
        </w:rPr>
        <w:footnoteRef/>
      </w:r>
      <w:r>
        <w:rPr>
          <w:rStyle w:val="Referencafusnote"/>
        </w:rPr>
        <w:tab/>
      </w:r>
      <w:r>
        <w:rPr>
          <w:rStyle w:val="Referencafusnote"/>
        </w:rPr>
        <w:tab/>
      </w:r>
      <w:r>
        <w:rPr>
          <w:rStyle w:val="Referencafusnote"/>
        </w:rPr>
        <w:tab/>
      </w:r>
      <w:r>
        <w:rPr>
          <w:rStyle w:val="Referencafusnote"/>
        </w:rPr>
        <w:tab/>
      </w:r>
      <w:r>
        <w:t xml:space="preserve"> 1 NUTS -  statističke prostorne jedinice u EU definirane od strane Eurostata – Europskog statističkog ureda. Postoji NUTS 1, NUTS 2 i NUTS 3 razina. U EU je na NUTS 3 razini ukupno 1.342 regije, od čega u Hrvatskoj 21 regija, koje prostorno odgovaraju gra</w:t>
      </w:r>
      <w:r>
        <w:t>du Zagrebu i 20 županija.</w:t>
      </w:r>
    </w:p>
    <w:bookmarkStart w:id="215" w:name="_Hlk4838269111"/>
    <w:bookmarkEnd w:id="215"/>
  </w:footnote>
  <w:footnote w:id="2">
    <w:p w:rsidR="008F0D85" w:rsidRDefault="00AE42A1">
      <w:pPr>
        <w:pStyle w:val="Tekstfusnote"/>
      </w:pPr>
      <w:bookmarkStart w:id="611" w:name="_Hlk4838269111"/>
      <w:bookmarkEnd w:id="611"/>
      <w:r>
        <w:rPr>
          <w:rStyle w:val="Referencafusnote"/>
        </w:rPr>
        <w:footnoteRef/>
      </w:r>
      <w:r>
        <w:rPr>
          <w:rStyle w:val="Referencafusnote"/>
        </w:rPr>
        <w:tab/>
      </w:r>
      <w:r>
        <w:rPr>
          <w:rStyle w:val="Referencafusnote"/>
        </w:rPr>
        <w:tab/>
      </w:r>
      <w:r>
        <w:rPr>
          <w:rStyle w:val="Referencafusnote"/>
        </w:rPr>
        <w:tab/>
      </w:r>
      <w:r>
        <w:rPr>
          <w:rStyle w:val="Referencafusnote"/>
        </w:rPr>
        <w:tab/>
      </w:r>
      <w:r>
        <w:t xml:space="preserve"> Podaci preuzeti sa stranica HDMZ-a</w:t>
      </w:r>
    </w:p>
    <w:bookmarkStart w:id="612" w:name="_Hlk4838269112"/>
    <w:bookmarkEnd w:id="612"/>
  </w:footnote>
  <w:footnote w:id="3">
    <w:p w:rsidR="008F0D85" w:rsidRDefault="00AE42A1">
      <w:pPr>
        <w:pStyle w:val="Tekstfusnote"/>
      </w:pPr>
      <w:bookmarkStart w:id="639" w:name="_Hlk4838269112"/>
      <w:bookmarkEnd w:id="639"/>
      <w:r>
        <w:rPr>
          <w:rStyle w:val="Referencafusnote"/>
        </w:rPr>
        <w:footnoteRef/>
      </w:r>
      <w:r>
        <w:rPr>
          <w:rStyle w:val="Referencafusnote"/>
        </w:rPr>
        <w:tab/>
      </w:r>
      <w:r>
        <w:rPr>
          <w:rStyle w:val="Referencafusnote"/>
        </w:rPr>
        <w:tab/>
      </w:r>
      <w:r>
        <w:rPr>
          <w:rStyle w:val="Referencafusnote"/>
        </w:rPr>
        <w:tab/>
      </w:r>
      <w:r>
        <w:rPr>
          <w:rStyle w:val="Referencafusnote"/>
        </w:rPr>
        <w:tab/>
      </w:r>
      <w:r>
        <w:t xml:space="preserve"> European Center for Medium range Weather Forecasting – europski centar za srednjoročne prognoze</w:t>
      </w:r>
    </w:p>
    <w:bookmarkStart w:id="640" w:name="_Hlk4838269113"/>
    <w:bookmarkEnd w:id="640"/>
  </w:footnote>
  <w:footnote w:id="4">
    <w:p w:rsidR="008F0D85" w:rsidRDefault="00AE42A1">
      <w:pPr>
        <w:pStyle w:val="Tekstfusnote"/>
      </w:pPr>
      <w:bookmarkStart w:id="821" w:name="_Hlk4838269113"/>
      <w:bookmarkEnd w:id="821"/>
      <w:r>
        <w:rPr>
          <w:rStyle w:val="Referencafusnote"/>
        </w:rPr>
        <w:footnoteRef/>
      </w:r>
      <w:r>
        <w:rPr>
          <w:rStyle w:val="Referencafusnote"/>
        </w:rPr>
        <w:tab/>
      </w:r>
      <w:r>
        <w:rPr>
          <w:rStyle w:val="Referencafusnote"/>
        </w:rPr>
        <w:tab/>
      </w:r>
      <w:r>
        <w:rPr>
          <w:rStyle w:val="Referencafusnote"/>
        </w:rPr>
        <w:tab/>
      </w:r>
      <w:r>
        <w:rPr>
          <w:rStyle w:val="Referencafusnote"/>
        </w:rPr>
        <w:tab/>
      </w:r>
      <w:r>
        <w:t xml:space="preserve"> Medvedev – Sponheuer Karnik (MSK ili MSK-64) je ljestvica korištena za procjenu p</w:t>
      </w:r>
      <w:r>
        <w:t>otresa na temelju promatranih učinaka u području pojave potresa.</w:t>
      </w:r>
    </w:p>
    <w:bookmarkStart w:id="822" w:name="_Hlk4838269114"/>
    <w:bookmarkEnd w:id="822"/>
  </w:footnote>
  <w:footnote w:id="5">
    <w:p w:rsidR="008F0D85" w:rsidRDefault="00AE42A1">
      <w:pPr>
        <w:pStyle w:val="Tekstfusnote"/>
      </w:pPr>
      <w:bookmarkStart w:id="953" w:name="_Hlk4838269114"/>
      <w:bookmarkEnd w:id="953"/>
      <w:r>
        <w:rPr>
          <w:rStyle w:val="Referencafusnote"/>
          <w:i/>
          <w:sz w:val="18"/>
        </w:rPr>
        <w:footnoteRef/>
      </w:r>
      <w:r>
        <w:rPr>
          <w:rStyle w:val="Referencafusnote"/>
          <w:i/>
          <w:sz w:val="18"/>
        </w:rPr>
        <w:tab/>
      </w:r>
      <w:r>
        <w:rPr>
          <w:rStyle w:val="Referencafusnote"/>
          <w:i/>
          <w:sz w:val="18"/>
        </w:rPr>
        <w:tab/>
      </w:r>
      <w:r>
        <w:rPr>
          <w:rStyle w:val="Referencafusnote"/>
          <w:i/>
          <w:sz w:val="18"/>
        </w:rPr>
        <w:tab/>
      </w:r>
      <w:r>
        <w:rPr>
          <w:rStyle w:val="Referencafusnote"/>
          <w:i/>
          <w:sz w:val="18"/>
        </w:rPr>
        <w:tab/>
      </w:r>
      <w:r>
        <w:rPr>
          <w:i/>
          <w:sz w:val="18"/>
        </w:rPr>
        <w:t xml:space="preserve"> USACE vidi FEMA IS-632</w:t>
      </w:r>
    </w:p>
    <w:bookmarkStart w:id="954" w:name="_Hlk4838269115"/>
    <w:bookmarkEnd w:id="954"/>
  </w:footnote>
  <w:footnote w:id="6">
    <w:p w:rsidR="008F0D85" w:rsidRDefault="00AE42A1">
      <w:pPr>
        <w:pStyle w:val="Tekstfusnote1"/>
      </w:pPr>
      <w:bookmarkStart w:id="956" w:name="_Hlk4838269115"/>
      <w:bookmarkEnd w:id="956"/>
      <w:r>
        <w:rPr>
          <w:rStyle w:val="Referencafusnote"/>
        </w:rPr>
        <w:footnoteRef/>
      </w:r>
      <w:r>
        <w:rPr>
          <w:rStyle w:val="Referencafusnote"/>
        </w:rPr>
        <w:tab/>
      </w:r>
      <w:r>
        <w:rPr>
          <w:rStyle w:val="Referencafusnote"/>
        </w:rPr>
        <w:tab/>
      </w:r>
      <w:r>
        <w:rPr>
          <w:rStyle w:val="Referencafusnote"/>
        </w:rPr>
        <w:tab/>
      </w:r>
      <w:r>
        <w:rPr>
          <w:rStyle w:val="Referencafusnote"/>
        </w:rPr>
        <w:tab/>
      </w:r>
      <w:r>
        <w:rPr>
          <w:rStyle w:val="Zadanifontodlomka1"/>
          <w:i/>
          <w:sz w:val="18"/>
        </w:rPr>
        <w:t xml:space="preserve"> B. D. Phillips: Disaster recovery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Zaglavlje"/>
      <w:spacing w:line="276" w:lineRule="auto"/>
      <w:jc w:val="center"/>
      <w:rPr>
        <w:i/>
        <w:sz w:val="20"/>
      </w:rPr>
    </w:pPr>
    <w:r>
      <w:rPr>
        <w:i/>
        <w:sz w:val="20"/>
      </w:rPr>
      <w:t xml:space="preserve">Procjena rizika od velikih nesreća za Općinu </w:t>
    </w:r>
    <w:r>
      <w:rPr>
        <w:i/>
        <w:sz w:val="20"/>
      </w:rPr>
      <w:t>Kloštar Podravski</w:t>
    </w:r>
  </w:p>
  <w:p w:rsidR="008F0D85" w:rsidRDefault="008F0D85">
    <w:pPr>
      <w:pStyle w:val="Zaglavlje"/>
      <w:spacing w:line="276" w:lineRule="aut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Zaglavlje"/>
      <w:spacing w:line="276" w:lineRule="auto"/>
      <w:jc w:val="center"/>
    </w:pPr>
    <w:r>
      <w:rPr>
        <w:i/>
        <w:sz w:val="20"/>
      </w:rPr>
      <w:t xml:space="preserve">Procjena rizika od velikih nesreća za Općinu Kloštar </w:t>
    </w:r>
    <w:r>
      <w:rPr>
        <w:i/>
        <w:sz w:val="20"/>
      </w:rPr>
      <w:t>Podravski</w:t>
    </w:r>
  </w:p>
  <w:p w:rsidR="008F0D85" w:rsidRDefault="008F0D85">
    <w:pPr>
      <w:pStyle w:val="Zaglavlje"/>
      <w:spacing w:line="276" w:lineRule="aut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Zaglavlje"/>
      <w:spacing w:line="276" w:lineRule="auto"/>
      <w:jc w:val="center"/>
    </w:pPr>
    <w:r>
      <w:rPr>
        <w:i/>
        <w:sz w:val="20"/>
      </w:rPr>
      <w:t>Procjena rizika od velikih nesre</w:t>
    </w:r>
    <w:r>
      <w:rPr>
        <w:i/>
        <w:sz w:val="20"/>
      </w:rPr>
      <w:t>ća za Općinu Kloštar Podravski</w:t>
    </w:r>
  </w:p>
  <w:p w:rsidR="008F0D85" w:rsidRDefault="008F0D85">
    <w:pPr>
      <w:pStyle w:val="Zaglavlje"/>
      <w:spacing w:line="276"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Zaglavlje"/>
      <w:spacing w:line="276" w:lineRule="auto"/>
      <w:jc w:val="center"/>
    </w:pPr>
    <w:r>
      <w:rPr>
        <w:i/>
        <w:sz w:val="20"/>
      </w:rPr>
      <w:t>Procjena rizika od velikih nesreća za Općinu Kloštar Podravski</w:t>
    </w:r>
  </w:p>
  <w:p w:rsidR="008F0D85" w:rsidRDefault="008F0D85">
    <w:pPr>
      <w:pStyle w:val="Zaglavlje"/>
      <w:spacing w:line="276" w:lineRule="aut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Zaglavlje"/>
      <w:spacing w:line="276" w:lineRule="auto"/>
      <w:jc w:val="center"/>
    </w:pPr>
    <w:r>
      <w:rPr>
        <w:i/>
        <w:sz w:val="20"/>
      </w:rPr>
      <w:t>Procjena rizika od velikih nesreća za Općinu Kloštar Podravski</w:t>
    </w:r>
  </w:p>
  <w:p w:rsidR="008F0D85" w:rsidRDefault="008F0D85">
    <w:pPr>
      <w:pStyle w:val="Zaglavlje"/>
      <w:spacing w:line="276"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Zaglavlje"/>
      <w:spacing w:line="276" w:lineRule="auto"/>
      <w:jc w:val="center"/>
    </w:pPr>
    <w:r>
      <w:rPr>
        <w:i/>
        <w:sz w:val="20"/>
      </w:rPr>
      <w:t xml:space="preserve">Procjena rizika od velikih nesreća za </w:t>
    </w:r>
    <w:r>
      <w:rPr>
        <w:i/>
        <w:sz w:val="20"/>
      </w:rPr>
      <w:t>Općinu Kloštar Podravski</w:t>
    </w:r>
  </w:p>
  <w:p w:rsidR="008F0D85" w:rsidRDefault="008F0D85">
    <w:pPr>
      <w:pStyle w:val="Zaglavlje"/>
      <w:spacing w:line="276" w:lineRule="aut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Zaglavlje"/>
      <w:spacing w:line="276" w:lineRule="auto"/>
      <w:jc w:val="center"/>
    </w:pPr>
    <w:r>
      <w:rPr>
        <w:i/>
        <w:sz w:val="20"/>
      </w:rPr>
      <w:t xml:space="preserve">Procjena </w:t>
    </w:r>
    <w:r>
      <w:rPr>
        <w:i/>
        <w:sz w:val="20"/>
      </w:rPr>
      <w:t>rizika od velikih nesreća za Općinu Kloštar Podravski</w:t>
    </w:r>
  </w:p>
  <w:p w:rsidR="008F0D85" w:rsidRDefault="008F0D85">
    <w:pPr>
      <w:pStyle w:val="Zaglavlje"/>
      <w:spacing w:line="276" w:lineRule="aut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Zaglavlje"/>
      <w:spacing w:line="276" w:lineRule="auto"/>
      <w:jc w:val="center"/>
    </w:pPr>
    <w:r>
      <w:rPr>
        <w:i/>
        <w:sz w:val="20"/>
      </w:rPr>
      <w:t>Procjena rizika od velikih nesreća za Općinu Kloštar Podravski</w:t>
    </w:r>
  </w:p>
  <w:p w:rsidR="008F0D85" w:rsidRDefault="008F0D85">
    <w:pPr>
      <w:pStyle w:val="Zaglavlje"/>
      <w:spacing w:line="276" w:lineRule="aut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Zaglavlje"/>
      <w:spacing w:line="276" w:lineRule="auto"/>
      <w:jc w:val="center"/>
    </w:pPr>
    <w:r>
      <w:rPr>
        <w:i/>
        <w:sz w:val="20"/>
      </w:rPr>
      <w:t xml:space="preserve">Procjena rizika od velikih nesreća za Općinu </w:t>
    </w:r>
    <w:r>
      <w:rPr>
        <w:i/>
        <w:sz w:val="20"/>
      </w:rPr>
      <w:t>Kloštar Podravski</w:t>
    </w:r>
  </w:p>
  <w:p w:rsidR="008F0D85" w:rsidRDefault="008F0D85">
    <w:pPr>
      <w:pStyle w:val="Zaglavlje"/>
      <w:spacing w:line="276" w:lineRule="aut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Zaglavlje"/>
      <w:spacing w:line="276" w:lineRule="auto"/>
      <w:jc w:val="center"/>
    </w:pPr>
    <w:r>
      <w:rPr>
        <w:i/>
        <w:sz w:val="20"/>
      </w:rPr>
      <w:t>Procjena rizika od velikih nesreća za Općinu Kloštar Podravski</w:t>
    </w:r>
  </w:p>
  <w:p w:rsidR="008F0D85" w:rsidRDefault="008F0D85">
    <w:pPr>
      <w:pStyle w:val="Zaglavlje"/>
      <w:spacing w:line="276" w:lineRule="aut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0D85" w:rsidRDefault="00AE42A1">
    <w:pPr>
      <w:pStyle w:val="Zaglavlje"/>
      <w:spacing w:line="276" w:lineRule="auto"/>
      <w:jc w:val="center"/>
    </w:pPr>
    <w:r>
      <w:rPr>
        <w:i/>
        <w:sz w:val="20"/>
      </w:rPr>
      <w:t>Procjena rizika od velikih nesreća za Općinu Kloštar Podravski</w:t>
    </w:r>
  </w:p>
  <w:p w:rsidR="008F0D85" w:rsidRDefault="008F0D85">
    <w:pPr>
      <w:pStyle w:val="Zaglavlje"/>
      <w:spacing w:line="276"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837C3"/>
    <w:multiLevelType w:val="multilevel"/>
    <w:tmpl w:val="F1086EC8"/>
    <w:lvl w:ilvl="0">
      <w:start w:val="1"/>
      <w:numFmt w:val="bullet"/>
      <w:lvlText w:val="-"/>
      <w:lvlJc w:val="left"/>
      <w:pPr>
        <w:ind w:left="1080" w:hanging="360"/>
      </w:pPr>
      <w:rPr>
        <w:rFonts w:ascii="Calibri" w:hAnsi="Calibri" w:cs="Calibri"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1" w15:restartNumberingAfterBreak="0">
    <w:nsid w:val="01216DD6"/>
    <w:multiLevelType w:val="multilevel"/>
    <w:tmpl w:val="130621DE"/>
    <w:lvl w:ilvl="0">
      <w:start w:val="1"/>
      <w:numFmt w:val="bullet"/>
      <w:lvlText w:val="-"/>
      <w:lvlJc w:val="left"/>
      <w:pPr>
        <w:ind w:left="825" w:hanging="360"/>
      </w:pPr>
      <w:rPr>
        <w:rFonts w:ascii="Calibri" w:hAnsi="Calibri" w:cs="Calibri" w:hint="default"/>
      </w:rPr>
    </w:lvl>
    <w:lvl w:ilvl="1">
      <w:start w:val="1"/>
      <w:numFmt w:val="bullet"/>
      <w:lvlText w:val="o"/>
      <w:lvlJc w:val="left"/>
      <w:pPr>
        <w:ind w:left="1545" w:hanging="360"/>
      </w:pPr>
      <w:rPr>
        <w:rFonts w:ascii="Courier New" w:hAnsi="Courier New" w:cs="Courier New" w:hint="default"/>
      </w:rPr>
    </w:lvl>
    <w:lvl w:ilvl="2">
      <w:start w:val="1"/>
      <w:numFmt w:val="bullet"/>
      <w:lvlText w:val=""/>
      <w:lvlJc w:val="left"/>
      <w:pPr>
        <w:ind w:left="2265" w:hanging="360"/>
      </w:pPr>
      <w:rPr>
        <w:rFonts w:ascii="Wingdings" w:hAnsi="Wingdings" w:cs="Wingdings" w:hint="default"/>
      </w:rPr>
    </w:lvl>
    <w:lvl w:ilvl="3">
      <w:start w:val="1"/>
      <w:numFmt w:val="bullet"/>
      <w:lvlText w:val=""/>
      <w:lvlJc w:val="left"/>
      <w:pPr>
        <w:ind w:left="2985" w:hanging="360"/>
      </w:pPr>
      <w:rPr>
        <w:rFonts w:ascii="Symbol" w:hAnsi="Symbol" w:cs="Symbol" w:hint="default"/>
      </w:rPr>
    </w:lvl>
    <w:lvl w:ilvl="4">
      <w:start w:val="1"/>
      <w:numFmt w:val="bullet"/>
      <w:lvlText w:val="o"/>
      <w:lvlJc w:val="left"/>
      <w:pPr>
        <w:ind w:left="3705" w:hanging="360"/>
      </w:pPr>
      <w:rPr>
        <w:rFonts w:ascii="Courier New" w:hAnsi="Courier New" w:cs="Courier New" w:hint="default"/>
      </w:rPr>
    </w:lvl>
    <w:lvl w:ilvl="5">
      <w:start w:val="1"/>
      <w:numFmt w:val="bullet"/>
      <w:lvlText w:val=""/>
      <w:lvlJc w:val="left"/>
      <w:pPr>
        <w:ind w:left="4425" w:hanging="360"/>
      </w:pPr>
      <w:rPr>
        <w:rFonts w:ascii="Wingdings" w:hAnsi="Wingdings" w:cs="Wingdings" w:hint="default"/>
      </w:rPr>
    </w:lvl>
    <w:lvl w:ilvl="6">
      <w:start w:val="1"/>
      <w:numFmt w:val="bullet"/>
      <w:lvlText w:val=""/>
      <w:lvlJc w:val="left"/>
      <w:pPr>
        <w:ind w:left="5145" w:hanging="360"/>
      </w:pPr>
      <w:rPr>
        <w:rFonts w:ascii="Symbol" w:hAnsi="Symbol" w:cs="Symbol" w:hint="default"/>
      </w:rPr>
    </w:lvl>
    <w:lvl w:ilvl="7">
      <w:start w:val="1"/>
      <w:numFmt w:val="bullet"/>
      <w:lvlText w:val="o"/>
      <w:lvlJc w:val="left"/>
      <w:pPr>
        <w:ind w:left="5865" w:hanging="360"/>
      </w:pPr>
      <w:rPr>
        <w:rFonts w:ascii="Courier New" w:hAnsi="Courier New" w:cs="Courier New" w:hint="default"/>
      </w:rPr>
    </w:lvl>
    <w:lvl w:ilvl="8">
      <w:start w:val="1"/>
      <w:numFmt w:val="bullet"/>
      <w:lvlText w:val=""/>
      <w:lvlJc w:val="left"/>
      <w:pPr>
        <w:ind w:left="6585" w:hanging="360"/>
      </w:pPr>
      <w:rPr>
        <w:rFonts w:ascii="Wingdings" w:hAnsi="Wingdings" w:cs="Wingdings" w:hint="default"/>
      </w:rPr>
    </w:lvl>
  </w:abstractNum>
  <w:abstractNum w:abstractNumId="2" w15:restartNumberingAfterBreak="0">
    <w:nsid w:val="02A81B14"/>
    <w:multiLevelType w:val="multilevel"/>
    <w:tmpl w:val="01D0DDEA"/>
    <w:lvl w:ilvl="0">
      <w:start w:val="1"/>
      <w:numFmt w:val="bullet"/>
      <w:lvlText w:val=""/>
      <w:lvlJc w:val="left"/>
      <w:pPr>
        <w:ind w:left="720" w:hanging="360"/>
      </w:pPr>
      <w:rPr>
        <w:rFonts w:ascii="Symbol" w:hAnsi="Symbol" w:cs="Symbol" w:hint="default"/>
        <w:b/>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06B5757D"/>
    <w:multiLevelType w:val="multilevel"/>
    <w:tmpl w:val="327ADFC6"/>
    <w:lvl w:ilvl="0">
      <w:start w:val="1"/>
      <w:numFmt w:val="bullet"/>
      <w:lvlText w:val=""/>
      <w:lvlJc w:val="left"/>
      <w:pPr>
        <w:tabs>
          <w:tab w:val="num" w:pos="720"/>
        </w:tabs>
        <w:ind w:left="720" w:hanging="360"/>
      </w:pPr>
      <w:rPr>
        <w:rFonts w:ascii="Symbol" w:hAnsi="Symbol" w:cs="Symbol" w:hint="default"/>
        <w:sz w:val="20"/>
      </w:rPr>
    </w:lvl>
    <w:lvl w:ilvl="1">
      <w:start w:val="1"/>
      <w:numFmt w:val="lowerLetter"/>
      <w:lvlText w:val="%2)"/>
      <w:lvlJc w:val="left"/>
      <w:pPr>
        <w:ind w:left="1440" w:hanging="360"/>
      </w:pPr>
      <w:rPr>
        <w:rFonts w:cs="Times New Roman"/>
      </w:rPr>
    </w:lvl>
    <w:lvl w:ilvl="2">
      <w:start w:val="109"/>
      <w:numFmt w:val="bullet"/>
      <w:lvlText w:val="-"/>
      <w:lvlJc w:val="left"/>
      <w:pPr>
        <w:ind w:left="2160" w:hanging="360"/>
      </w:pPr>
      <w:rPr>
        <w:rFonts w:ascii="Calibri" w:hAnsi="Calibri" w:cs="Calibri" w:hint="default"/>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 w15:restartNumberingAfterBreak="0">
    <w:nsid w:val="06F34D17"/>
    <w:multiLevelType w:val="multilevel"/>
    <w:tmpl w:val="813A31DE"/>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071F51DB"/>
    <w:multiLevelType w:val="multilevel"/>
    <w:tmpl w:val="1FEE5386"/>
    <w:lvl w:ilvl="0">
      <w:start w:val="1"/>
      <w:numFmt w:val="bullet"/>
      <w:lvlText w:val="-"/>
      <w:lvlJc w:val="left"/>
      <w:pPr>
        <w:ind w:left="1440" w:hanging="360"/>
      </w:pPr>
      <w:rPr>
        <w:rFonts w:ascii="Calibri" w:hAnsi="Calibri" w:cs="Calibri" w:hint="default"/>
        <w:b/>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6" w15:restartNumberingAfterBreak="0">
    <w:nsid w:val="07834A17"/>
    <w:multiLevelType w:val="multilevel"/>
    <w:tmpl w:val="1556023E"/>
    <w:lvl w:ilvl="0">
      <w:start w:val="1"/>
      <w:numFmt w:val="bullet"/>
      <w:lvlText w:val=""/>
      <w:lvlJc w:val="left"/>
      <w:pPr>
        <w:ind w:left="720" w:hanging="360"/>
      </w:pPr>
      <w:rPr>
        <w:rFonts w:ascii="Symbol" w:hAnsi="Symbol" w:cs="Symbol" w:hint="default"/>
        <w:b/>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08210E74"/>
    <w:multiLevelType w:val="multilevel"/>
    <w:tmpl w:val="2FB8EB76"/>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08A67651"/>
    <w:multiLevelType w:val="multilevel"/>
    <w:tmpl w:val="C1D498CC"/>
    <w:lvl w:ilvl="0">
      <w:start w:val="1"/>
      <w:numFmt w:val="bullet"/>
      <w:lvlText w:val=""/>
      <w:lvlJc w:val="left"/>
      <w:pPr>
        <w:ind w:left="720" w:hanging="360"/>
      </w:pPr>
      <w:rPr>
        <w:rFonts w:ascii="Symbol" w:hAnsi="Symbol" w:cs="Symbol" w:hint="default"/>
        <w:sz w:val="20"/>
      </w:rPr>
    </w:lvl>
    <w:lvl w:ilvl="1">
      <w:start w:val="1"/>
      <w:numFmt w:val="bullet"/>
      <w:lvlText w:val=""/>
      <w:lvlJc w:val="left"/>
      <w:pPr>
        <w:ind w:left="1440" w:hanging="360"/>
      </w:pPr>
      <w:rPr>
        <w:rFonts w:ascii="Symbol" w:hAnsi="Symbol" w:cs="Symbol" w:hint="default"/>
        <w:sz w:val="20"/>
      </w:rPr>
    </w:lvl>
    <w:lvl w:ilvl="2">
      <w:start w:val="1"/>
      <w:numFmt w:val="bullet"/>
      <w:lvlText w:val=""/>
      <w:lvlJc w:val="left"/>
      <w:pPr>
        <w:ind w:left="2160" w:hanging="360"/>
      </w:pPr>
      <w:rPr>
        <w:rFonts w:ascii="Symbol" w:hAnsi="Symbol" w:cs="Symbol" w:hint="default"/>
        <w:sz w:val="20"/>
      </w:rPr>
    </w:lvl>
    <w:lvl w:ilvl="3">
      <w:start w:val="1"/>
      <w:numFmt w:val="bullet"/>
      <w:lvlText w:val=""/>
      <w:lvlJc w:val="left"/>
      <w:pPr>
        <w:ind w:left="2880" w:hanging="360"/>
      </w:pPr>
      <w:rPr>
        <w:rFonts w:ascii="Symbol" w:hAnsi="Symbol" w:cs="Symbol" w:hint="default"/>
        <w:sz w:val="20"/>
      </w:rPr>
    </w:lvl>
    <w:lvl w:ilvl="4">
      <w:start w:val="1"/>
      <w:numFmt w:val="bullet"/>
      <w:lvlText w:val=""/>
      <w:lvlJc w:val="left"/>
      <w:pPr>
        <w:ind w:left="3600" w:hanging="360"/>
      </w:pPr>
      <w:rPr>
        <w:rFonts w:ascii="Symbol" w:hAnsi="Symbol" w:cs="Symbol" w:hint="default"/>
        <w:sz w:val="20"/>
      </w:rPr>
    </w:lvl>
    <w:lvl w:ilvl="5">
      <w:start w:val="1"/>
      <w:numFmt w:val="bullet"/>
      <w:lvlText w:val=""/>
      <w:lvlJc w:val="left"/>
      <w:pPr>
        <w:ind w:left="4320" w:hanging="360"/>
      </w:pPr>
      <w:rPr>
        <w:rFonts w:ascii="Symbol" w:hAnsi="Symbol" w:cs="Symbol" w:hint="default"/>
        <w:sz w:val="20"/>
      </w:rPr>
    </w:lvl>
    <w:lvl w:ilvl="6">
      <w:start w:val="1"/>
      <w:numFmt w:val="bullet"/>
      <w:lvlText w:val=""/>
      <w:lvlJc w:val="left"/>
      <w:pPr>
        <w:ind w:left="5040" w:hanging="360"/>
      </w:pPr>
      <w:rPr>
        <w:rFonts w:ascii="Symbol" w:hAnsi="Symbol" w:cs="Symbol" w:hint="default"/>
        <w:sz w:val="20"/>
      </w:rPr>
    </w:lvl>
    <w:lvl w:ilvl="7">
      <w:start w:val="1"/>
      <w:numFmt w:val="bullet"/>
      <w:lvlText w:val=""/>
      <w:lvlJc w:val="left"/>
      <w:pPr>
        <w:ind w:left="5760" w:hanging="360"/>
      </w:pPr>
      <w:rPr>
        <w:rFonts w:ascii="Symbol" w:hAnsi="Symbol" w:cs="Symbol" w:hint="default"/>
        <w:sz w:val="20"/>
      </w:rPr>
    </w:lvl>
    <w:lvl w:ilvl="8">
      <w:start w:val="1"/>
      <w:numFmt w:val="bullet"/>
      <w:lvlText w:val=""/>
      <w:lvlJc w:val="left"/>
      <w:pPr>
        <w:ind w:left="6480" w:hanging="360"/>
      </w:pPr>
      <w:rPr>
        <w:rFonts w:ascii="Symbol" w:hAnsi="Symbol" w:cs="Symbol" w:hint="default"/>
        <w:sz w:val="20"/>
      </w:rPr>
    </w:lvl>
  </w:abstractNum>
  <w:abstractNum w:abstractNumId="9" w15:restartNumberingAfterBreak="0">
    <w:nsid w:val="08C34FAC"/>
    <w:multiLevelType w:val="multilevel"/>
    <w:tmpl w:val="9F2242AE"/>
    <w:lvl w:ilvl="0">
      <w:start w:val="1"/>
      <w:numFmt w:val="decimal"/>
      <w:lvlText w:val="%1."/>
      <w:lvlJc w:val="left"/>
      <w:pPr>
        <w:ind w:left="720" w:hanging="360"/>
      </w:pPr>
      <w:rPr>
        <w:rFonts w:cs="Times New Roman"/>
        <w:b/>
        <w:sz w:val="2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0" w15:restartNumberingAfterBreak="0">
    <w:nsid w:val="090C2F7F"/>
    <w:multiLevelType w:val="multilevel"/>
    <w:tmpl w:val="93D4DA18"/>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 w15:restartNumberingAfterBreak="0">
    <w:nsid w:val="091354EC"/>
    <w:multiLevelType w:val="multilevel"/>
    <w:tmpl w:val="733E6DE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0A0A5E53"/>
    <w:multiLevelType w:val="multilevel"/>
    <w:tmpl w:val="DA489D3C"/>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0AC66EF0"/>
    <w:multiLevelType w:val="multilevel"/>
    <w:tmpl w:val="8C9230C6"/>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15:restartNumberingAfterBreak="0">
    <w:nsid w:val="0D2D37CC"/>
    <w:multiLevelType w:val="multilevel"/>
    <w:tmpl w:val="908499F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15:restartNumberingAfterBreak="0">
    <w:nsid w:val="0E98050B"/>
    <w:multiLevelType w:val="multilevel"/>
    <w:tmpl w:val="28B4F15C"/>
    <w:lvl w:ilvl="0">
      <w:start w:val="1"/>
      <w:numFmt w:val="decimal"/>
      <w:lvlText w:val="%1."/>
      <w:lvlJc w:val="left"/>
      <w:pPr>
        <w:ind w:left="720" w:hanging="360"/>
      </w:pPr>
      <w:rPr>
        <w:rFonts w:cs="Times New Roman"/>
        <w:sz w:val="2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6" w15:restartNumberingAfterBreak="0">
    <w:nsid w:val="0ECC54B5"/>
    <w:multiLevelType w:val="multilevel"/>
    <w:tmpl w:val="F68C1302"/>
    <w:lvl w:ilvl="0">
      <w:start w:val="1"/>
      <w:numFmt w:val="bullet"/>
      <w:lvlText w:val="-"/>
      <w:lvlJc w:val="left"/>
      <w:pPr>
        <w:ind w:left="1440" w:hanging="360"/>
      </w:pPr>
      <w:rPr>
        <w:rFonts w:ascii="Calibri" w:hAnsi="Calibri" w:cs="Calibri" w:hint="default"/>
        <w:sz w:val="24"/>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17" w15:restartNumberingAfterBreak="0">
    <w:nsid w:val="0EEF0818"/>
    <w:multiLevelType w:val="multilevel"/>
    <w:tmpl w:val="5270E37E"/>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8" w15:restartNumberingAfterBreak="0">
    <w:nsid w:val="11297791"/>
    <w:multiLevelType w:val="multilevel"/>
    <w:tmpl w:val="697E9D9C"/>
    <w:lvl w:ilvl="0">
      <w:start w:val="1"/>
      <w:numFmt w:val="bullet"/>
      <w:lvlText w:val=""/>
      <w:lvlJc w:val="left"/>
      <w:pPr>
        <w:ind w:left="720" w:hanging="360"/>
      </w:pPr>
      <w:rPr>
        <w:rFonts w:ascii="Symbol" w:hAnsi="Symbol" w:cs="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15:restartNumberingAfterBreak="0">
    <w:nsid w:val="1275502D"/>
    <w:multiLevelType w:val="multilevel"/>
    <w:tmpl w:val="0404576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15ED50A8"/>
    <w:multiLevelType w:val="multilevel"/>
    <w:tmpl w:val="18FAADB4"/>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1" w15:restartNumberingAfterBreak="0">
    <w:nsid w:val="16242AC7"/>
    <w:multiLevelType w:val="multilevel"/>
    <w:tmpl w:val="8A544546"/>
    <w:lvl w:ilvl="0">
      <w:start w:val="1"/>
      <w:numFmt w:val="bullet"/>
      <w:lvlText w:val="-"/>
      <w:lvlJc w:val="left"/>
      <w:pPr>
        <w:ind w:left="1080" w:hanging="360"/>
      </w:pPr>
      <w:rPr>
        <w:rFonts w:ascii="Calibri" w:hAnsi="Calibri" w:cs="Calibri"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22" w15:restartNumberingAfterBreak="0">
    <w:nsid w:val="165E5848"/>
    <w:multiLevelType w:val="multilevel"/>
    <w:tmpl w:val="00FC4506"/>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3" w15:restartNumberingAfterBreak="0">
    <w:nsid w:val="18720700"/>
    <w:multiLevelType w:val="multilevel"/>
    <w:tmpl w:val="6BBC61AE"/>
    <w:lvl w:ilvl="0">
      <w:start w:val="1"/>
      <w:numFmt w:val="bullet"/>
      <w:lvlText w:val=""/>
      <w:lvlJc w:val="left"/>
      <w:pPr>
        <w:ind w:left="720" w:hanging="360"/>
      </w:pPr>
      <w:rPr>
        <w:rFonts w:ascii="Symbol" w:hAnsi="Symbol" w:cs="Symbol" w:hint="default"/>
        <w:b/>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4" w15:restartNumberingAfterBreak="0">
    <w:nsid w:val="18D43E9F"/>
    <w:multiLevelType w:val="multilevel"/>
    <w:tmpl w:val="53543984"/>
    <w:lvl w:ilvl="0">
      <w:start w:val="1"/>
      <w:numFmt w:val="bullet"/>
      <w:lvlText w:val=""/>
      <w:lvlJc w:val="left"/>
      <w:pPr>
        <w:ind w:left="720" w:hanging="360"/>
      </w:pPr>
      <w:rPr>
        <w:rFonts w:ascii="Symbol" w:hAnsi="Symbol" w:cs="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5" w15:restartNumberingAfterBreak="0">
    <w:nsid w:val="195B6F95"/>
    <w:multiLevelType w:val="multilevel"/>
    <w:tmpl w:val="0F1058C6"/>
    <w:lvl w:ilvl="0">
      <w:start w:val="1"/>
      <w:numFmt w:val="bullet"/>
      <w:lvlText w:val="-"/>
      <w:lvlJc w:val="left"/>
      <w:pPr>
        <w:ind w:left="1080" w:hanging="360"/>
      </w:pPr>
      <w:rPr>
        <w:rFonts w:ascii="Calibri" w:hAnsi="Calibri" w:cs="Calibri"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26" w15:restartNumberingAfterBreak="0">
    <w:nsid w:val="19F9264F"/>
    <w:multiLevelType w:val="multilevel"/>
    <w:tmpl w:val="CE9CC330"/>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1B5119F9"/>
    <w:multiLevelType w:val="multilevel"/>
    <w:tmpl w:val="2C1C8F2E"/>
    <w:lvl w:ilvl="0">
      <w:start w:val="1"/>
      <w:numFmt w:val="bullet"/>
      <w:lvlText w:val=""/>
      <w:lvlJc w:val="left"/>
      <w:pPr>
        <w:ind w:left="720" w:hanging="360"/>
      </w:pPr>
      <w:rPr>
        <w:rFonts w:ascii="Symbol" w:hAnsi="Symbol" w:cs="Symbol" w:hint="default"/>
        <w:b/>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15:restartNumberingAfterBreak="0">
    <w:nsid w:val="1F4B27B8"/>
    <w:multiLevelType w:val="multilevel"/>
    <w:tmpl w:val="EEDABCD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9" w15:restartNumberingAfterBreak="0">
    <w:nsid w:val="22F37D70"/>
    <w:multiLevelType w:val="multilevel"/>
    <w:tmpl w:val="0BFC23FE"/>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0" w15:restartNumberingAfterBreak="0">
    <w:nsid w:val="236459C8"/>
    <w:multiLevelType w:val="multilevel"/>
    <w:tmpl w:val="523AED5E"/>
    <w:lvl w:ilvl="0">
      <w:start w:val="1"/>
      <w:numFmt w:val="bullet"/>
      <w:lvlText w:val=""/>
      <w:lvlJc w:val="left"/>
      <w:pPr>
        <w:ind w:left="720" w:hanging="360"/>
      </w:pPr>
      <w:rPr>
        <w:rFonts w:ascii="Symbol" w:hAnsi="Symbol" w:cs="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1" w15:restartNumberingAfterBreak="0">
    <w:nsid w:val="2AB801A3"/>
    <w:multiLevelType w:val="multilevel"/>
    <w:tmpl w:val="D1EABD4E"/>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2" w15:restartNumberingAfterBreak="0">
    <w:nsid w:val="2C0B568A"/>
    <w:multiLevelType w:val="multilevel"/>
    <w:tmpl w:val="75D03DF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3" w15:restartNumberingAfterBreak="0">
    <w:nsid w:val="2D490167"/>
    <w:multiLevelType w:val="multilevel"/>
    <w:tmpl w:val="F140D880"/>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4" w15:restartNumberingAfterBreak="0">
    <w:nsid w:val="2FA515E4"/>
    <w:multiLevelType w:val="multilevel"/>
    <w:tmpl w:val="2206B186"/>
    <w:lvl w:ilvl="0">
      <w:start w:val="1"/>
      <w:numFmt w:val="bullet"/>
      <w:lvlText w:val=""/>
      <w:lvlJc w:val="left"/>
      <w:pPr>
        <w:ind w:left="1440" w:hanging="360"/>
      </w:pPr>
      <w:rPr>
        <w:rFonts w:ascii="Symbol" w:hAnsi="Symbol" w:cs="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35" w15:restartNumberingAfterBreak="0">
    <w:nsid w:val="30002D21"/>
    <w:multiLevelType w:val="multilevel"/>
    <w:tmpl w:val="33B87254"/>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6" w15:restartNumberingAfterBreak="0">
    <w:nsid w:val="300D13FF"/>
    <w:multiLevelType w:val="multilevel"/>
    <w:tmpl w:val="8F7C311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7" w15:restartNumberingAfterBreak="0">
    <w:nsid w:val="30F741DA"/>
    <w:multiLevelType w:val="multilevel"/>
    <w:tmpl w:val="2EB41D8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8" w15:restartNumberingAfterBreak="0">
    <w:nsid w:val="319D0E01"/>
    <w:multiLevelType w:val="multilevel"/>
    <w:tmpl w:val="CCE88DEC"/>
    <w:lvl w:ilvl="0">
      <w:start w:val="1"/>
      <w:numFmt w:val="decimal"/>
      <w:lvlText w:val="%1."/>
      <w:lvlJc w:val="left"/>
      <w:pPr>
        <w:ind w:left="720" w:hanging="360"/>
      </w:pPr>
      <w:rPr>
        <w:rFonts w:cs="Times New Roman"/>
        <w:sz w:val="2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9" w15:restartNumberingAfterBreak="0">
    <w:nsid w:val="32731460"/>
    <w:multiLevelType w:val="multilevel"/>
    <w:tmpl w:val="AF3E60D0"/>
    <w:lvl w:ilvl="0">
      <w:start w:val="1"/>
      <w:numFmt w:val="bullet"/>
      <w:lvlText w:val="-"/>
      <w:lvlJc w:val="left"/>
      <w:pPr>
        <w:ind w:left="1440" w:hanging="360"/>
      </w:pPr>
      <w:rPr>
        <w:rFonts w:ascii="Calibri" w:hAnsi="Calibri" w:cs="Calibri" w:hint="default"/>
        <w:sz w:val="24"/>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40" w15:restartNumberingAfterBreak="0">
    <w:nsid w:val="32C61FED"/>
    <w:multiLevelType w:val="multilevel"/>
    <w:tmpl w:val="FC4E0946"/>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1" w15:restartNumberingAfterBreak="0">
    <w:nsid w:val="33394AA8"/>
    <w:multiLevelType w:val="multilevel"/>
    <w:tmpl w:val="B36265BC"/>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2" w15:restartNumberingAfterBreak="0">
    <w:nsid w:val="35610FA3"/>
    <w:multiLevelType w:val="multilevel"/>
    <w:tmpl w:val="0298D9EE"/>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3" w15:restartNumberingAfterBreak="0">
    <w:nsid w:val="363669E5"/>
    <w:multiLevelType w:val="multilevel"/>
    <w:tmpl w:val="778A46DC"/>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4" w15:restartNumberingAfterBreak="0">
    <w:nsid w:val="366B582A"/>
    <w:multiLevelType w:val="multilevel"/>
    <w:tmpl w:val="F18C0920"/>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5" w15:restartNumberingAfterBreak="0">
    <w:nsid w:val="36D41C59"/>
    <w:multiLevelType w:val="multilevel"/>
    <w:tmpl w:val="77D0EF0A"/>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6" w15:restartNumberingAfterBreak="0">
    <w:nsid w:val="38431824"/>
    <w:multiLevelType w:val="multilevel"/>
    <w:tmpl w:val="91D2BF76"/>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7" w15:restartNumberingAfterBreak="0">
    <w:nsid w:val="38D162A1"/>
    <w:multiLevelType w:val="multilevel"/>
    <w:tmpl w:val="0494DD2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8" w15:restartNumberingAfterBreak="0">
    <w:nsid w:val="39D8617F"/>
    <w:multiLevelType w:val="multilevel"/>
    <w:tmpl w:val="11E4CA8C"/>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9" w15:restartNumberingAfterBreak="0">
    <w:nsid w:val="3A772974"/>
    <w:multiLevelType w:val="multilevel"/>
    <w:tmpl w:val="F7BEBAC8"/>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0" w15:restartNumberingAfterBreak="0">
    <w:nsid w:val="3ACF52F6"/>
    <w:multiLevelType w:val="multilevel"/>
    <w:tmpl w:val="E56039B2"/>
    <w:lvl w:ilvl="0">
      <w:start w:val="1"/>
      <w:numFmt w:val="bullet"/>
      <w:lvlText w:val=""/>
      <w:lvlJc w:val="left"/>
      <w:pPr>
        <w:ind w:left="720" w:hanging="360"/>
      </w:pPr>
      <w:rPr>
        <w:rFonts w:ascii="Symbol" w:hAnsi="Symbol" w:cs="Symbol" w:hint="default"/>
        <w:sz w:val="20"/>
      </w:rPr>
    </w:lvl>
    <w:lvl w:ilvl="1">
      <w:start w:val="1"/>
      <w:numFmt w:val="bullet"/>
      <w:lvlText w:val=""/>
      <w:lvlJc w:val="left"/>
      <w:pPr>
        <w:ind w:left="1440" w:hanging="360"/>
      </w:pPr>
      <w:rPr>
        <w:rFonts w:ascii="Symbol" w:hAnsi="Symbol" w:cs="Symbol" w:hint="default"/>
        <w:sz w:val="20"/>
      </w:rPr>
    </w:lvl>
    <w:lvl w:ilvl="2">
      <w:start w:val="1"/>
      <w:numFmt w:val="bullet"/>
      <w:lvlText w:val=""/>
      <w:lvlJc w:val="left"/>
      <w:pPr>
        <w:ind w:left="2160" w:hanging="360"/>
      </w:pPr>
      <w:rPr>
        <w:rFonts w:ascii="Symbol" w:hAnsi="Symbol" w:cs="Symbol" w:hint="default"/>
        <w:sz w:val="20"/>
      </w:rPr>
    </w:lvl>
    <w:lvl w:ilvl="3">
      <w:start w:val="1"/>
      <w:numFmt w:val="bullet"/>
      <w:lvlText w:val=""/>
      <w:lvlJc w:val="left"/>
      <w:pPr>
        <w:ind w:left="2880" w:hanging="360"/>
      </w:pPr>
      <w:rPr>
        <w:rFonts w:ascii="Symbol" w:hAnsi="Symbol" w:cs="Symbol" w:hint="default"/>
        <w:sz w:val="20"/>
      </w:rPr>
    </w:lvl>
    <w:lvl w:ilvl="4">
      <w:start w:val="1"/>
      <w:numFmt w:val="bullet"/>
      <w:lvlText w:val=""/>
      <w:lvlJc w:val="left"/>
      <w:pPr>
        <w:ind w:left="3600" w:hanging="360"/>
      </w:pPr>
      <w:rPr>
        <w:rFonts w:ascii="Symbol" w:hAnsi="Symbol" w:cs="Symbol" w:hint="default"/>
        <w:sz w:val="20"/>
      </w:rPr>
    </w:lvl>
    <w:lvl w:ilvl="5">
      <w:start w:val="1"/>
      <w:numFmt w:val="bullet"/>
      <w:lvlText w:val=""/>
      <w:lvlJc w:val="left"/>
      <w:pPr>
        <w:ind w:left="4320" w:hanging="360"/>
      </w:pPr>
      <w:rPr>
        <w:rFonts w:ascii="Symbol" w:hAnsi="Symbol" w:cs="Symbol" w:hint="default"/>
        <w:sz w:val="20"/>
      </w:rPr>
    </w:lvl>
    <w:lvl w:ilvl="6">
      <w:start w:val="1"/>
      <w:numFmt w:val="bullet"/>
      <w:lvlText w:val=""/>
      <w:lvlJc w:val="left"/>
      <w:pPr>
        <w:ind w:left="5040" w:hanging="360"/>
      </w:pPr>
      <w:rPr>
        <w:rFonts w:ascii="Symbol" w:hAnsi="Symbol" w:cs="Symbol" w:hint="default"/>
        <w:sz w:val="20"/>
      </w:rPr>
    </w:lvl>
    <w:lvl w:ilvl="7">
      <w:start w:val="1"/>
      <w:numFmt w:val="bullet"/>
      <w:lvlText w:val=""/>
      <w:lvlJc w:val="left"/>
      <w:pPr>
        <w:ind w:left="5760" w:hanging="360"/>
      </w:pPr>
      <w:rPr>
        <w:rFonts w:ascii="Symbol" w:hAnsi="Symbol" w:cs="Symbol" w:hint="default"/>
        <w:sz w:val="20"/>
      </w:rPr>
    </w:lvl>
    <w:lvl w:ilvl="8">
      <w:start w:val="1"/>
      <w:numFmt w:val="bullet"/>
      <w:lvlText w:val=""/>
      <w:lvlJc w:val="left"/>
      <w:pPr>
        <w:ind w:left="6480" w:hanging="360"/>
      </w:pPr>
      <w:rPr>
        <w:rFonts w:ascii="Symbol" w:hAnsi="Symbol" w:cs="Symbol" w:hint="default"/>
        <w:sz w:val="20"/>
      </w:rPr>
    </w:lvl>
  </w:abstractNum>
  <w:abstractNum w:abstractNumId="51" w15:restartNumberingAfterBreak="0">
    <w:nsid w:val="3B7F44B1"/>
    <w:multiLevelType w:val="multilevel"/>
    <w:tmpl w:val="DA629F9E"/>
    <w:lvl w:ilvl="0">
      <w:start w:val="1"/>
      <w:numFmt w:val="lowerLetter"/>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52" w15:restartNumberingAfterBreak="0">
    <w:nsid w:val="3D0A7473"/>
    <w:multiLevelType w:val="multilevel"/>
    <w:tmpl w:val="437C5E7C"/>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3" w15:restartNumberingAfterBreak="0">
    <w:nsid w:val="3D61744B"/>
    <w:multiLevelType w:val="multilevel"/>
    <w:tmpl w:val="4D18298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4" w15:restartNumberingAfterBreak="0">
    <w:nsid w:val="41523B01"/>
    <w:multiLevelType w:val="multilevel"/>
    <w:tmpl w:val="B3BCC22E"/>
    <w:lvl w:ilvl="0">
      <w:start w:val="1"/>
      <w:numFmt w:val="decimal"/>
      <w:lvlText w:val="%1."/>
      <w:lvlJc w:val="left"/>
      <w:pPr>
        <w:ind w:left="720" w:hanging="360"/>
      </w:pPr>
      <w:rPr>
        <w:rFonts w:cs="Times New Roman"/>
        <w:sz w:val="24"/>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55" w15:restartNumberingAfterBreak="0">
    <w:nsid w:val="423101F8"/>
    <w:multiLevelType w:val="multilevel"/>
    <w:tmpl w:val="4C8E3254"/>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6" w15:restartNumberingAfterBreak="0">
    <w:nsid w:val="42A570E4"/>
    <w:multiLevelType w:val="multilevel"/>
    <w:tmpl w:val="6D80679C"/>
    <w:lvl w:ilvl="0">
      <w:start w:val="1"/>
      <w:numFmt w:val="bullet"/>
      <w:lvlText w:val=""/>
      <w:lvlJc w:val="left"/>
      <w:pPr>
        <w:ind w:left="720" w:hanging="360"/>
      </w:pPr>
      <w:rPr>
        <w:rFonts w:ascii="Symbol" w:hAnsi="Symbol" w:cs="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7" w15:restartNumberingAfterBreak="0">
    <w:nsid w:val="430431BB"/>
    <w:multiLevelType w:val="multilevel"/>
    <w:tmpl w:val="01543798"/>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8" w15:restartNumberingAfterBreak="0">
    <w:nsid w:val="4515753B"/>
    <w:multiLevelType w:val="multilevel"/>
    <w:tmpl w:val="578AA934"/>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9" w15:restartNumberingAfterBreak="0">
    <w:nsid w:val="454B137E"/>
    <w:multiLevelType w:val="multilevel"/>
    <w:tmpl w:val="F63ACA8A"/>
    <w:lvl w:ilvl="0">
      <w:start w:val="1"/>
      <w:numFmt w:val="decimal"/>
      <w:lvlText w:val="%1."/>
      <w:lvlJc w:val="left"/>
      <w:pPr>
        <w:ind w:left="720" w:hanging="360"/>
      </w:pPr>
      <w:rPr>
        <w:rFonts w:cs="Times New Roman"/>
        <w:b/>
      </w:rPr>
    </w:lvl>
    <w:lvl w:ilvl="1">
      <w:start w:val="10"/>
      <w:numFmt w:val="decimal"/>
      <w:lvlText w:val="%1.%2."/>
      <w:lvlJc w:val="left"/>
      <w:pPr>
        <w:ind w:left="840" w:hanging="480"/>
      </w:pPr>
      <w:rPr>
        <w:rFonts w:cs="Times New Roman"/>
      </w:rPr>
    </w:lvl>
    <w:lvl w:ilvl="2">
      <w:start w:val="1"/>
      <w:numFmt w:val="decimal"/>
      <w:lvlText w:val="%1.%2.%3."/>
      <w:lvlJc w:val="left"/>
      <w:pPr>
        <w:ind w:left="1080" w:hanging="720"/>
      </w:pPr>
      <w:rPr>
        <w:rFonts w:cs="Times New Roman"/>
      </w:rPr>
    </w:lvl>
    <w:lvl w:ilvl="3">
      <w:start w:val="1"/>
      <w:numFmt w:val="decimal"/>
      <w:lvlText w:val="%1.%2.%3.%4."/>
      <w:lvlJc w:val="left"/>
      <w:pPr>
        <w:ind w:left="1080" w:hanging="720"/>
      </w:pPr>
      <w:rPr>
        <w:rFonts w:cs="Times New Roman"/>
      </w:rPr>
    </w:lvl>
    <w:lvl w:ilvl="4">
      <w:start w:val="1"/>
      <w:numFmt w:val="decimal"/>
      <w:lvlText w:val="%1.%2.%3.%4.%5."/>
      <w:lvlJc w:val="left"/>
      <w:pPr>
        <w:ind w:left="1440" w:hanging="1080"/>
      </w:pPr>
      <w:rPr>
        <w:rFonts w:cs="Times New Roman"/>
      </w:rPr>
    </w:lvl>
    <w:lvl w:ilvl="5">
      <w:start w:val="1"/>
      <w:numFmt w:val="decimal"/>
      <w:lvlText w:val="%1.%2.%3.%4.%5.%6."/>
      <w:lvlJc w:val="left"/>
      <w:pPr>
        <w:ind w:left="1440" w:hanging="1080"/>
      </w:pPr>
      <w:rPr>
        <w:rFonts w:cs="Times New Roman"/>
      </w:rPr>
    </w:lvl>
    <w:lvl w:ilvl="6">
      <w:start w:val="1"/>
      <w:numFmt w:val="decimal"/>
      <w:lvlText w:val="%1.%2.%3.%4.%5.%6.%7."/>
      <w:lvlJc w:val="left"/>
      <w:pPr>
        <w:ind w:left="1800" w:hanging="1440"/>
      </w:pPr>
      <w:rPr>
        <w:rFonts w:cs="Times New Roman"/>
      </w:rPr>
    </w:lvl>
    <w:lvl w:ilvl="7">
      <w:start w:val="1"/>
      <w:numFmt w:val="decimal"/>
      <w:lvlText w:val="%1.%2.%3.%4.%5.%6.%7.%8."/>
      <w:lvlJc w:val="left"/>
      <w:pPr>
        <w:ind w:left="1800" w:hanging="1440"/>
      </w:pPr>
      <w:rPr>
        <w:rFonts w:cs="Times New Roman"/>
      </w:rPr>
    </w:lvl>
    <w:lvl w:ilvl="8">
      <w:start w:val="1"/>
      <w:numFmt w:val="decimal"/>
      <w:lvlText w:val="%1.%2.%3.%4.%5.%6.%7.%8.%9."/>
      <w:lvlJc w:val="left"/>
      <w:pPr>
        <w:ind w:left="2160" w:hanging="1800"/>
      </w:pPr>
      <w:rPr>
        <w:rFonts w:cs="Times New Roman"/>
      </w:rPr>
    </w:lvl>
  </w:abstractNum>
  <w:abstractNum w:abstractNumId="60" w15:restartNumberingAfterBreak="0">
    <w:nsid w:val="46667956"/>
    <w:multiLevelType w:val="multilevel"/>
    <w:tmpl w:val="3C7CE496"/>
    <w:lvl w:ilvl="0">
      <w:start w:val="1"/>
      <w:numFmt w:val="decimal"/>
      <w:lvlText w:val="%1."/>
      <w:lvlJc w:val="left"/>
      <w:pPr>
        <w:ind w:left="720" w:hanging="360"/>
      </w:pPr>
      <w:rPr>
        <w:rFonts w:cs="Times New Roman"/>
        <w:sz w:val="2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61" w15:restartNumberingAfterBreak="0">
    <w:nsid w:val="46706B21"/>
    <w:multiLevelType w:val="multilevel"/>
    <w:tmpl w:val="568E1F46"/>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2" w15:restartNumberingAfterBreak="0">
    <w:nsid w:val="47D204E2"/>
    <w:multiLevelType w:val="multilevel"/>
    <w:tmpl w:val="F0544726"/>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3" w15:restartNumberingAfterBreak="0">
    <w:nsid w:val="498A7D4E"/>
    <w:multiLevelType w:val="multilevel"/>
    <w:tmpl w:val="C2F81F6A"/>
    <w:lvl w:ilvl="0">
      <w:start w:val="1"/>
      <w:numFmt w:val="bullet"/>
      <w:lvlText w:val="-"/>
      <w:lvlJc w:val="left"/>
      <w:pPr>
        <w:ind w:left="1440" w:hanging="360"/>
      </w:pPr>
      <w:rPr>
        <w:rFonts w:ascii="Calibri" w:hAnsi="Calibri" w:cs="Calibri"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64" w15:restartNumberingAfterBreak="0">
    <w:nsid w:val="4B094FAE"/>
    <w:multiLevelType w:val="multilevel"/>
    <w:tmpl w:val="F7727F0E"/>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5" w15:restartNumberingAfterBreak="0">
    <w:nsid w:val="4F0110B8"/>
    <w:multiLevelType w:val="multilevel"/>
    <w:tmpl w:val="3132D598"/>
    <w:lvl w:ilvl="0">
      <w:start w:val="1"/>
      <w:numFmt w:val="bullet"/>
      <w:lvlText w:val="-"/>
      <w:lvlJc w:val="left"/>
      <w:pPr>
        <w:ind w:left="720" w:hanging="360"/>
      </w:pPr>
      <w:rPr>
        <w:rFonts w:ascii="Arial" w:hAnsi="Arial" w:cs="Aria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6" w15:restartNumberingAfterBreak="0">
    <w:nsid w:val="52B2379C"/>
    <w:multiLevelType w:val="multilevel"/>
    <w:tmpl w:val="4406293E"/>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7" w15:restartNumberingAfterBreak="0">
    <w:nsid w:val="55E577AE"/>
    <w:multiLevelType w:val="multilevel"/>
    <w:tmpl w:val="3C029402"/>
    <w:lvl w:ilvl="0">
      <w:start w:val="1"/>
      <w:numFmt w:val="bullet"/>
      <w:lvlText w:val="-"/>
      <w:lvlJc w:val="left"/>
      <w:pPr>
        <w:ind w:left="720" w:hanging="360"/>
      </w:pPr>
      <w:rPr>
        <w:rFonts w:ascii="Times New Roman" w:hAnsi="Times New Roman" w:cs="Times New Roman"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8" w15:restartNumberingAfterBreak="0">
    <w:nsid w:val="56AB1DD6"/>
    <w:multiLevelType w:val="multilevel"/>
    <w:tmpl w:val="8E34DB6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9" w15:restartNumberingAfterBreak="0">
    <w:nsid w:val="57400669"/>
    <w:multiLevelType w:val="multilevel"/>
    <w:tmpl w:val="157EED8A"/>
    <w:lvl w:ilvl="0">
      <w:start w:val="1"/>
      <w:numFmt w:val="bullet"/>
      <w:lvlText w:val=""/>
      <w:lvlJc w:val="left"/>
      <w:pPr>
        <w:ind w:left="720" w:hanging="360"/>
      </w:pPr>
      <w:rPr>
        <w:rFonts w:ascii="Symbol" w:hAnsi="Symbol" w:cs="Symbol"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0" w15:restartNumberingAfterBreak="0">
    <w:nsid w:val="582E1DC1"/>
    <w:multiLevelType w:val="multilevel"/>
    <w:tmpl w:val="5C18869A"/>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1" w15:restartNumberingAfterBreak="0">
    <w:nsid w:val="5A81578C"/>
    <w:multiLevelType w:val="multilevel"/>
    <w:tmpl w:val="BA501820"/>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2" w15:restartNumberingAfterBreak="0">
    <w:nsid w:val="5CED4320"/>
    <w:multiLevelType w:val="multilevel"/>
    <w:tmpl w:val="EAE629AE"/>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3" w15:restartNumberingAfterBreak="0">
    <w:nsid w:val="5D3A3EF9"/>
    <w:multiLevelType w:val="multilevel"/>
    <w:tmpl w:val="23B2EDB0"/>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4" w15:restartNumberingAfterBreak="0">
    <w:nsid w:val="5FCB3496"/>
    <w:multiLevelType w:val="multilevel"/>
    <w:tmpl w:val="2CC86ED2"/>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5" w15:restartNumberingAfterBreak="0">
    <w:nsid w:val="5FDB19DD"/>
    <w:multiLevelType w:val="multilevel"/>
    <w:tmpl w:val="B67C27BC"/>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6" w15:restartNumberingAfterBreak="0">
    <w:nsid w:val="60265489"/>
    <w:multiLevelType w:val="multilevel"/>
    <w:tmpl w:val="A79A4F78"/>
    <w:lvl w:ilvl="0">
      <w:start w:val="1"/>
      <w:numFmt w:val="lowerLetter"/>
      <w:lvlText w:val="%1)"/>
      <w:lvlJc w:val="left"/>
      <w:pPr>
        <w:ind w:left="720" w:hanging="360"/>
      </w:pPr>
      <w:rPr>
        <w:rFonts w:cs="Times New Roman"/>
        <w:b/>
        <w:sz w:val="24"/>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77" w15:restartNumberingAfterBreak="0">
    <w:nsid w:val="62954B90"/>
    <w:multiLevelType w:val="multilevel"/>
    <w:tmpl w:val="3CEA3A34"/>
    <w:lvl w:ilvl="0">
      <w:start w:val="1"/>
      <w:numFmt w:val="bullet"/>
      <w:lvlText w:val=""/>
      <w:lvlJc w:val="left"/>
      <w:pPr>
        <w:ind w:left="720" w:hanging="360"/>
      </w:pPr>
      <w:rPr>
        <w:rFonts w:ascii="Symbol" w:hAnsi="Symbol" w:cs="Symbol" w:hint="default"/>
        <w:b/>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8" w15:restartNumberingAfterBreak="0">
    <w:nsid w:val="63812AE8"/>
    <w:multiLevelType w:val="multilevel"/>
    <w:tmpl w:val="72CECA24"/>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9" w15:restartNumberingAfterBreak="0">
    <w:nsid w:val="656B0662"/>
    <w:multiLevelType w:val="multilevel"/>
    <w:tmpl w:val="F698D376"/>
    <w:lvl w:ilvl="0">
      <w:start w:val="1"/>
      <w:numFmt w:val="lowerLetter"/>
      <w:lvlText w:val="%1)"/>
      <w:lvlJc w:val="left"/>
      <w:pPr>
        <w:ind w:left="2196" w:hanging="360"/>
      </w:pPr>
      <w:rPr>
        <w:rFonts w:cs="Times New Roman"/>
      </w:rPr>
    </w:lvl>
    <w:lvl w:ilvl="1">
      <w:start w:val="1"/>
      <w:numFmt w:val="lowerLetter"/>
      <w:lvlText w:val="%2."/>
      <w:lvlJc w:val="left"/>
      <w:pPr>
        <w:ind w:left="2916" w:hanging="360"/>
      </w:pPr>
      <w:rPr>
        <w:rFonts w:cs="Times New Roman"/>
      </w:rPr>
    </w:lvl>
    <w:lvl w:ilvl="2">
      <w:start w:val="1"/>
      <w:numFmt w:val="lowerRoman"/>
      <w:lvlText w:val="%3."/>
      <w:lvlJc w:val="right"/>
      <w:pPr>
        <w:ind w:left="3636" w:hanging="180"/>
      </w:pPr>
      <w:rPr>
        <w:rFonts w:cs="Times New Roman"/>
      </w:rPr>
    </w:lvl>
    <w:lvl w:ilvl="3">
      <w:start w:val="1"/>
      <w:numFmt w:val="decimal"/>
      <w:lvlText w:val="%4."/>
      <w:lvlJc w:val="left"/>
      <w:pPr>
        <w:ind w:left="4356" w:hanging="360"/>
      </w:pPr>
      <w:rPr>
        <w:rFonts w:cs="Times New Roman"/>
      </w:rPr>
    </w:lvl>
    <w:lvl w:ilvl="4">
      <w:start w:val="1"/>
      <w:numFmt w:val="lowerLetter"/>
      <w:lvlText w:val="%5."/>
      <w:lvlJc w:val="left"/>
      <w:pPr>
        <w:ind w:left="5076" w:hanging="360"/>
      </w:pPr>
      <w:rPr>
        <w:rFonts w:cs="Times New Roman"/>
      </w:rPr>
    </w:lvl>
    <w:lvl w:ilvl="5">
      <w:start w:val="1"/>
      <w:numFmt w:val="lowerRoman"/>
      <w:lvlText w:val="%6."/>
      <w:lvlJc w:val="right"/>
      <w:pPr>
        <w:ind w:left="5796" w:hanging="180"/>
      </w:pPr>
      <w:rPr>
        <w:rFonts w:cs="Times New Roman"/>
      </w:rPr>
    </w:lvl>
    <w:lvl w:ilvl="6">
      <w:start w:val="1"/>
      <w:numFmt w:val="decimal"/>
      <w:lvlText w:val="%7."/>
      <w:lvlJc w:val="left"/>
      <w:pPr>
        <w:ind w:left="6516" w:hanging="360"/>
      </w:pPr>
      <w:rPr>
        <w:rFonts w:cs="Times New Roman"/>
      </w:rPr>
    </w:lvl>
    <w:lvl w:ilvl="7">
      <w:start w:val="1"/>
      <w:numFmt w:val="lowerLetter"/>
      <w:lvlText w:val="%8."/>
      <w:lvlJc w:val="left"/>
      <w:pPr>
        <w:ind w:left="7236" w:hanging="360"/>
      </w:pPr>
      <w:rPr>
        <w:rFonts w:cs="Times New Roman"/>
      </w:rPr>
    </w:lvl>
    <w:lvl w:ilvl="8">
      <w:start w:val="1"/>
      <w:numFmt w:val="lowerRoman"/>
      <w:lvlText w:val="%9."/>
      <w:lvlJc w:val="right"/>
      <w:pPr>
        <w:ind w:left="7956" w:hanging="180"/>
      </w:pPr>
      <w:rPr>
        <w:rFonts w:cs="Times New Roman"/>
      </w:rPr>
    </w:lvl>
  </w:abstractNum>
  <w:abstractNum w:abstractNumId="80" w15:restartNumberingAfterBreak="0">
    <w:nsid w:val="6B543F97"/>
    <w:multiLevelType w:val="multilevel"/>
    <w:tmpl w:val="68EA6468"/>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1" w15:restartNumberingAfterBreak="0">
    <w:nsid w:val="6CA41CD4"/>
    <w:multiLevelType w:val="multilevel"/>
    <w:tmpl w:val="5448B3C8"/>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2" w15:restartNumberingAfterBreak="0">
    <w:nsid w:val="6FDC182A"/>
    <w:multiLevelType w:val="multilevel"/>
    <w:tmpl w:val="5526289A"/>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3" w15:restartNumberingAfterBreak="0">
    <w:nsid w:val="700B1A5A"/>
    <w:multiLevelType w:val="multilevel"/>
    <w:tmpl w:val="5A82A3DA"/>
    <w:lvl w:ilvl="0">
      <w:start w:val="1"/>
      <w:numFmt w:val="bullet"/>
      <w:lvlText w:val="-"/>
      <w:lvlJc w:val="left"/>
      <w:pPr>
        <w:ind w:left="1080" w:hanging="360"/>
      </w:pPr>
      <w:rPr>
        <w:rFonts w:ascii="Calibri" w:hAnsi="Calibri" w:cs="Calibri"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84" w15:restartNumberingAfterBreak="0">
    <w:nsid w:val="72877E87"/>
    <w:multiLevelType w:val="multilevel"/>
    <w:tmpl w:val="C0AE5C88"/>
    <w:lvl w:ilvl="0">
      <w:start w:val="1"/>
      <w:numFmt w:val="decimal"/>
      <w:lvlText w:val="%1."/>
      <w:lvlJc w:val="left"/>
      <w:pPr>
        <w:ind w:left="720" w:hanging="360"/>
      </w:pPr>
      <w:rPr>
        <w:rFonts w:cs="Times New Roman"/>
        <w:sz w:val="2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5" w15:restartNumberingAfterBreak="0">
    <w:nsid w:val="72AD1D6C"/>
    <w:multiLevelType w:val="multilevel"/>
    <w:tmpl w:val="FB64E12C"/>
    <w:lvl w:ilvl="0">
      <w:start w:val="1"/>
      <w:numFmt w:val="decimal"/>
      <w:lvlText w:val="%1."/>
      <w:lvlJc w:val="left"/>
      <w:pPr>
        <w:ind w:left="720" w:hanging="360"/>
      </w:pPr>
      <w:rPr>
        <w:rFonts w:cs="Times New Roman"/>
        <w:sz w:val="2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6" w15:restartNumberingAfterBreak="0">
    <w:nsid w:val="72BF6858"/>
    <w:multiLevelType w:val="multilevel"/>
    <w:tmpl w:val="91783E1E"/>
    <w:lvl w:ilvl="0">
      <w:start w:val="1"/>
      <w:numFmt w:val="decimal"/>
      <w:lvlText w:val="%1)"/>
      <w:lvlJc w:val="left"/>
      <w:pPr>
        <w:ind w:left="720" w:hanging="360"/>
      </w:pPr>
      <w:rPr>
        <w:rFonts w:cs="Times New Roman"/>
        <w:b w:val="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7" w15:restartNumberingAfterBreak="0">
    <w:nsid w:val="730A0D5F"/>
    <w:multiLevelType w:val="multilevel"/>
    <w:tmpl w:val="45D8E922"/>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8" w15:restartNumberingAfterBreak="0">
    <w:nsid w:val="73403BE2"/>
    <w:multiLevelType w:val="multilevel"/>
    <w:tmpl w:val="2A64ADB0"/>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9" w15:restartNumberingAfterBreak="0">
    <w:nsid w:val="74B9401B"/>
    <w:multiLevelType w:val="multilevel"/>
    <w:tmpl w:val="27B6CC34"/>
    <w:lvl w:ilvl="0">
      <w:start w:val="1"/>
      <w:numFmt w:val="bullet"/>
      <w:lvlText w:val="-"/>
      <w:lvlJc w:val="left"/>
      <w:pPr>
        <w:ind w:left="720" w:hanging="360"/>
      </w:pPr>
      <w:rPr>
        <w:rFonts w:ascii="Calibri" w:hAnsi="Calibri" w:cs="Calibri"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0" w15:restartNumberingAfterBreak="0">
    <w:nsid w:val="761840FC"/>
    <w:multiLevelType w:val="multilevel"/>
    <w:tmpl w:val="94200CD6"/>
    <w:lvl w:ilvl="0">
      <w:start w:val="1"/>
      <w:numFmt w:val="decimal"/>
      <w:lvlText w:val="%1."/>
      <w:lvlJc w:val="left"/>
      <w:pPr>
        <w:ind w:left="720" w:hanging="360"/>
      </w:pPr>
      <w:rPr>
        <w:rFonts w:cs="Times New Roman"/>
        <w:sz w:val="2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91" w15:restartNumberingAfterBreak="0">
    <w:nsid w:val="7CD1355F"/>
    <w:multiLevelType w:val="multilevel"/>
    <w:tmpl w:val="73562DD4"/>
    <w:lvl w:ilvl="0">
      <w:start w:val="1"/>
      <w:numFmt w:val="decimal"/>
      <w:lvlText w:val="%1."/>
      <w:lvlJc w:val="left"/>
      <w:pPr>
        <w:ind w:left="720" w:hanging="360"/>
      </w:pPr>
      <w:rPr>
        <w:rFonts w:cs="Times New Roman"/>
        <w:sz w:val="20"/>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92" w15:restartNumberingAfterBreak="0">
    <w:nsid w:val="7F4A1BB1"/>
    <w:multiLevelType w:val="multilevel"/>
    <w:tmpl w:val="05BA3188"/>
    <w:lvl w:ilvl="0">
      <w:start w:val="1"/>
      <w:numFmt w:val="bullet"/>
      <w:lvlText w:val="-"/>
      <w:lvlJc w:val="left"/>
      <w:pPr>
        <w:ind w:left="720" w:hanging="360"/>
      </w:pPr>
      <w:rPr>
        <w:rFonts w:ascii="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25"/>
  </w:num>
  <w:num w:numId="2">
    <w:abstractNumId w:val="0"/>
  </w:num>
  <w:num w:numId="3">
    <w:abstractNumId w:val="53"/>
  </w:num>
  <w:num w:numId="4">
    <w:abstractNumId w:val="72"/>
  </w:num>
  <w:num w:numId="5">
    <w:abstractNumId w:val="41"/>
  </w:num>
  <w:num w:numId="6">
    <w:abstractNumId w:val="27"/>
  </w:num>
  <w:num w:numId="7">
    <w:abstractNumId w:val="56"/>
  </w:num>
  <w:num w:numId="8">
    <w:abstractNumId w:val="24"/>
  </w:num>
  <w:num w:numId="9">
    <w:abstractNumId w:val="6"/>
  </w:num>
  <w:num w:numId="10">
    <w:abstractNumId w:val="43"/>
  </w:num>
  <w:num w:numId="11">
    <w:abstractNumId w:val="78"/>
  </w:num>
  <w:num w:numId="12">
    <w:abstractNumId w:val="51"/>
  </w:num>
  <w:num w:numId="13">
    <w:abstractNumId w:val="17"/>
  </w:num>
  <w:num w:numId="14">
    <w:abstractNumId w:val="5"/>
  </w:num>
  <w:num w:numId="15">
    <w:abstractNumId w:val="63"/>
  </w:num>
  <w:num w:numId="16">
    <w:abstractNumId w:val="68"/>
  </w:num>
  <w:num w:numId="17">
    <w:abstractNumId w:val="29"/>
  </w:num>
  <w:num w:numId="18">
    <w:abstractNumId w:val="28"/>
  </w:num>
  <w:num w:numId="19">
    <w:abstractNumId w:val="21"/>
  </w:num>
  <w:num w:numId="20">
    <w:abstractNumId w:val="9"/>
  </w:num>
  <w:num w:numId="21">
    <w:abstractNumId w:val="42"/>
  </w:num>
  <w:num w:numId="22">
    <w:abstractNumId w:val="26"/>
  </w:num>
  <w:num w:numId="23">
    <w:abstractNumId w:val="73"/>
  </w:num>
  <w:num w:numId="24">
    <w:abstractNumId w:val="1"/>
  </w:num>
  <w:num w:numId="25">
    <w:abstractNumId w:val="58"/>
  </w:num>
  <w:num w:numId="26">
    <w:abstractNumId w:val="76"/>
  </w:num>
  <w:num w:numId="27">
    <w:abstractNumId w:val="12"/>
  </w:num>
  <w:num w:numId="28">
    <w:abstractNumId w:val="54"/>
  </w:num>
  <w:num w:numId="29">
    <w:abstractNumId w:val="89"/>
  </w:num>
  <w:num w:numId="30">
    <w:abstractNumId w:val="44"/>
  </w:num>
  <w:num w:numId="31">
    <w:abstractNumId w:val="55"/>
  </w:num>
  <w:num w:numId="32">
    <w:abstractNumId w:val="22"/>
  </w:num>
  <w:num w:numId="33">
    <w:abstractNumId w:val="46"/>
  </w:num>
  <w:num w:numId="34">
    <w:abstractNumId w:val="70"/>
  </w:num>
  <w:num w:numId="35">
    <w:abstractNumId w:val="39"/>
  </w:num>
  <w:num w:numId="36">
    <w:abstractNumId w:val="45"/>
  </w:num>
  <w:num w:numId="37">
    <w:abstractNumId w:val="85"/>
  </w:num>
  <w:num w:numId="38">
    <w:abstractNumId w:val="83"/>
  </w:num>
  <w:num w:numId="39">
    <w:abstractNumId w:val="33"/>
  </w:num>
  <w:num w:numId="40">
    <w:abstractNumId w:val="34"/>
  </w:num>
  <w:num w:numId="41">
    <w:abstractNumId w:val="80"/>
  </w:num>
  <w:num w:numId="42">
    <w:abstractNumId w:val="38"/>
  </w:num>
  <w:num w:numId="43">
    <w:abstractNumId w:val="3"/>
  </w:num>
  <w:num w:numId="44">
    <w:abstractNumId w:val="47"/>
  </w:num>
  <w:num w:numId="45">
    <w:abstractNumId w:val="91"/>
  </w:num>
  <w:num w:numId="46">
    <w:abstractNumId w:val="66"/>
  </w:num>
  <w:num w:numId="47">
    <w:abstractNumId w:val="64"/>
  </w:num>
  <w:num w:numId="48">
    <w:abstractNumId w:val="74"/>
  </w:num>
  <w:num w:numId="49">
    <w:abstractNumId w:val="87"/>
  </w:num>
  <w:num w:numId="50">
    <w:abstractNumId w:val="35"/>
  </w:num>
  <w:num w:numId="51">
    <w:abstractNumId w:val="62"/>
  </w:num>
  <w:num w:numId="52">
    <w:abstractNumId w:val="8"/>
  </w:num>
  <w:num w:numId="53">
    <w:abstractNumId w:val="50"/>
  </w:num>
  <w:num w:numId="54">
    <w:abstractNumId w:val="90"/>
  </w:num>
  <w:num w:numId="55">
    <w:abstractNumId w:val="75"/>
  </w:num>
  <w:num w:numId="56">
    <w:abstractNumId w:val="71"/>
  </w:num>
  <w:num w:numId="57">
    <w:abstractNumId w:val="92"/>
  </w:num>
  <w:num w:numId="58">
    <w:abstractNumId w:val="57"/>
  </w:num>
  <w:num w:numId="59">
    <w:abstractNumId w:val="31"/>
  </w:num>
  <w:num w:numId="60">
    <w:abstractNumId w:val="4"/>
  </w:num>
  <w:num w:numId="61">
    <w:abstractNumId w:val="49"/>
  </w:num>
  <w:num w:numId="62">
    <w:abstractNumId w:val="13"/>
  </w:num>
  <w:num w:numId="63">
    <w:abstractNumId w:val="61"/>
  </w:num>
  <w:num w:numId="64">
    <w:abstractNumId w:val="11"/>
  </w:num>
  <w:num w:numId="65">
    <w:abstractNumId w:val="65"/>
  </w:num>
  <w:num w:numId="66">
    <w:abstractNumId w:val="82"/>
  </w:num>
  <w:num w:numId="67">
    <w:abstractNumId w:val="10"/>
  </w:num>
  <w:num w:numId="68">
    <w:abstractNumId w:val="32"/>
  </w:num>
  <w:num w:numId="69">
    <w:abstractNumId w:val="19"/>
  </w:num>
  <w:num w:numId="70">
    <w:abstractNumId w:val="69"/>
  </w:num>
  <w:num w:numId="71">
    <w:abstractNumId w:val="36"/>
  </w:num>
  <w:num w:numId="72">
    <w:abstractNumId w:val="18"/>
  </w:num>
  <w:num w:numId="73">
    <w:abstractNumId w:val="86"/>
  </w:num>
  <w:num w:numId="74">
    <w:abstractNumId w:val="40"/>
  </w:num>
  <w:num w:numId="75">
    <w:abstractNumId w:val="7"/>
  </w:num>
  <w:num w:numId="76">
    <w:abstractNumId w:val="60"/>
  </w:num>
  <w:num w:numId="77">
    <w:abstractNumId w:val="2"/>
  </w:num>
  <w:num w:numId="78">
    <w:abstractNumId w:val="15"/>
  </w:num>
  <w:num w:numId="79">
    <w:abstractNumId w:val="14"/>
  </w:num>
  <w:num w:numId="80">
    <w:abstractNumId w:val="16"/>
  </w:num>
  <w:num w:numId="81">
    <w:abstractNumId w:val="67"/>
  </w:num>
  <w:num w:numId="82">
    <w:abstractNumId w:val="52"/>
  </w:num>
  <w:num w:numId="83">
    <w:abstractNumId w:val="20"/>
  </w:num>
  <w:num w:numId="84">
    <w:abstractNumId w:val="48"/>
  </w:num>
  <w:num w:numId="85">
    <w:abstractNumId w:val="88"/>
  </w:num>
  <w:num w:numId="86">
    <w:abstractNumId w:val="77"/>
  </w:num>
  <w:num w:numId="87">
    <w:abstractNumId w:val="37"/>
  </w:num>
  <w:num w:numId="88">
    <w:abstractNumId w:val="23"/>
  </w:num>
  <w:num w:numId="89">
    <w:abstractNumId w:val="81"/>
  </w:num>
  <w:num w:numId="90">
    <w:abstractNumId w:val="59"/>
  </w:num>
  <w:num w:numId="91">
    <w:abstractNumId w:val="79"/>
  </w:num>
  <w:num w:numId="92">
    <w:abstractNumId w:val="84"/>
  </w:num>
  <w:num w:numId="93">
    <w:abstractNumId w:val="30"/>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0D85"/>
    <w:rsid w:val="008F0D85"/>
    <w:rsid w:val="00AE42A1"/>
    <w:rsid w:val="00C703E1"/>
  </w:rsids>
  <m:mathPr>
    <m:mathFont m:val="Cambria Math"/>
    <m:brkBin m:val="before"/>
    <m:brkBinSub m:val="--"/>
    <m:smallFrac m:val="0"/>
    <m:dispDef/>
    <m:lMargin m:val="0"/>
    <m:rMargin m:val="0"/>
    <m:defJc m:val="centerGroup"/>
    <m:wrapIndent m:val="1440"/>
    <m:intLim m:val="subSup"/>
    <m:naryLim m:val="undOvr"/>
  </m:mathPr>
  <w:themeFontLang w:val="hr-HR"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7B37F1C-8C3B-4B6A-8244-631B789638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Cs w:val="22"/>
        <w:lang w:val="hr-HR" w:eastAsia="hr-H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semiHidden="1" w:uiPriority="0" w:unhideWhenUs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6276"/>
    <w:pPr>
      <w:spacing w:after="200" w:line="276" w:lineRule="auto"/>
      <w:jc w:val="both"/>
    </w:pPr>
    <w:rPr>
      <w:color w:val="00000A"/>
      <w:sz w:val="24"/>
      <w:lang w:eastAsia="en-US"/>
    </w:rPr>
  </w:style>
  <w:style w:type="paragraph" w:styleId="Naslov1">
    <w:name w:val="heading 1"/>
    <w:basedOn w:val="Normal"/>
    <w:next w:val="Normal"/>
    <w:link w:val="Naslov1Char"/>
    <w:uiPriority w:val="99"/>
    <w:qFormat/>
    <w:rsid w:val="001B70D9"/>
    <w:pPr>
      <w:keepNext/>
      <w:keepLines/>
      <w:spacing w:before="480" w:after="0"/>
      <w:outlineLvl w:val="0"/>
    </w:pPr>
    <w:rPr>
      <w:rFonts w:eastAsia="Times New Roman"/>
      <w:b/>
      <w:bCs/>
      <w:szCs w:val="28"/>
    </w:rPr>
  </w:style>
  <w:style w:type="paragraph" w:styleId="Naslov2">
    <w:name w:val="heading 2"/>
    <w:basedOn w:val="Normal"/>
    <w:next w:val="Normal"/>
    <w:link w:val="Naslov2Char"/>
    <w:uiPriority w:val="99"/>
    <w:qFormat/>
    <w:rsid w:val="001B70D9"/>
    <w:pPr>
      <w:keepNext/>
      <w:keepLines/>
      <w:spacing w:before="200" w:after="0"/>
      <w:outlineLvl w:val="1"/>
    </w:pPr>
    <w:rPr>
      <w:rFonts w:eastAsia="Times New Roman"/>
      <w:bCs/>
      <w:sz w:val="22"/>
      <w:szCs w:val="26"/>
    </w:rPr>
  </w:style>
  <w:style w:type="paragraph" w:styleId="Naslov3">
    <w:name w:val="heading 3"/>
    <w:basedOn w:val="Normal"/>
    <w:next w:val="Normal"/>
    <w:link w:val="Naslov3Char"/>
    <w:uiPriority w:val="99"/>
    <w:qFormat/>
    <w:rsid w:val="001B70D9"/>
    <w:pPr>
      <w:keepNext/>
      <w:keepLines/>
      <w:spacing w:before="200" w:after="0"/>
      <w:outlineLvl w:val="2"/>
    </w:pPr>
    <w:rPr>
      <w:rFonts w:eastAsia="Times New Roman"/>
      <w:b/>
      <w:bCs/>
      <w:sz w:val="20"/>
    </w:rPr>
  </w:style>
  <w:style w:type="paragraph" w:styleId="Naslov4">
    <w:name w:val="heading 4"/>
    <w:basedOn w:val="Normal"/>
    <w:next w:val="Normal"/>
    <w:link w:val="Naslov4Char"/>
    <w:uiPriority w:val="99"/>
    <w:qFormat/>
    <w:rsid w:val="001B70D9"/>
    <w:pPr>
      <w:keepNext/>
      <w:keepLines/>
      <w:spacing w:before="200" w:after="0"/>
      <w:outlineLvl w:val="3"/>
    </w:pPr>
    <w:rPr>
      <w:rFonts w:eastAsia="Times New Roman"/>
      <w:bCs/>
      <w:iCs/>
      <w:sz w:val="20"/>
    </w:rPr>
  </w:style>
  <w:style w:type="paragraph" w:styleId="Naslov5">
    <w:name w:val="heading 5"/>
    <w:basedOn w:val="Normal"/>
    <w:next w:val="Normal"/>
    <w:link w:val="Naslov5Char"/>
    <w:uiPriority w:val="99"/>
    <w:qFormat/>
    <w:rsid w:val="000736BF"/>
    <w:pPr>
      <w:keepNext/>
      <w:keepLines/>
      <w:spacing w:before="40" w:after="0"/>
      <w:outlineLvl w:val="4"/>
    </w:pPr>
    <w:rPr>
      <w:rFonts w:ascii="Calibri Light" w:eastAsia="Times New Roman" w:hAnsi="Calibri Light"/>
      <w:color w:val="2E74B5"/>
    </w:rPr>
  </w:style>
  <w:style w:type="paragraph" w:styleId="Naslov6">
    <w:name w:val="heading 6"/>
    <w:basedOn w:val="Normal"/>
    <w:next w:val="Normal"/>
    <w:link w:val="Naslov6Char"/>
    <w:uiPriority w:val="99"/>
    <w:qFormat/>
    <w:rsid w:val="00F036E9"/>
    <w:pPr>
      <w:keepNext/>
      <w:keepLines/>
      <w:spacing w:before="40" w:after="0"/>
      <w:outlineLvl w:val="5"/>
    </w:pPr>
    <w:rPr>
      <w:rFonts w:ascii="Calibri Light" w:eastAsia="Times New Roman" w:hAnsi="Calibri Light"/>
      <w:color w:val="1F4D78"/>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9"/>
    <w:qFormat/>
    <w:locked/>
    <w:rsid w:val="001B70D9"/>
    <w:rPr>
      <w:rFonts w:eastAsia="Times New Roman" w:cs="Times New Roman"/>
      <w:b/>
      <w:bCs/>
      <w:sz w:val="28"/>
      <w:szCs w:val="28"/>
    </w:rPr>
  </w:style>
  <w:style w:type="character" w:customStyle="1" w:styleId="Naslov2Char">
    <w:name w:val="Naslov 2 Char"/>
    <w:basedOn w:val="Zadanifontodlomka"/>
    <w:link w:val="Naslov2"/>
    <w:uiPriority w:val="99"/>
    <w:qFormat/>
    <w:locked/>
    <w:rsid w:val="001B70D9"/>
    <w:rPr>
      <w:rFonts w:eastAsia="Times New Roman" w:cs="Times New Roman"/>
      <w:bCs/>
      <w:sz w:val="26"/>
      <w:szCs w:val="26"/>
    </w:rPr>
  </w:style>
  <w:style w:type="character" w:customStyle="1" w:styleId="Naslov3Char">
    <w:name w:val="Naslov 3 Char"/>
    <w:basedOn w:val="Zadanifontodlomka"/>
    <w:link w:val="Naslov3"/>
    <w:uiPriority w:val="99"/>
    <w:qFormat/>
    <w:locked/>
    <w:rsid w:val="001B70D9"/>
    <w:rPr>
      <w:rFonts w:eastAsia="Times New Roman" w:cs="Times New Roman"/>
      <w:b/>
      <w:bCs/>
      <w:sz w:val="20"/>
    </w:rPr>
  </w:style>
  <w:style w:type="character" w:customStyle="1" w:styleId="Naslov4Char">
    <w:name w:val="Naslov 4 Char"/>
    <w:basedOn w:val="Zadanifontodlomka"/>
    <w:link w:val="Naslov4"/>
    <w:uiPriority w:val="99"/>
    <w:qFormat/>
    <w:locked/>
    <w:rsid w:val="001B70D9"/>
    <w:rPr>
      <w:rFonts w:eastAsia="Times New Roman" w:cs="Times New Roman"/>
      <w:bCs/>
      <w:iCs/>
      <w:sz w:val="20"/>
    </w:rPr>
  </w:style>
  <w:style w:type="character" w:customStyle="1" w:styleId="Naslov5Char">
    <w:name w:val="Naslov 5 Char"/>
    <w:basedOn w:val="Zadanifontodlomka"/>
    <w:link w:val="Naslov5"/>
    <w:uiPriority w:val="99"/>
    <w:qFormat/>
    <w:locked/>
    <w:rsid w:val="000736BF"/>
    <w:rPr>
      <w:rFonts w:ascii="Calibri Light" w:hAnsi="Calibri Light" w:cs="Times New Roman"/>
      <w:color w:val="2E74B5"/>
      <w:sz w:val="24"/>
    </w:rPr>
  </w:style>
  <w:style w:type="character" w:customStyle="1" w:styleId="Naslov6Char">
    <w:name w:val="Naslov 6 Char"/>
    <w:basedOn w:val="Zadanifontodlomka"/>
    <w:link w:val="Naslov6"/>
    <w:uiPriority w:val="99"/>
    <w:qFormat/>
    <w:locked/>
    <w:rsid w:val="00F036E9"/>
    <w:rPr>
      <w:rFonts w:ascii="Calibri Light" w:hAnsi="Calibri Light" w:cs="Times New Roman"/>
      <w:color w:val="1F4D78"/>
      <w:sz w:val="24"/>
    </w:rPr>
  </w:style>
  <w:style w:type="character" w:customStyle="1" w:styleId="Internetskapoveznica">
    <w:name w:val="Internetska poveznica"/>
    <w:basedOn w:val="Zadanifontodlomka"/>
    <w:uiPriority w:val="99"/>
    <w:rsid w:val="001B70D9"/>
    <w:rPr>
      <w:rFonts w:cs="Times New Roman"/>
      <w:color w:val="0000FF"/>
      <w:u w:val="single"/>
    </w:rPr>
  </w:style>
  <w:style w:type="character" w:customStyle="1" w:styleId="OdlomakpopisaChar">
    <w:name w:val="Odlomak popisa Char"/>
    <w:basedOn w:val="Zadanifontodlomka"/>
    <w:link w:val="Odlomakpopisa"/>
    <w:uiPriority w:val="99"/>
    <w:qFormat/>
    <w:locked/>
    <w:rsid w:val="001B70D9"/>
    <w:rPr>
      <w:rFonts w:cs="Times New Roman"/>
      <w:lang w:val="en-US"/>
    </w:rPr>
  </w:style>
  <w:style w:type="character" w:customStyle="1" w:styleId="TekstbaloniaChar">
    <w:name w:val="Tekst balončića Char"/>
    <w:basedOn w:val="Zadanifontodlomka"/>
    <w:link w:val="Tekstbalonia"/>
    <w:uiPriority w:val="99"/>
    <w:semiHidden/>
    <w:qFormat/>
    <w:locked/>
    <w:rsid w:val="001B70D9"/>
    <w:rPr>
      <w:rFonts w:ascii="Tahoma" w:hAnsi="Tahoma" w:cs="Tahoma"/>
      <w:sz w:val="16"/>
      <w:szCs w:val="16"/>
    </w:rPr>
  </w:style>
  <w:style w:type="character" w:customStyle="1" w:styleId="ZaglavljeChar">
    <w:name w:val="Zaglavlje Char"/>
    <w:basedOn w:val="Zadanifontodlomka"/>
    <w:link w:val="Zaglavlje"/>
    <w:uiPriority w:val="99"/>
    <w:qFormat/>
    <w:locked/>
    <w:rsid w:val="001B70D9"/>
    <w:rPr>
      <w:rFonts w:cs="Times New Roman"/>
      <w:sz w:val="24"/>
    </w:rPr>
  </w:style>
  <w:style w:type="character" w:customStyle="1" w:styleId="PodnojeChar">
    <w:name w:val="Podnožje Char"/>
    <w:basedOn w:val="Zadanifontodlomka"/>
    <w:link w:val="Podnoje"/>
    <w:uiPriority w:val="99"/>
    <w:qFormat/>
    <w:locked/>
    <w:rsid w:val="001B70D9"/>
    <w:rPr>
      <w:rFonts w:cs="Times New Roman"/>
      <w:sz w:val="24"/>
    </w:rPr>
  </w:style>
  <w:style w:type="character" w:customStyle="1" w:styleId="Bodytext">
    <w:name w:val="Body text_"/>
    <w:link w:val="BodyText20"/>
    <w:uiPriority w:val="99"/>
    <w:qFormat/>
    <w:locked/>
    <w:rsid w:val="001B70D9"/>
    <w:rPr>
      <w:rFonts w:ascii="Times New Roman" w:hAnsi="Times New Roman"/>
      <w:sz w:val="21"/>
      <w:shd w:val="clear" w:color="auto" w:fill="FFFFFF"/>
    </w:rPr>
  </w:style>
  <w:style w:type="character" w:customStyle="1" w:styleId="TijelotekstaChar">
    <w:name w:val="Tijelo teksta Char"/>
    <w:basedOn w:val="Zadanifontodlomka"/>
    <w:link w:val="Tijeloteksta"/>
    <w:uiPriority w:val="99"/>
    <w:qFormat/>
    <w:locked/>
    <w:rsid w:val="001B70D9"/>
    <w:rPr>
      <w:rFonts w:cs="Times New Roman"/>
      <w:sz w:val="24"/>
    </w:rPr>
  </w:style>
  <w:style w:type="character" w:customStyle="1" w:styleId="apple-converted-space">
    <w:name w:val="apple-converted-space"/>
    <w:basedOn w:val="Zadanifontodlomka"/>
    <w:uiPriority w:val="99"/>
    <w:qFormat/>
    <w:rsid w:val="001B70D9"/>
    <w:rPr>
      <w:rFonts w:cs="Times New Roman"/>
    </w:rPr>
  </w:style>
  <w:style w:type="character" w:customStyle="1" w:styleId="FootnoteTextChar">
    <w:name w:val="Footnote Text Char"/>
    <w:basedOn w:val="Zadanifontodlomka"/>
    <w:link w:val="Tekstfusnote"/>
    <w:uiPriority w:val="99"/>
    <w:qFormat/>
    <w:locked/>
    <w:rsid w:val="001B70D9"/>
    <w:rPr>
      <w:rFonts w:cs="Times New Roman"/>
      <w:sz w:val="20"/>
      <w:szCs w:val="20"/>
    </w:rPr>
  </w:style>
  <w:style w:type="character" w:styleId="Referencafusnote">
    <w:name w:val="footnote reference"/>
    <w:basedOn w:val="Zadanifontodlomka"/>
    <w:uiPriority w:val="99"/>
    <w:qFormat/>
    <w:rsid w:val="001B70D9"/>
    <w:rPr>
      <w:rFonts w:cs="Times New Roman"/>
      <w:vertAlign w:val="superscript"/>
    </w:rPr>
  </w:style>
  <w:style w:type="character" w:customStyle="1" w:styleId="Tijeloteksta2Char">
    <w:name w:val="Tijelo teksta 2 Char"/>
    <w:basedOn w:val="Zadanifontodlomka"/>
    <w:link w:val="Tijeloteksta2"/>
    <w:uiPriority w:val="99"/>
    <w:qFormat/>
    <w:locked/>
    <w:rsid w:val="00DC224A"/>
    <w:rPr>
      <w:rFonts w:cs="Times New Roman"/>
      <w:sz w:val="24"/>
    </w:rPr>
  </w:style>
  <w:style w:type="character" w:customStyle="1" w:styleId="BezproredaChar">
    <w:name w:val="Bez proreda Char"/>
    <w:link w:val="Bezproreda2"/>
    <w:uiPriority w:val="99"/>
    <w:qFormat/>
    <w:locked/>
    <w:rsid w:val="00DC224A"/>
    <w:rPr>
      <w:sz w:val="22"/>
      <w:lang w:val="hr-HR" w:eastAsia="en-US"/>
    </w:rPr>
  </w:style>
  <w:style w:type="character" w:styleId="Referencakomentara">
    <w:name w:val="annotation reference"/>
    <w:basedOn w:val="Zadanifontodlomka"/>
    <w:uiPriority w:val="99"/>
    <w:semiHidden/>
    <w:qFormat/>
    <w:rsid w:val="00C5458B"/>
    <w:rPr>
      <w:rFonts w:cs="Times New Roman"/>
      <w:sz w:val="16"/>
      <w:szCs w:val="16"/>
    </w:rPr>
  </w:style>
  <w:style w:type="character" w:customStyle="1" w:styleId="TekstkomentaraChar">
    <w:name w:val="Tekst komentara Char"/>
    <w:basedOn w:val="Zadanifontodlomka"/>
    <w:link w:val="Tekstkomentara"/>
    <w:uiPriority w:val="99"/>
    <w:qFormat/>
    <w:locked/>
    <w:rsid w:val="00C5458B"/>
    <w:rPr>
      <w:rFonts w:cs="Times New Roman"/>
      <w:sz w:val="20"/>
      <w:szCs w:val="20"/>
    </w:rPr>
  </w:style>
  <w:style w:type="character" w:customStyle="1" w:styleId="PredmetkomentaraChar">
    <w:name w:val="Predmet komentara Char"/>
    <w:basedOn w:val="TekstkomentaraChar"/>
    <w:link w:val="Predmetkomentara"/>
    <w:uiPriority w:val="99"/>
    <w:semiHidden/>
    <w:qFormat/>
    <w:locked/>
    <w:rsid w:val="00C5458B"/>
    <w:rPr>
      <w:rFonts w:cs="Times New Roman"/>
      <w:b/>
      <w:bCs/>
      <w:sz w:val="20"/>
      <w:szCs w:val="20"/>
    </w:rPr>
  </w:style>
  <w:style w:type="character" w:styleId="Istaknuto">
    <w:name w:val="Emphasis"/>
    <w:basedOn w:val="Zadanifontodlomka"/>
    <w:uiPriority w:val="99"/>
    <w:qFormat/>
    <w:rsid w:val="009353B4"/>
    <w:rPr>
      <w:rFonts w:ascii="Calibri" w:hAnsi="Calibri" w:cs="Times New Roman"/>
      <w:b/>
      <w:iCs/>
      <w:sz w:val="20"/>
    </w:rPr>
  </w:style>
  <w:style w:type="character" w:customStyle="1" w:styleId="T-98-2Char">
    <w:name w:val="T-9/8-2 Char"/>
    <w:uiPriority w:val="99"/>
    <w:qFormat/>
    <w:locked/>
    <w:rsid w:val="00D26B92"/>
    <w:rPr>
      <w:rFonts w:ascii="Times-NewRoman" w:hAnsi="Times-NewRoman"/>
      <w:sz w:val="20"/>
      <w:lang w:val="en-GB"/>
    </w:rPr>
  </w:style>
  <w:style w:type="character" w:styleId="Naglaeno">
    <w:name w:val="Strong"/>
    <w:basedOn w:val="Zadanifontodlomka"/>
    <w:uiPriority w:val="99"/>
    <w:qFormat/>
    <w:rsid w:val="00BA7B8F"/>
    <w:rPr>
      <w:rFonts w:cs="Times New Roman"/>
      <w:b/>
      <w:bCs/>
    </w:rPr>
  </w:style>
  <w:style w:type="character" w:customStyle="1" w:styleId="Zadanifontodlomka1">
    <w:name w:val="Zadani font odlomka1"/>
    <w:uiPriority w:val="99"/>
    <w:qFormat/>
    <w:rsid w:val="000B1616"/>
  </w:style>
  <w:style w:type="character" w:customStyle="1" w:styleId="FootnoteTextChar1">
    <w:name w:val="Footnote Text Char1"/>
    <w:basedOn w:val="Zadanifontodlomka"/>
    <w:uiPriority w:val="99"/>
    <w:qFormat/>
    <w:rsid w:val="00573899"/>
    <w:rPr>
      <w:rFonts w:cs="Times New Roman"/>
    </w:rPr>
  </w:style>
  <w:style w:type="character" w:customStyle="1" w:styleId="st1">
    <w:name w:val="st1"/>
    <w:uiPriority w:val="99"/>
    <w:qFormat/>
    <w:rsid w:val="00573899"/>
  </w:style>
  <w:style w:type="character" w:customStyle="1" w:styleId="font81">
    <w:name w:val="font81"/>
    <w:basedOn w:val="Zadanifontodlomka"/>
    <w:uiPriority w:val="99"/>
    <w:qFormat/>
    <w:rsid w:val="009D7794"/>
    <w:rPr>
      <w:rFonts w:ascii="Calibri" w:hAnsi="Calibri" w:cs="Calibri"/>
      <w:color w:val="333333"/>
      <w:sz w:val="21"/>
      <w:szCs w:val="21"/>
      <w:u w:val="none"/>
      <w:effect w:val="none"/>
    </w:rPr>
  </w:style>
  <w:style w:type="character" w:customStyle="1" w:styleId="Mention1">
    <w:name w:val="Mention1"/>
    <w:basedOn w:val="Zadanifontodlomka"/>
    <w:uiPriority w:val="99"/>
    <w:semiHidden/>
    <w:qFormat/>
    <w:rsid w:val="008861A9"/>
    <w:rPr>
      <w:rFonts w:cs="Times New Roman"/>
      <w:color w:val="2B579A"/>
      <w:shd w:val="clear" w:color="auto" w:fill="E6E6E6"/>
    </w:rPr>
  </w:style>
  <w:style w:type="character" w:styleId="Jakoisticanje">
    <w:name w:val="Intense Emphasis"/>
    <w:basedOn w:val="Zadanifontodlomka"/>
    <w:uiPriority w:val="99"/>
    <w:qFormat/>
    <w:rsid w:val="00A713E6"/>
    <w:rPr>
      <w:rFonts w:cs="Times New Roman"/>
      <w:i/>
      <w:iCs/>
      <w:color w:val="5B9BD5"/>
    </w:rPr>
  </w:style>
  <w:style w:type="character" w:styleId="Neupadljivareferenca">
    <w:name w:val="Subtle Reference"/>
    <w:basedOn w:val="Zadanifontodlomka"/>
    <w:uiPriority w:val="99"/>
    <w:qFormat/>
    <w:rsid w:val="009B6F3A"/>
    <w:rPr>
      <w:rFonts w:cs="Times New Roman"/>
      <w:smallCaps/>
      <w:color w:val="5A5A5A"/>
    </w:rPr>
  </w:style>
  <w:style w:type="character" w:styleId="Neupadljivoisticanje">
    <w:name w:val="Subtle Emphasis"/>
    <w:basedOn w:val="Zadanifontodlomka"/>
    <w:uiPriority w:val="99"/>
    <w:qFormat/>
    <w:rsid w:val="003F23EE"/>
    <w:rPr>
      <w:rFonts w:ascii="Calibri" w:hAnsi="Calibri" w:cs="Times New Roman"/>
      <w:iCs/>
      <w:color w:val="404040"/>
      <w:sz w:val="20"/>
    </w:rPr>
  </w:style>
  <w:style w:type="character" w:customStyle="1" w:styleId="Spominjanje1">
    <w:name w:val="Spominjanje1"/>
    <w:basedOn w:val="Zadanifontodlomka"/>
    <w:uiPriority w:val="99"/>
    <w:semiHidden/>
    <w:qFormat/>
    <w:rsid w:val="00672BBD"/>
    <w:rPr>
      <w:rFonts w:cs="Times New Roman"/>
      <w:color w:val="2B579A"/>
      <w:shd w:val="clear" w:color="auto" w:fill="E6E6E6"/>
    </w:rPr>
  </w:style>
  <w:style w:type="character" w:customStyle="1" w:styleId="Mention2">
    <w:name w:val="Mention2"/>
    <w:basedOn w:val="Zadanifontodlomka"/>
    <w:uiPriority w:val="99"/>
    <w:semiHidden/>
    <w:qFormat/>
    <w:rsid w:val="007E32FA"/>
    <w:rPr>
      <w:rFonts w:cs="Times New Roman"/>
      <w:color w:val="2B579A"/>
      <w:shd w:val="clear" w:color="auto" w:fill="E6E6E6"/>
    </w:rPr>
  </w:style>
  <w:style w:type="character" w:customStyle="1" w:styleId="Spominjanje2">
    <w:name w:val="Spominjanje2"/>
    <w:basedOn w:val="Zadanifontodlomka"/>
    <w:uiPriority w:val="99"/>
    <w:semiHidden/>
    <w:qFormat/>
    <w:rsid w:val="008427C0"/>
    <w:rPr>
      <w:rFonts w:cs="Times New Roman"/>
      <w:color w:val="2B579A"/>
      <w:shd w:val="clear" w:color="auto" w:fill="E6E6E6"/>
    </w:rPr>
  </w:style>
  <w:style w:type="character" w:customStyle="1" w:styleId="Nerijeenospominjanje1">
    <w:name w:val="Neriješeno spominjanje1"/>
    <w:basedOn w:val="Zadanifontodlomka"/>
    <w:uiPriority w:val="99"/>
    <w:semiHidden/>
    <w:qFormat/>
    <w:rsid w:val="00FA5FBA"/>
    <w:rPr>
      <w:rFonts w:cs="Times New Roman"/>
      <w:color w:val="808080"/>
      <w:shd w:val="clear" w:color="auto" w:fill="E6E6E6"/>
    </w:rPr>
  </w:style>
  <w:style w:type="character" w:customStyle="1" w:styleId="Nerijeenospominjanje2">
    <w:name w:val="Neriješeno spominjanje2"/>
    <w:basedOn w:val="Zadanifontodlomka"/>
    <w:uiPriority w:val="99"/>
    <w:semiHidden/>
    <w:qFormat/>
    <w:rsid w:val="00F61005"/>
    <w:rPr>
      <w:rFonts w:cs="Times New Roman"/>
      <w:color w:val="808080"/>
      <w:shd w:val="clear" w:color="auto" w:fill="E6E6E6"/>
    </w:rPr>
  </w:style>
  <w:style w:type="character" w:customStyle="1" w:styleId="Naglaeno1">
    <w:name w:val="Naglašeno1"/>
    <w:basedOn w:val="Zadanifontodlomka1"/>
    <w:uiPriority w:val="99"/>
    <w:qFormat/>
    <w:rsid w:val="00D83743"/>
    <w:rPr>
      <w:rFonts w:cs="Times New Roman"/>
      <w:b/>
      <w:bCs/>
    </w:rPr>
  </w:style>
  <w:style w:type="character" w:customStyle="1" w:styleId="Zadanifontodlomka2">
    <w:name w:val="Zadani font odlomka2"/>
    <w:uiPriority w:val="99"/>
    <w:qFormat/>
    <w:rsid w:val="00BB3959"/>
  </w:style>
  <w:style w:type="character" w:customStyle="1" w:styleId="Tablecaption3">
    <w:name w:val="Table caption (3)_"/>
    <w:basedOn w:val="Zadanifontodlomka"/>
    <w:link w:val="Tablecaption30"/>
    <w:uiPriority w:val="99"/>
    <w:qFormat/>
    <w:locked/>
    <w:rsid w:val="006713E2"/>
    <w:rPr>
      <w:rFonts w:ascii="Arial" w:hAnsi="Arial" w:cs="Arial"/>
      <w:shd w:val="clear" w:color="auto" w:fill="FFFFFF"/>
    </w:rPr>
  </w:style>
  <w:style w:type="character" w:customStyle="1" w:styleId="Picturecaption4">
    <w:name w:val="Picture caption (4)_"/>
    <w:basedOn w:val="Zadanifontodlomka"/>
    <w:link w:val="Picturecaption40"/>
    <w:uiPriority w:val="99"/>
    <w:qFormat/>
    <w:locked/>
    <w:rsid w:val="006E7291"/>
    <w:rPr>
      <w:rFonts w:ascii="Franklin Gothic Heavy" w:hAnsi="Franklin Gothic Heavy" w:cs="Franklin Gothic Heavy"/>
      <w:sz w:val="11"/>
      <w:szCs w:val="11"/>
      <w:shd w:val="clear" w:color="auto" w:fill="FFFFFF"/>
    </w:rPr>
  </w:style>
  <w:style w:type="character" w:customStyle="1" w:styleId="Bodytext18">
    <w:name w:val="Body text (18)_"/>
    <w:basedOn w:val="Zadanifontodlomka"/>
    <w:link w:val="Bodytext180"/>
    <w:uiPriority w:val="99"/>
    <w:qFormat/>
    <w:locked/>
    <w:rsid w:val="006E7291"/>
    <w:rPr>
      <w:rFonts w:ascii="Arial" w:hAnsi="Arial" w:cs="Arial"/>
      <w:i/>
      <w:iCs/>
      <w:sz w:val="23"/>
      <w:szCs w:val="23"/>
      <w:shd w:val="clear" w:color="auto" w:fill="FFFFFF"/>
    </w:rPr>
  </w:style>
  <w:style w:type="character" w:customStyle="1" w:styleId="Tablecaption3SmallCaps">
    <w:name w:val="Table caption (3) + Small Caps"/>
    <w:basedOn w:val="Tablecaption3"/>
    <w:uiPriority w:val="99"/>
    <w:qFormat/>
    <w:rsid w:val="002721D2"/>
    <w:rPr>
      <w:rFonts w:ascii="Arial" w:hAnsi="Arial" w:cs="Arial"/>
      <w:smallCaps/>
      <w:color w:val="000000"/>
      <w:spacing w:val="0"/>
      <w:w w:val="100"/>
      <w:sz w:val="24"/>
      <w:szCs w:val="24"/>
      <w:u w:val="none"/>
      <w:shd w:val="clear" w:color="auto" w:fill="FFFFFF"/>
      <w:lang w:val="hr-HR"/>
    </w:rPr>
  </w:style>
  <w:style w:type="character" w:customStyle="1" w:styleId="Zadanifontodlomka3">
    <w:name w:val="Zadani font odlomka3"/>
    <w:uiPriority w:val="99"/>
    <w:qFormat/>
    <w:rsid w:val="007F39DA"/>
  </w:style>
  <w:style w:type="character" w:customStyle="1" w:styleId="Zadanifontodlomka4">
    <w:name w:val="Zadani font odlomka4"/>
    <w:uiPriority w:val="99"/>
    <w:qFormat/>
    <w:rsid w:val="004077D3"/>
  </w:style>
  <w:style w:type="character" w:styleId="Tekstrezerviranogmjesta">
    <w:name w:val="Placeholder Text"/>
    <w:basedOn w:val="Zadanifontodlomka"/>
    <w:uiPriority w:val="99"/>
    <w:semiHidden/>
    <w:qFormat/>
    <w:rsid w:val="00B73498"/>
    <w:rPr>
      <w:rFonts w:cs="Times New Roman"/>
      <w:color w:val="808080"/>
    </w:rPr>
  </w:style>
  <w:style w:type="character" w:customStyle="1" w:styleId="NoSpacingChar">
    <w:name w:val="No Spacing Char"/>
    <w:link w:val="Bezproreda1"/>
    <w:uiPriority w:val="99"/>
    <w:qFormat/>
    <w:locked/>
    <w:rsid w:val="00094AE3"/>
    <w:rPr>
      <w:sz w:val="22"/>
      <w:lang w:val="en-US" w:eastAsia="en-US"/>
    </w:rPr>
  </w:style>
  <w:style w:type="character" w:customStyle="1" w:styleId="FontStyle99">
    <w:name w:val="Font Style99"/>
    <w:basedOn w:val="Zadanifontodlomka"/>
    <w:uiPriority w:val="99"/>
    <w:qFormat/>
    <w:rsid w:val="008B6BCD"/>
    <w:rPr>
      <w:rFonts w:ascii="Times New Roman" w:hAnsi="Times New Roman" w:cs="Times New Roman"/>
      <w:sz w:val="22"/>
      <w:szCs w:val="22"/>
    </w:rPr>
  </w:style>
  <w:style w:type="character" w:customStyle="1" w:styleId="FontStyle98">
    <w:name w:val="Font Style98"/>
    <w:basedOn w:val="Zadanifontodlomka"/>
    <w:uiPriority w:val="99"/>
    <w:qFormat/>
    <w:rsid w:val="008B6BCD"/>
    <w:rPr>
      <w:rFonts w:ascii="Times New Roman" w:hAnsi="Times New Roman" w:cs="Times New Roman"/>
      <w:sz w:val="32"/>
      <w:szCs w:val="32"/>
    </w:rPr>
  </w:style>
  <w:style w:type="character" w:customStyle="1" w:styleId="FontStyle136">
    <w:name w:val="Font Style136"/>
    <w:basedOn w:val="Zadanifontodlomka"/>
    <w:uiPriority w:val="99"/>
    <w:qFormat/>
    <w:rsid w:val="008B6BCD"/>
    <w:rPr>
      <w:rFonts w:ascii="Times New Roman" w:hAnsi="Times New Roman" w:cs="Times New Roman"/>
      <w:spacing w:val="30"/>
      <w:sz w:val="20"/>
      <w:szCs w:val="20"/>
    </w:rPr>
  </w:style>
  <w:style w:type="character" w:customStyle="1" w:styleId="FontStyle95">
    <w:name w:val="Font Style95"/>
    <w:basedOn w:val="Zadanifontodlomka"/>
    <w:uiPriority w:val="99"/>
    <w:qFormat/>
    <w:rsid w:val="00D97D6A"/>
    <w:rPr>
      <w:rFonts w:ascii="Times New Roman" w:hAnsi="Times New Roman" w:cs="Times New Roman"/>
      <w:b/>
      <w:bCs/>
      <w:sz w:val="22"/>
      <w:szCs w:val="22"/>
    </w:rPr>
  </w:style>
  <w:style w:type="character" w:customStyle="1" w:styleId="ListLabel1">
    <w:name w:val="ListLabel 1"/>
    <w:qFormat/>
    <w:rPr>
      <w:rFonts w:eastAsia="Times New Roman"/>
    </w:rPr>
  </w:style>
  <w:style w:type="character" w:customStyle="1" w:styleId="ListLabel2">
    <w:name w:val="ListLabel 2"/>
    <w:qFormat/>
    <w:rPr>
      <w:rFonts w:eastAsia="Times New Roman"/>
    </w:rPr>
  </w:style>
  <w:style w:type="character" w:customStyle="1" w:styleId="ListLabel3">
    <w:name w:val="ListLabel 3"/>
    <w:qFormat/>
    <w:rPr>
      <w:rFonts w:eastAsia="Times New Roman"/>
    </w:rPr>
  </w:style>
  <w:style w:type="character" w:customStyle="1" w:styleId="ListLabel4">
    <w:name w:val="ListLabel 4"/>
    <w:qFormat/>
    <w:rPr>
      <w:rFonts w:eastAsia="Times New Roman"/>
      <w:sz w:val="24"/>
    </w:rPr>
  </w:style>
  <w:style w:type="character" w:customStyle="1" w:styleId="ListLabel5">
    <w:name w:val="ListLabel 5"/>
    <w:qFormat/>
    <w:rPr>
      <w:rFonts w:eastAsia="Times New Roman"/>
      <w:sz w:val="24"/>
    </w:rPr>
  </w:style>
  <w:style w:type="character" w:customStyle="1" w:styleId="ListLabel6">
    <w:name w:val="ListLabel 6"/>
    <w:qFormat/>
    <w:rPr>
      <w:rFonts w:eastAsia="Times New Roman"/>
    </w:rPr>
  </w:style>
  <w:style w:type="character" w:customStyle="1" w:styleId="ListLabel7">
    <w:name w:val="ListLabel 7"/>
    <w:qFormat/>
    <w:rPr>
      <w:rFonts w:cs="Times New Roman"/>
    </w:rPr>
  </w:style>
  <w:style w:type="character" w:customStyle="1" w:styleId="ListLabel8">
    <w:name w:val="ListLabel 8"/>
    <w:qFormat/>
    <w:rPr>
      <w:rFonts w:cs="Times New Roman"/>
    </w:rPr>
  </w:style>
  <w:style w:type="character" w:customStyle="1" w:styleId="ListLabel9">
    <w:name w:val="ListLabel 9"/>
    <w:qFormat/>
    <w:rPr>
      <w:rFonts w:cs="Times New Roman"/>
    </w:rPr>
  </w:style>
  <w:style w:type="character" w:customStyle="1" w:styleId="ListLabel10">
    <w:name w:val="ListLabel 10"/>
    <w:qFormat/>
    <w:rPr>
      <w:rFonts w:cs="Times New Roman"/>
    </w:rPr>
  </w:style>
  <w:style w:type="character" w:customStyle="1" w:styleId="ListLabel11">
    <w:name w:val="ListLabel 11"/>
    <w:qFormat/>
    <w:rPr>
      <w:rFonts w:cs="Times New Roman"/>
    </w:rPr>
  </w:style>
  <w:style w:type="character" w:customStyle="1" w:styleId="ListLabel12">
    <w:name w:val="ListLabel 12"/>
    <w:qFormat/>
    <w:rPr>
      <w:rFonts w:cs="Times New Roman"/>
    </w:rPr>
  </w:style>
  <w:style w:type="character" w:customStyle="1" w:styleId="ListLabel13">
    <w:name w:val="ListLabel 13"/>
    <w:qFormat/>
    <w:rPr>
      <w:rFonts w:cs="Times New Roman"/>
    </w:rPr>
  </w:style>
  <w:style w:type="character" w:customStyle="1" w:styleId="ListLabel14">
    <w:name w:val="ListLabel 14"/>
    <w:qFormat/>
    <w:rPr>
      <w:rFonts w:cs="Times New Roman"/>
    </w:rPr>
  </w:style>
  <w:style w:type="character" w:customStyle="1" w:styleId="ListLabel15">
    <w:name w:val="ListLabel 15"/>
    <w:qFormat/>
    <w:rPr>
      <w:rFonts w:cs="Times New Roman"/>
    </w:rPr>
  </w:style>
  <w:style w:type="character" w:customStyle="1" w:styleId="ListLabel16">
    <w:name w:val="ListLabel 16"/>
    <w:qFormat/>
    <w:rPr>
      <w:rFonts w:cs="Times New Roman"/>
    </w:rPr>
  </w:style>
  <w:style w:type="character" w:customStyle="1" w:styleId="ListLabel17">
    <w:name w:val="ListLabel 17"/>
    <w:qFormat/>
    <w:rPr>
      <w:rFonts w:cs="Times New Roman"/>
    </w:rPr>
  </w:style>
  <w:style w:type="character" w:customStyle="1" w:styleId="ListLabel18">
    <w:name w:val="ListLabel 18"/>
    <w:qFormat/>
    <w:rPr>
      <w:rFonts w:cs="Times New Roman"/>
    </w:rPr>
  </w:style>
  <w:style w:type="character" w:customStyle="1" w:styleId="ListLabel19">
    <w:name w:val="ListLabel 19"/>
    <w:qFormat/>
    <w:rPr>
      <w:rFonts w:cs="Times New Roman"/>
    </w:rPr>
  </w:style>
  <w:style w:type="character" w:customStyle="1" w:styleId="ListLabel20">
    <w:name w:val="ListLabel 20"/>
    <w:qFormat/>
    <w:rPr>
      <w:rFonts w:cs="Times New Roman"/>
    </w:rPr>
  </w:style>
  <w:style w:type="character" w:customStyle="1" w:styleId="ListLabel21">
    <w:name w:val="ListLabel 21"/>
    <w:qFormat/>
    <w:rPr>
      <w:rFonts w:cs="Times New Roman"/>
    </w:rPr>
  </w:style>
  <w:style w:type="character" w:customStyle="1" w:styleId="ListLabel22">
    <w:name w:val="ListLabel 22"/>
    <w:qFormat/>
    <w:rPr>
      <w:rFonts w:cs="Times New Roman"/>
    </w:rPr>
  </w:style>
  <w:style w:type="character" w:customStyle="1" w:styleId="ListLabel23">
    <w:name w:val="ListLabel 23"/>
    <w:qFormat/>
    <w:rPr>
      <w:rFonts w:cs="Times New Roman"/>
    </w:rPr>
  </w:style>
  <w:style w:type="character" w:customStyle="1" w:styleId="ListLabel24">
    <w:name w:val="ListLabel 24"/>
    <w:qFormat/>
    <w:rPr>
      <w:rFonts w:cs="Times New Roman"/>
    </w:rPr>
  </w:style>
  <w:style w:type="character" w:customStyle="1" w:styleId="ListLabel25">
    <w:name w:val="ListLabel 25"/>
    <w:qFormat/>
    <w:rPr>
      <w:rFonts w:eastAsia="Times New Roman"/>
      <w:b/>
    </w:rPr>
  </w:style>
  <w:style w:type="character" w:customStyle="1" w:styleId="ListLabel26">
    <w:name w:val="ListLabel 26"/>
    <w:qFormat/>
    <w:rPr>
      <w:rFonts w:eastAsia="Times New Roman"/>
    </w:rPr>
  </w:style>
  <w:style w:type="character" w:customStyle="1" w:styleId="ListLabel27">
    <w:name w:val="ListLabel 27"/>
    <w:qFormat/>
    <w:rPr>
      <w:rFonts w:eastAsia="Times New Roman"/>
    </w:rPr>
  </w:style>
  <w:style w:type="character" w:customStyle="1" w:styleId="ListLabel28">
    <w:name w:val="ListLabel 28"/>
    <w:qFormat/>
    <w:rPr>
      <w:rFonts w:eastAsia="Times New Roman"/>
    </w:rPr>
  </w:style>
  <w:style w:type="character" w:customStyle="1" w:styleId="ListLabel29">
    <w:name w:val="ListLabel 29"/>
    <w:qFormat/>
    <w:rPr>
      <w:rFonts w:cs="Times New Roman"/>
      <w:b/>
      <w:sz w:val="20"/>
    </w:rPr>
  </w:style>
  <w:style w:type="character" w:customStyle="1" w:styleId="ListLabel30">
    <w:name w:val="ListLabel 30"/>
    <w:qFormat/>
    <w:rPr>
      <w:rFonts w:cs="Times New Roman"/>
    </w:rPr>
  </w:style>
  <w:style w:type="character" w:customStyle="1" w:styleId="ListLabel31">
    <w:name w:val="ListLabel 31"/>
    <w:qFormat/>
    <w:rPr>
      <w:rFonts w:cs="Times New Roman"/>
    </w:rPr>
  </w:style>
  <w:style w:type="character" w:customStyle="1" w:styleId="ListLabel32">
    <w:name w:val="ListLabel 32"/>
    <w:qFormat/>
    <w:rPr>
      <w:rFonts w:cs="Times New Roman"/>
    </w:rPr>
  </w:style>
  <w:style w:type="character" w:customStyle="1" w:styleId="ListLabel33">
    <w:name w:val="ListLabel 33"/>
    <w:qFormat/>
    <w:rPr>
      <w:rFonts w:cs="Times New Roman"/>
    </w:rPr>
  </w:style>
  <w:style w:type="character" w:customStyle="1" w:styleId="ListLabel34">
    <w:name w:val="ListLabel 34"/>
    <w:qFormat/>
    <w:rPr>
      <w:rFonts w:cs="Times New Roman"/>
    </w:rPr>
  </w:style>
  <w:style w:type="character" w:customStyle="1" w:styleId="ListLabel35">
    <w:name w:val="ListLabel 35"/>
    <w:qFormat/>
    <w:rPr>
      <w:rFonts w:cs="Times New Roman"/>
    </w:rPr>
  </w:style>
  <w:style w:type="character" w:customStyle="1" w:styleId="ListLabel36">
    <w:name w:val="ListLabel 36"/>
    <w:qFormat/>
    <w:rPr>
      <w:rFonts w:cs="Times New Roman"/>
    </w:rPr>
  </w:style>
  <w:style w:type="character" w:customStyle="1" w:styleId="ListLabel37">
    <w:name w:val="ListLabel 37"/>
    <w:qFormat/>
    <w:rPr>
      <w:rFonts w:cs="Times New Roman"/>
    </w:rPr>
  </w:style>
  <w:style w:type="character" w:customStyle="1" w:styleId="ListLabel38">
    <w:name w:val="ListLabel 38"/>
    <w:qFormat/>
    <w:rPr>
      <w:rFonts w:eastAsia="Times New Roman"/>
    </w:rPr>
  </w:style>
  <w:style w:type="character" w:customStyle="1" w:styleId="ListLabel39">
    <w:name w:val="ListLabel 39"/>
    <w:qFormat/>
    <w:rPr>
      <w:rFonts w:eastAsia="Times New Roman"/>
    </w:rPr>
  </w:style>
  <w:style w:type="character" w:customStyle="1" w:styleId="ListLabel40">
    <w:name w:val="ListLabel 40"/>
    <w:qFormat/>
    <w:rPr>
      <w:rFonts w:eastAsia="Times New Roman"/>
      <w:sz w:val="24"/>
    </w:rPr>
  </w:style>
  <w:style w:type="character" w:customStyle="1" w:styleId="ListLabel41">
    <w:name w:val="ListLabel 41"/>
    <w:qFormat/>
    <w:rPr>
      <w:rFonts w:eastAsia="Times New Roman"/>
    </w:rPr>
  </w:style>
  <w:style w:type="character" w:customStyle="1" w:styleId="ListLabel42">
    <w:name w:val="ListLabel 42"/>
    <w:qFormat/>
    <w:rPr>
      <w:rFonts w:eastAsia="Times New Roman"/>
      <w:sz w:val="24"/>
    </w:rPr>
  </w:style>
  <w:style w:type="character" w:customStyle="1" w:styleId="ListLabel43">
    <w:name w:val="ListLabel 43"/>
    <w:qFormat/>
    <w:rPr>
      <w:rFonts w:cs="Times New Roman"/>
      <w:b/>
      <w:sz w:val="24"/>
    </w:rPr>
  </w:style>
  <w:style w:type="character" w:customStyle="1" w:styleId="ListLabel44">
    <w:name w:val="ListLabel 44"/>
    <w:qFormat/>
    <w:rPr>
      <w:rFonts w:cs="Times New Roman"/>
    </w:rPr>
  </w:style>
  <w:style w:type="character" w:customStyle="1" w:styleId="ListLabel45">
    <w:name w:val="ListLabel 45"/>
    <w:qFormat/>
    <w:rPr>
      <w:rFonts w:cs="Times New Roman"/>
    </w:rPr>
  </w:style>
  <w:style w:type="character" w:customStyle="1" w:styleId="ListLabel46">
    <w:name w:val="ListLabel 46"/>
    <w:qFormat/>
    <w:rPr>
      <w:rFonts w:cs="Times New Roman"/>
    </w:rPr>
  </w:style>
  <w:style w:type="character" w:customStyle="1" w:styleId="ListLabel47">
    <w:name w:val="ListLabel 47"/>
    <w:qFormat/>
    <w:rPr>
      <w:rFonts w:cs="Times New Roman"/>
    </w:rPr>
  </w:style>
  <w:style w:type="character" w:customStyle="1" w:styleId="ListLabel48">
    <w:name w:val="ListLabel 48"/>
    <w:qFormat/>
    <w:rPr>
      <w:rFonts w:cs="Times New Roman"/>
    </w:rPr>
  </w:style>
  <w:style w:type="character" w:customStyle="1" w:styleId="ListLabel49">
    <w:name w:val="ListLabel 49"/>
    <w:qFormat/>
    <w:rPr>
      <w:rFonts w:cs="Times New Roman"/>
    </w:rPr>
  </w:style>
  <w:style w:type="character" w:customStyle="1" w:styleId="ListLabel50">
    <w:name w:val="ListLabel 50"/>
    <w:qFormat/>
    <w:rPr>
      <w:rFonts w:cs="Times New Roman"/>
    </w:rPr>
  </w:style>
  <w:style w:type="character" w:customStyle="1" w:styleId="ListLabel51">
    <w:name w:val="ListLabel 51"/>
    <w:qFormat/>
    <w:rPr>
      <w:rFonts w:cs="Times New Roman"/>
    </w:rPr>
  </w:style>
  <w:style w:type="character" w:customStyle="1" w:styleId="ListLabel52">
    <w:name w:val="ListLabel 52"/>
    <w:qFormat/>
    <w:rPr>
      <w:rFonts w:eastAsia="Times New Roman"/>
      <w:sz w:val="24"/>
    </w:rPr>
  </w:style>
  <w:style w:type="character" w:customStyle="1" w:styleId="ListLabel53">
    <w:name w:val="ListLabel 53"/>
    <w:qFormat/>
    <w:rPr>
      <w:rFonts w:cs="Times New Roman"/>
      <w:sz w:val="24"/>
    </w:rPr>
  </w:style>
  <w:style w:type="character" w:customStyle="1" w:styleId="ListLabel54">
    <w:name w:val="ListLabel 54"/>
    <w:qFormat/>
    <w:rPr>
      <w:rFonts w:cs="Times New Roman"/>
    </w:rPr>
  </w:style>
  <w:style w:type="character" w:customStyle="1" w:styleId="ListLabel55">
    <w:name w:val="ListLabel 55"/>
    <w:qFormat/>
    <w:rPr>
      <w:rFonts w:cs="Times New Roman"/>
    </w:rPr>
  </w:style>
  <w:style w:type="character" w:customStyle="1" w:styleId="ListLabel56">
    <w:name w:val="ListLabel 56"/>
    <w:qFormat/>
    <w:rPr>
      <w:rFonts w:cs="Times New Roman"/>
    </w:rPr>
  </w:style>
  <w:style w:type="character" w:customStyle="1" w:styleId="ListLabel57">
    <w:name w:val="ListLabel 57"/>
    <w:qFormat/>
    <w:rPr>
      <w:rFonts w:cs="Times New Roman"/>
    </w:rPr>
  </w:style>
  <w:style w:type="character" w:customStyle="1" w:styleId="ListLabel58">
    <w:name w:val="ListLabel 58"/>
    <w:qFormat/>
    <w:rPr>
      <w:rFonts w:cs="Times New Roman"/>
    </w:rPr>
  </w:style>
  <w:style w:type="character" w:customStyle="1" w:styleId="ListLabel59">
    <w:name w:val="ListLabel 59"/>
    <w:qFormat/>
    <w:rPr>
      <w:rFonts w:cs="Times New Roman"/>
    </w:rPr>
  </w:style>
  <w:style w:type="character" w:customStyle="1" w:styleId="ListLabel60">
    <w:name w:val="ListLabel 60"/>
    <w:qFormat/>
    <w:rPr>
      <w:rFonts w:cs="Times New Roman"/>
    </w:rPr>
  </w:style>
  <w:style w:type="character" w:customStyle="1" w:styleId="ListLabel61">
    <w:name w:val="ListLabel 61"/>
    <w:qFormat/>
    <w:rPr>
      <w:rFonts w:cs="Times New Roman"/>
    </w:rPr>
  </w:style>
  <w:style w:type="character" w:customStyle="1" w:styleId="ListLabel62">
    <w:name w:val="ListLabel 62"/>
    <w:qFormat/>
    <w:rPr>
      <w:rFonts w:eastAsia="Times New Roman"/>
      <w:sz w:val="24"/>
    </w:rPr>
  </w:style>
  <w:style w:type="character" w:customStyle="1" w:styleId="ListLabel63">
    <w:name w:val="ListLabel 63"/>
    <w:qFormat/>
    <w:rPr>
      <w:rFonts w:eastAsia="Times New Roman"/>
      <w:sz w:val="24"/>
    </w:rPr>
  </w:style>
  <w:style w:type="character" w:customStyle="1" w:styleId="ListLabel64">
    <w:name w:val="ListLabel 64"/>
    <w:qFormat/>
    <w:rPr>
      <w:rFonts w:eastAsia="Times New Roman"/>
      <w:sz w:val="24"/>
    </w:rPr>
  </w:style>
  <w:style w:type="character" w:customStyle="1" w:styleId="ListLabel65">
    <w:name w:val="ListLabel 65"/>
    <w:qFormat/>
    <w:rPr>
      <w:rFonts w:eastAsia="Times New Roman"/>
      <w:sz w:val="24"/>
    </w:rPr>
  </w:style>
  <w:style w:type="character" w:customStyle="1" w:styleId="ListLabel66">
    <w:name w:val="ListLabel 66"/>
    <w:qFormat/>
    <w:rPr>
      <w:rFonts w:eastAsia="Times New Roman"/>
      <w:sz w:val="24"/>
    </w:rPr>
  </w:style>
  <w:style w:type="character" w:customStyle="1" w:styleId="ListLabel67">
    <w:name w:val="ListLabel 67"/>
    <w:qFormat/>
    <w:rPr>
      <w:rFonts w:eastAsia="Times New Roman"/>
      <w:sz w:val="24"/>
    </w:rPr>
  </w:style>
  <w:style w:type="character" w:customStyle="1" w:styleId="ListLabel68">
    <w:name w:val="ListLabel 68"/>
    <w:qFormat/>
    <w:rPr>
      <w:rFonts w:eastAsia="Times New Roman"/>
      <w:sz w:val="24"/>
    </w:rPr>
  </w:style>
  <w:style w:type="character" w:customStyle="1" w:styleId="ListLabel69">
    <w:name w:val="ListLabel 69"/>
    <w:qFormat/>
    <w:rPr>
      <w:rFonts w:eastAsia="Times New Roman"/>
    </w:rPr>
  </w:style>
  <w:style w:type="character" w:customStyle="1" w:styleId="ListLabel70">
    <w:name w:val="ListLabel 70"/>
    <w:qFormat/>
    <w:rPr>
      <w:rFonts w:cs="Times New Roman"/>
      <w:sz w:val="20"/>
    </w:rPr>
  </w:style>
  <w:style w:type="character" w:customStyle="1" w:styleId="ListLabel71">
    <w:name w:val="ListLabel 71"/>
    <w:qFormat/>
    <w:rPr>
      <w:rFonts w:cs="Times New Roman"/>
    </w:rPr>
  </w:style>
  <w:style w:type="character" w:customStyle="1" w:styleId="ListLabel72">
    <w:name w:val="ListLabel 72"/>
    <w:qFormat/>
    <w:rPr>
      <w:rFonts w:cs="Times New Roman"/>
    </w:rPr>
  </w:style>
  <w:style w:type="character" w:customStyle="1" w:styleId="ListLabel73">
    <w:name w:val="ListLabel 73"/>
    <w:qFormat/>
    <w:rPr>
      <w:rFonts w:cs="Times New Roman"/>
    </w:rPr>
  </w:style>
  <w:style w:type="character" w:customStyle="1" w:styleId="ListLabel74">
    <w:name w:val="ListLabel 74"/>
    <w:qFormat/>
    <w:rPr>
      <w:rFonts w:cs="Times New Roman"/>
    </w:rPr>
  </w:style>
  <w:style w:type="character" w:customStyle="1" w:styleId="ListLabel75">
    <w:name w:val="ListLabel 75"/>
    <w:qFormat/>
    <w:rPr>
      <w:rFonts w:cs="Times New Roman"/>
    </w:rPr>
  </w:style>
  <w:style w:type="character" w:customStyle="1" w:styleId="ListLabel76">
    <w:name w:val="ListLabel 76"/>
    <w:qFormat/>
    <w:rPr>
      <w:rFonts w:cs="Times New Roman"/>
    </w:rPr>
  </w:style>
  <w:style w:type="character" w:customStyle="1" w:styleId="ListLabel77">
    <w:name w:val="ListLabel 77"/>
    <w:qFormat/>
    <w:rPr>
      <w:rFonts w:cs="Times New Roman"/>
    </w:rPr>
  </w:style>
  <w:style w:type="character" w:customStyle="1" w:styleId="ListLabel78">
    <w:name w:val="ListLabel 78"/>
    <w:qFormat/>
    <w:rPr>
      <w:rFonts w:cs="Times New Roman"/>
    </w:rPr>
  </w:style>
  <w:style w:type="character" w:customStyle="1" w:styleId="ListLabel79">
    <w:name w:val="ListLabel 79"/>
    <w:qFormat/>
    <w:rPr>
      <w:rFonts w:eastAsia="Times New Roman"/>
    </w:rPr>
  </w:style>
  <w:style w:type="character" w:customStyle="1" w:styleId="ListLabel80">
    <w:name w:val="ListLabel 80"/>
    <w:qFormat/>
    <w:rPr>
      <w:rFonts w:eastAsia="Times New Roman"/>
    </w:rPr>
  </w:style>
  <w:style w:type="character" w:customStyle="1" w:styleId="ListLabel81">
    <w:name w:val="ListLabel 81"/>
    <w:qFormat/>
    <w:rPr>
      <w:rFonts w:cs="Times New Roman"/>
      <w:sz w:val="20"/>
    </w:rPr>
  </w:style>
  <w:style w:type="character" w:customStyle="1" w:styleId="ListLabel82">
    <w:name w:val="ListLabel 82"/>
    <w:qFormat/>
    <w:rPr>
      <w:rFonts w:cs="Times New Roman"/>
    </w:rPr>
  </w:style>
  <w:style w:type="character" w:customStyle="1" w:styleId="ListLabel83">
    <w:name w:val="ListLabel 83"/>
    <w:qFormat/>
    <w:rPr>
      <w:rFonts w:cs="Times New Roman"/>
    </w:rPr>
  </w:style>
  <w:style w:type="character" w:customStyle="1" w:styleId="ListLabel84">
    <w:name w:val="ListLabel 84"/>
    <w:qFormat/>
    <w:rPr>
      <w:rFonts w:cs="Times New Roman"/>
    </w:rPr>
  </w:style>
  <w:style w:type="character" w:customStyle="1" w:styleId="ListLabel85">
    <w:name w:val="ListLabel 85"/>
    <w:qFormat/>
    <w:rPr>
      <w:rFonts w:cs="Times New Roman"/>
    </w:rPr>
  </w:style>
  <w:style w:type="character" w:customStyle="1" w:styleId="ListLabel86">
    <w:name w:val="ListLabel 86"/>
    <w:qFormat/>
    <w:rPr>
      <w:rFonts w:cs="Times New Roman"/>
    </w:rPr>
  </w:style>
  <w:style w:type="character" w:customStyle="1" w:styleId="ListLabel87">
    <w:name w:val="ListLabel 87"/>
    <w:qFormat/>
    <w:rPr>
      <w:rFonts w:cs="Times New Roman"/>
    </w:rPr>
  </w:style>
  <w:style w:type="character" w:customStyle="1" w:styleId="ListLabel88">
    <w:name w:val="ListLabel 88"/>
    <w:qFormat/>
    <w:rPr>
      <w:rFonts w:cs="Times New Roman"/>
    </w:rPr>
  </w:style>
  <w:style w:type="character" w:customStyle="1" w:styleId="ListLabel89">
    <w:name w:val="ListLabel 89"/>
    <w:qFormat/>
    <w:rPr>
      <w:rFonts w:cs="Times New Roman"/>
    </w:rPr>
  </w:style>
  <w:style w:type="character" w:customStyle="1" w:styleId="ListLabel90">
    <w:name w:val="ListLabel 90"/>
    <w:qFormat/>
    <w:rPr>
      <w:sz w:val="20"/>
    </w:rPr>
  </w:style>
  <w:style w:type="character" w:customStyle="1" w:styleId="ListLabel91">
    <w:name w:val="ListLabel 91"/>
    <w:qFormat/>
    <w:rPr>
      <w:rFonts w:cs="Times New Roman"/>
    </w:rPr>
  </w:style>
  <w:style w:type="character" w:customStyle="1" w:styleId="ListLabel92">
    <w:name w:val="ListLabel 92"/>
    <w:qFormat/>
    <w:rPr>
      <w:rFonts w:eastAsia="Times New Roman"/>
    </w:rPr>
  </w:style>
  <w:style w:type="character" w:customStyle="1" w:styleId="ListLabel93">
    <w:name w:val="ListLabel 93"/>
    <w:qFormat/>
    <w:rPr>
      <w:sz w:val="20"/>
    </w:rPr>
  </w:style>
  <w:style w:type="character" w:customStyle="1" w:styleId="ListLabel94">
    <w:name w:val="ListLabel 94"/>
    <w:qFormat/>
    <w:rPr>
      <w:sz w:val="20"/>
    </w:rPr>
  </w:style>
  <w:style w:type="character" w:customStyle="1" w:styleId="ListLabel95">
    <w:name w:val="ListLabel 95"/>
    <w:qFormat/>
    <w:rPr>
      <w:sz w:val="20"/>
    </w:rPr>
  </w:style>
  <w:style w:type="character" w:customStyle="1" w:styleId="ListLabel96">
    <w:name w:val="ListLabel 96"/>
    <w:qFormat/>
    <w:rPr>
      <w:sz w:val="20"/>
    </w:rPr>
  </w:style>
  <w:style w:type="character" w:customStyle="1" w:styleId="ListLabel97">
    <w:name w:val="ListLabel 97"/>
    <w:qFormat/>
    <w:rPr>
      <w:sz w:val="20"/>
    </w:rPr>
  </w:style>
  <w:style w:type="character" w:customStyle="1" w:styleId="ListLabel98">
    <w:name w:val="ListLabel 98"/>
    <w:qFormat/>
    <w:rPr>
      <w:sz w:val="20"/>
    </w:rPr>
  </w:style>
  <w:style w:type="character" w:customStyle="1" w:styleId="ListLabel99">
    <w:name w:val="ListLabel 99"/>
    <w:qFormat/>
    <w:rPr>
      <w:rFonts w:cs="Times New Roman"/>
      <w:sz w:val="20"/>
    </w:rPr>
  </w:style>
  <w:style w:type="character" w:customStyle="1" w:styleId="ListLabel100">
    <w:name w:val="ListLabel 100"/>
    <w:qFormat/>
    <w:rPr>
      <w:rFonts w:cs="Times New Roman"/>
    </w:rPr>
  </w:style>
  <w:style w:type="character" w:customStyle="1" w:styleId="ListLabel101">
    <w:name w:val="ListLabel 101"/>
    <w:qFormat/>
    <w:rPr>
      <w:rFonts w:cs="Times New Roman"/>
    </w:rPr>
  </w:style>
  <w:style w:type="character" w:customStyle="1" w:styleId="ListLabel102">
    <w:name w:val="ListLabel 102"/>
    <w:qFormat/>
    <w:rPr>
      <w:rFonts w:cs="Times New Roman"/>
    </w:rPr>
  </w:style>
  <w:style w:type="character" w:customStyle="1" w:styleId="ListLabel103">
    <w:name w:val="ListLabel 103"/>
    <w:qFormat/>
    <w:rPr>
      <w:rFonts w:cs="Times New Roman"/>
    </w:rPr>
  </w:style>
  <w:style w:type="character" w:customStyle="1" w:styleId="ListLabel104">
    <w:name w:val="ListLabel 104"/>
    <w:qFormat/>
    <w:rPr>
      <w:rFonts w:cs="Times New Roman"/>
    </w:rPr>
  </w:style>
  <w:style w:type="character" w:customStyle="1" w:styleId="ListLabel105">
    <w:name w:val="ListLabel 105"/>
    <w:qFormat/>
    <w:rPr>
      <w:rFonts w:cs="Times New Roman"/>
    </w:rPr>
  </w:style>
  <w:style w:type="character" w:customStyle="1" w:styleId="ListLabel106">
    <w:name w:val="ListLabel 106"/>
    <w:qFormat/>
    <w:rPr>
      <w:rFonts w:cs="Times New Roman"/>
    </w:rPr>
  </w:style>
  <w:style w:type="character" w:customStyle="1" w:styleId="ListLabel107">
    <w:name w:val="ListLabel 107"/>
    <w:qFormat/>
    <w:rPr>
      <w:rFonts w:cs="Times New Roman"/>
    </w:rPr>
  </w:style>
  <w:style w:type="character" w:customStyle="1" w:styleId="ListLabel108">
    <w:name w:val="ListLabel 108"/>
    <w:qFormat/>
    <w:rPr>
      <w:rFonts w:eastAsia="Times New Roman"/>
    </w:rPr>
  </w:style>
  <w:style w:type="character" w:customStyle="1" w:styleId="ListLabel109">
    <w:name w:val="ListLabel 109"/>
    <w:qFormat/>
    <w:rPr>
      <w:rFonts w:eastAsia="Times New Roman"/>
      <w:sz w:val="24"/>
    </w:rPr>
  </w:style>
  <w:style w:type="character" w:customStyle="1" w:styleId="ListLabel110">
    <w:name w:val="ListLabel 110"/>
    <w:qFormat/>
    <w:rPr>
      <w:rFonts w:eastAsia="Times New Roman"/>
      <w:sz w:val="24"/>
    </w:rPr>
  </w:style>
  <w:style w:type="character" w:customStyle="1" w:styleId="ListLabel111">
    <w:name w:val="ListLabel 111"/>
    <w:qFormat/>
    <w:rPr>
      <w:rFonts w:eastAsia="Times New Roman"/>
      <w:sz w:val="24"/>
    </w:rPr>
  </w:style>
  <w:style w:type="character" w:customStyle="1" w:styleId="ListLabel112">
    <w:name w:val="ListLabel 112"/>
    <w:qFormat/>
    <w:rPr>
      <w:rFonts w:eastAsia="Times New Roman"/>
      <w:sz w:val="24"/>
    </w:rPr>
  </w:style>
  <w:style w:type="character" w:customStyle="1" w:styleId="ListLabel113">
    <w:name w:val="ListLabel 113"/>
    <w:qFormat/>
    <w:rPr>
      <w:rFonts w:eastAsia="Times New Roman"/>
      <w:sz w:val="24"/>
    </w:rPr>
  </w:style>
  <w:style w:type="character" w:customStyle="1" w:styleId="ListLabel114">
    <w:name w:val="ListLabel 114"/>
    <w:qFormat/>
    <w:rPr>
      <w:sz w:val="20"/>
    </w:rPr>
  </w:style>
  <w:style w:type="character" w:customStyle="1" w:styleId="ListLabel115">
    <w:name w:val="ListLabel 115"/>
    <w:qFormat/>
    <w:rPr>
      <w:sz w:val="20"/>
    </w:rPr>
  </w:style>
  <w:style w:type="character" w:customStyle="1" w:styleId="ListLabel116">
    <w:name w:val="ListLabel 116"/>
    <w:qFormat/>
    <w:rPr>
      <w:sz w:val="20"/>
    </w:rPr>
  </w:style>
  <w:style w:type="character" w:customStyle="1" w:styleId="ListLabel117">
    <w:name w:val="ListLabel 117"/>
    <w:qFormat/>
    <w:rPr>
      <w:sz w:val="20"/>
    </w:rPr>
  </w:style>
  <w:style w:type="character" w:customStyle="1" w:styleId="ListLabel118">
    <w:name w:val="ListLabel 118"/>
    <w:qFormat/>
    <w:rPr>
      <w:sz w:val="20"/>
    </w:rPr>
  </w:style>
  <w:style w:type="character" w:customStyle="1" w:styleId="ListLabel119">
    <w:name w:val="ListLabel 119"/>
    <w:qFormat/>
    <w:rPr>
      <w:sz w:val="20"/>
    </w:rPr>
  </w:style>
  <w:style w:type="character" w:customStyle="1" w:styleId="ListLabel120">
    <w:name w:val="ListLabel 120"/>
    <w:qFormat/>
    <w:rPr>
      <w:sz w:val="20"/>
    </w:rPr>
  </w:style>
  <w:style w:type="character" w:customStyle="1" w:styleId="ListLabel121">
    <w:name w:val="ListLabel 121"/>
    <w:qFormat/>
    <w:rPr>
      <w:sz w:val="20"/>
    </w:rPr>
  </w:style>
  <w:style w:type="character" w:customStyle="1" w:styleId="ListLabel122">
    <w:name w:val="ListLabel 122"/>
    <w:qFormat/>
    <w:rPr>
      <w:sz w:val="20"/>
    </w:rPr>
  </w:style>
  <w:style w:type="character" w:customStyle="1" w:styleId="ListLabel123">
    <w:name w:val="ListLabel 123"/>
    <w:qFormat/>
    <w:rPr>
      <w:sz w:val="20"/>
    </w:rPr>
  </w:style>
  <w:style w:type="character" w:customStyle="1" w:styleId="ListLabel124">
    <w:name w:val="ListLabel 124"/>
    <w:qFormat/>
    <w:rPr>
      <w:sz w:val="20"/>
    </w:rPr>
  </w:style>
  <w:style w:type="character" w:customStyle="1" w:styleId="ListLabel125">
    <w:name w:val="ListLabel 125"/>
    <w:qFormat/>
    <w:rPr>
      <w:sz w:val="20"/>
    </w:rPr>
  </w:style>
  <w:style w:type="character" w:customStyle="1" w:styleId="ListLabel126">
    <w:name w:val="ListLabel 126"/>
    <w:qFormat/>
    <w:rPr>
      <w:sz w:val="20"/>
    </w:rPr>
  </w:style>
  <w:style w:type="character" w:customStyle="1" w:styleId="ListLabel127">
    <w:name w:val="ListLabel 127"/>
    <w:qFormat/>
    <w:rPr>
      <w:sz w:val="20"/>
    </w:rPr>
  </w:style>
  <w:style w:type="character" w:customStyle="1" w:styleId="ListLabel128">
    <w:name w:val="ListLabel 128"/>
    <w:qFormat/>
    <w:rPr>
      <w:sz w:val="20"/>
    </w:rPr>
  </w:style>
  <w:style w:type="character" w:customStyle="1" w:styleId="ListLabel129">
    <w:name w:val="ListLabel 129"/>
    <w:qFormat/>
    <w:rPr>
      <w:sz w:val="20"/>
    </w:rPr>
  </w:style>
  <w:style w:type="character" w:customStyle="1" w:styleId="ListLabel130">
    <w:name w:val="ListLabel 130"/>
    <w:qFormat/>
    <w:rPr>
      <w:sz w:val="20"/>
    </w:rPr>
  </w:style>
  <w:style w:type="character" w:customStyle="1" w:styleId="ListLabel131">
    <w:name w:val="ListLabel 131"/>
    <w:qFormat/>
    <w:rPr>
      <w:sz w:val="20"/>
    </w:rPr>
  </w:style>
  <w:style w:type="character" w:customStyle="1" w:styleId="ListLabel132">
    <w:name w:val="ListLabel 132"/>
    <w:qFormat/>
    <w:rPr>
      <w:rFonts w:cs="Times New Roman"/>
      <w:sz w:val="20"/>
    </w:rPr>
  </w:style>
  <w:style w:type="character" w:customStyle="1" w:styleId="ListLabel133">
    <w:name w:val="ListLabel 133"/>
    <w:qFormat/>
    <w:rPr>
      <w:rFonts w:cs="Times New Roman"/>
    </w:rPr>
  </w:style>
  <w:style w:type="character" w:customStyle="1" w:styleId="ListLabel134">
    <w:name w:val="ListLabel 134"/>
    <w:qFormat/>
    <w:rPr>
      <w:rFonts w:cs="Times New Roman"/>
    </w:rPr>
  </w:style>
  <w:style w:type="character" w:customStyle="1" w:styleId="ListLabel135">
    <w:name w:val="ListLabel 135"/>
    <w:qFormat/>
    <w:rPr>
      <w:rFonts w:cs="Times New Roman"/>
    </w:rPr>
  </w:style>
  <w:style w:type="character" w:customStyle="1" w:styleId="ListLabel136">
    <w:name w:val="ListLabel 136"/>
    <w:qFormat/>
    <w:rPr>
      <w:rFonts w:cs="Times New Roman"/>
    </w:rPr>
  </w:style>
  <w:style w:type="character" w:customStyle="1" w:styleId="ListLabel137">
    <w:name w:val="ListLabel 137"/>
    <w:qFormat/>
    <w:rPr>
      <w:rFonts w:cs="Times New Roman"/>
    </w:rPr>
  </w:style>
  <w:style w:type="character" w:customStyle="1" w:styleId="ListLabel138">
    <w:name w:val="ListLabel 138"/>
    <w:qFormat/>
    <w:rPr>
      <w:rFonts w:cs="Times New Roman"/>
    </w:rPr>
  </w:style>
  <w:style w:type="character" w:customStyle="1" w:styleId="ListLabel139">
    <w:name w:val="ListLabel 139"/>
    <w:qFormat/>
    <w:rPr>
      <w:rFonts w:cs="Times New Roman"/>
    </w:rPr>
  </w:style>
  <w:style w:type="character" w:customStyle="1" w:styleId="ListLabel140">
    <w:name w:val="ListLabel 140"/>
    <w:qFormat/>
    <w:rPr>
      <w:rFonts w:cs="Times New Roman"/>
    </w:rPr>
  </w:style>
  <w:style w:type="character" w:customStyle="1" w:styleId="ListLabel141">
    <w:name w:val="ListLabel 141"/>
    <w:qFormat/>
    <w:rPr>
      <w:rFonts w:eastAsia="Times New Roman"/>
    </w:rPr>
  </w:style>
  <w:style w:type="character" w:customStyle="1" w:styleId="ListLabel142">
    <w:name w:val="ListLabel 142"/>
    <w:qFormat/>
    <w:rPr>
      <w:rFonts w:eastAsia="Times New Roman"/>
    </w:rPr>
  </w:style>
  <w:style w:type="character" w:customStyle="1" w:styleId="ListLabel143">
    <w:name w:val="ListLabel 143"/>
    <w:qFormat/>
    <w:rPr>
      <w:rFonts w:eastAsia="Times New Roman"/>
    </w:rPr>
  </w:style>
  <w:style w:type="character" w:customStyle="1" w:styleId="ListLabel144">
    <w:name w:val="ListLabel 144"/>
    <w:qFormat/>
    <w:rPr>
      <w:rFonts w:eastAsia="Times New Roman"/>
    </w:rPr>
  </w:style>
  <w:style w:type="character" w:customStyle="1" w:styleId="ListLabel145">
    <w:name w:val="ListLabel 145"/>
    <w:qFormat/>
    <w:rPr>
      <w:rFonts w:eastAsia="Times New Roman"/>
    </w:rPr>
  </w:style>
  <w:style w:type="character" w:customStyle="1" w:styleId="ListLabel146">
    <w:name w:val="ListLabel 146"/>
    <w:qFormat/>
    <w:rPr>
      <w:rFonts w:eastAsia="Times New Roman"/>
    </w:rPr>
  </w:style>
  <w:style w:type="character" w:customStyle="1" w:styleId="ListLabel147">
    <w:name w:val="ListLabel 147"/>
    <w:qFormat/>
    <w:rPr>
      <w:rFonts w:eastAsia="Times New Roman"/>
    </w:rPr>
  </w:style>
  <w:style w:type="character" w:customStyle="1" w:styleId="ListLabel148">
    <w:name w:val="ListLabel 148"/>
    <w:qFormat/>
    <w:rPr>
      <w:rFonts w:eastAsia="Times New Roman"/>
    </w:rPr>
  </w:style>
  <w:style w:type="character" w:customStyle="1" w:styleId="ListLabel149">
    <w:name w:val="ListLabel 149"/>
    <w:qFormat/>
    <w:rPr>
      <w:rFonts w:eastAsia="Times New Roman"/>
    </w:rPr>
  </w:style>
  <w:style w:type="character" w:customStyle="1" w:styleId="ListLabel150">
    <w:name w:val="ListLabel 150"/>
    <w:qFormat/>
    <w:rPr>
      <w:rFonts w:eastAsia="Times New Roman"/>
      <w:b/>
    </w:rPr>
  </w:style>
  <w:style w:type="character" w:customStyle="1" w:styleId="ListLabel151">
    <w:name w:val="ListLabel 151"/>
    <w:qFormat/>
    <w:rPr>
      <w:rFonts w:eastAsia="Times New Roman"/>
    </w:rPr>
  </w:style>
  <w:style w:type="character" w:customStyle="1" w:styleId="ListLabel152">
    <w:name w:val="ListLabel 152"/>
    <w:qFormat/>
    <w:rPr>
      <w:rFonts w:eastAsia="Times New Roman"/>
    </w:rPr>
  </w:style>
  <w:style w:type="character" w:customStyle="1" w:styleId="ListLabel153">
    <w:name w:val="ListLabel 153"/>
    <w:qFormat/>
    <w:rPr>
      <w:rFonts w:cs="Times New Roman"/>
      <w:b w:val="0"/>
    </w:rPr>
  </w:style>
  <w:style w:type="character" w:customStyle="1" w:styleId="ListLabel154">
    <w:name w:val="ListLabel 154"/>
    <w:qFormat/>
    <w:rPr>
      <w:rFonts w:cs="Times New Roman"/>
    </w:rPr>
  </w:style>
  <w:style w:type="character" w:customStyle="1" w:styleId="ListLabel155">
    <w:name w:val="ListLabel 155"/>
    <w:qFormat/>
    <w:rPr>
      <w:rFonts w:cs="Times New Roman"/>
    </w:rPr>
  </w:style>
  <w:style w:type="character" w:customStyle="1" w:styleId="ListLabel156">
    <w:name w:val="ListLabel 156"/>
    <w:qFormat/>
    <w:rPr>
      <w:rFonts w:cs="Times New Roman"/>
    </w:rPr>
  </w:style>
  <w:style w:type="character" w:customStyle="1" w:styleId="ListLabel157">
    <w:name w:val="ListLabel 157"/>
    <w:qFormat/>
    <w:rPr>
      <w:rFonts w:cs="Times New Roman"/>
    </w:rPr>
  </w:style>
  <w:style w:type="character" w:customStyle="1" w:styleId="ListLabel158">
    <w:name w:val="ListLabel 158"/>
    <w:qFormat/>
    <w:rPr>
      <w:rFonts w:cs="Times New Roman"/>
    </w:rPr>
  </w:style>
  <w:style w:type="character" w:customStyle="1" w:styleId="ListLabel159">
    <w:name w:val="ListLabel 159"/>
    <w:qFormat/>
    <w:rPr>
      <w:rFonts w:cs="Times New Roman"/>
    </w:rPr>
  </w:style>
  <w:style w:type="character" w:customStyle="1" w:styleId="ListLabel160">
    <w:name w:val="ListLabel 160"/>
    <w:qFormat/>
    <w:rPr>
      <w:rFonts w:cs="Times New Roman"/>
    </w:rPr>
  </w:style>
  <w:style w:type="character" w:customStyle="1" w:styleId="ListLabel161">
    <w:name w:val="ListLabel 161"/>
    <w:qFormat/>
    <w:rPr>
      <w:rFonts w:cs="Times New Roman"/>
    </w:rPr>
  </w:style>
  <w:style w:type="character" w:customStyle="1" w:styleId="ListLabel162">
    <w:name w:val="ListLabel 162"/>
    <w:qFormat/>
    <w:rPr>
      <w:rFonts w:eastAsia="Times New Roman"/>
    </w:rPr>
  </w:style>
  <w:style w:type="character" w:customStyle="1" w:styleId="ListLabel163">
    <w:name w:val="ListLabel 163"/>
    <w:qFormat/>
    <w:rPr>
      <w:rFonts w:eastAsia="Times New Roman"/>
    </w:rPr>
  </w:style>
  <w:style w:type="character" w:customStyle="1" w:styleId="ListLabel164">
    <w:name w:val="ListLabel 164"/>
    <w:qFormat/>
    <w:rPr>
      <w:rFonts w:cs="Times New Roman"/>
      <w:sz w:val="20"/>
    </w:rPr>
  </w:style>
  <w:style w:type="character" w:customStyle="1" w:styleId="ListLabel165">
    <w:name w:val="ListLabel 165"/>
    <w:qFormat/>
    <w:rPr>
      <w:rFonts w:cs="Times New Roman"/>
    </w:rPr>
  </w:style>
  <w:style w:type="character" w:customStyle="1" w:styleId="ListLabel166">
    <w:name w:val="ListLabel 166"/>
    <w:qFormat/>
    <w:rPr>
      <w:rFonts w:cs="Times New Roman"/>
    </w:rPr>
  </w:style>
  <w:style w:type="character" w:customStyle="1" w:styleId="ListLabel167">
    <w:name w:val="ListLabel 167"/>
    <w:qFormat/>
    <w:rPr>
      <w:rFonts w:cs="Times New Roman"/>
    </w:rPr>
  </w:style>
  <w:style w:type="character" w:customStyle="1" w:styleId="ListLabel168">
    <w:name w:val="ListLabel 168"/>
    <w:qFormat/>
    <w:rPr>
      <w:rFonts w:cs="Times New Roman"/>
    </w:rPr>
  </w:style>
  <w:style w:type="character" w:customStyle="1" w:styleId="ListLabel169">
    <w:name w:val="ListLabel 169"/>
    <w:qFormat/>
    <w:rPr>
      <w:rFonts w:cs="Times New Roman"/>
    </w:rPr>
  </w:style>
  <w:style w:type="character" w:customStyle="1" w:styleId="ListLabel170">
    <w:name w:val="ListLabel 170"/>
    <w:qFormat/>
    <w:rPr>
      <w:rFonts w:cs="Times New Roman"/>
    </w:rPr>
  </w:style>
  <w:style w:type="character" w:customStyle="1" w:styleId="ListLabel171">
    <w:name w:val="ListLabel 171"/>
    <w:qFormat/>
    <w:rPr>
      <w:rFonts w:cs="Times New Roman"/>
    </w:rPr>
  </w:style>
  <w:style w:type="character" w:customStyle="1" w:styleId="ListLabel172">
    <w:name w:val="ListLabel 172"/>
    <w:qFormat/>
    <w:rPr>
      <w:rFonts w:cs="Times New Roman"/>
    </w:rPr>
  </w:style>
  <w:style w:type="character" w:customStyle="1" w:styleId="ListLabel173">
    <w:name w:val="ListLabel 173"/>
    <w:qFormat/>
    <w:rPr>
      <w:rFonts w:cs="Times New Roman"/>
      <w:sz w:val="20"/>
    </w:rPr>
  </w:style>
  <w:style w:type="character" w:customStyle="1" w:styleId="ListLabel174">
    <w:name w:val="ListLabel 174"/>
    <w:qFormat/>
    <w:rPr>
      <w:rFonts w:cs="Times New Roman"/>
    </w:rPr>
  </w:style>
  <w:style w:type="character" w:customStyle="1" w:styleId="ListLabel175">
    <w:name w:val="ListLabel 175"/>
    <w:qFormat/>
    <w:rPr>
      <w:rFonts w:cs="Times New Roman"/>
    </w:rPr>
  </w:style>
  <w:style w:type="character" w:customStyle="1" w:styleId="ListLabel176">
    <w:name w:val="ListLabel 176"/>
    <w:qFormat/>
    <w:rPr>
      <w:rFonts w:cs="Times New Roman"/>
    </w:rPr>
  </w:style>
  <w:style w:type="character" w:customStyle="1" w:styleId="ListLabel177">
    <w:name w:val="ListLabel 177"/>
    <w:qFormat/>
    <w:rPr>
      <w:rFonts w:cs="Times New Roman"/>
    </w:rPr>
  </w:style>
  <w:style w:type="character" w:customStyle="1" w:styleId="ListLabel178">
    <w:name w:val="ListLabel 178"/>
    <w:qFormat/>
    <w:rPr>
      <w:rFonts w:cs="Times New Roman"/>
    </w:rPr>
  </w:style>
  <w:style w:type="character" w:customStyle="1" w:styleId="ListLabel179">
    <w:name w:val="ListLabel 179"/>
    <w:qFormat/>
    <w:rPr>
      <w:rFonts w:cs="Times New Roman"/>
    </w:rPr>
  </w:style>
  <w:style w:type="character" w:customStyle="1" w:styleId="ListLabel180">
    <w:name w:val="ListLabel 180"/>
    <w:qFormat/>
    <w:rPr>
      <w:rFonts w:cs="Times New Roman"/>
    </w:rPr>
  </w:style>
  <w:style w:type="character" w:customStyle="1" w:styleId="ListLabel181">
    <w:name w:val="ListLabel 181"/>
    <w:qFormat/>
    <w:rPr>
      <w:rFonts w:cs="Times New Roman"/>
    </w:rPr>
  </w:style>
  <w:style w:type="character" w:customStyle="1" w:styleId="ListLabel182">
    <w:name w:val="ListLabel 182"/>
    <w:qFormat/>
    <w:rPr>
      <w:rFonts w:eastAsia="Times New Roman"/>
      <w:sz w:val="24"/>
    </w:rPr>
  </w:style>
  <w:style w:type="character" w:customStyle="1" w:styleId="ListLabel183">
    <w:name w:val="ListLabel 183"/>
    <w:qFormat/>
    <w:rPr>
      <w:rFonts w:eastAsia="Times New Roman"/>
      <w:b/>
    </w:rPr>
  </w:style>
  <w:style w:type="character" w:customStyle="1" w:styleId="ListLabel184">
    <w:name w:val="ListLabel 184"/>
    <w:qFormat/>
    <w:rPr>
      <w:rFonts w:eastAsia="Times New Roman"/>
    </w:rPr>
  </w:style>
  <w:style w:type="character" w:customStyle="1" w:styleId="ListLabel185">
    <w:name w:val="ListLabel 185"/>
    <w:qFormat/>
    <w:rPr>
      <w:rFonts w:eastAsia="Times New Roman"/>
      <w:sz w:val="24"/>
    </w:rPr>
  </w:style>
  <w:style w:type="character" w:customStyle="1" w:styleId="ListLabel186">
    <w:name w:val="ListLabel 186"/>
    <w:qFormat/>
    <w:rPr>
      <w:rFonts w:eastAsia="Times New Roman"/>
    </w:rPr>
  </w:style>
  <w:style w:type="character" w:customStyle="1" w:styleId="ListLabel187">
    <w:name w:val="ListLabel 187"/>
    <w:qFormat/>
    <w:rPr>
      <w:rFonts w:eastAsia="Times New Roman"/>
    </w:rPr>
  </w:style>
  <w:style w:type="character" w:customStyle="1" w:styleId="ListLabel188">
    <w:name w:val="ListLabel 188"/>
    <w:qFormat/>
    <w:rPr>
      <w:rFonts w:eastAsia="Times New Roman"/>
    </w:rPr>
  </w:style>
  <w:style w:type="character" w:customStyle="1" w:styleId="ListLabel189">
    <w:name w:val="ListLabel 189"/>
    <w:qFormat/>
    <w:rPr>
      <w:rFonts w:cs="Times New Roman"/>
      <w:b/>
    </w:rPr>
  </w:style>
  <w:style w:type="character" w:customStyle="1" w:styleId="ListLabel190">
    <w:name w:val="ListLabel 190"/>
    <w:qFormat/>
    <w:rPr>
      <w:rFonts w:cs="Times New Roman"/>
    </w:rPr>
  </w:style>
  <w:style w:type="character" w:customStyle="1" w:styleId="ListLabel191">
    <w:name w:val="ListLabel 191"/>
    <w:qFormat/>
    <w:rPr>
      <w:rFonts w:cs="Times New Roman"/>
    </w:rPr>
  </w:style>
  <w:style w:type="character" w:customStyle="1" w:styleId="ListLabel192">
    <w:name w:val="ListLabel 192"/>
    <w:qFormat/>
    <w:rPr>
      <w:rFonts w:cs="Times New Roman"/>
    </w:rPr>
  </w:style>
  <w:style w:type="character" w:customStyle="1" w:styleId="ListLabel193">
    <w:name w:val="ListLabel 193"/>
    <w:qFormat/>
    <w:rPr>
      <w:rFonts w:cs="Times New Roman"/>
    </w:rPr>
  </w:style>
  <w:style w:type="character" w:customStyle="1" w:styleId="ListLabel194">
    <w:name w:val="ListLabel 194"/>
    <w:qFormat/>
    <w:rPr>
      <w:rFonts w:cs="Times New Roman"/>
    </w:rPr>
  </w:style>
  <w:style w:type="character" w:customStyle="1" w:styleId="ListLabel195">
    <w:name w:val="ListLabel 195"/>
    <w:qFormat/>
    <w:rPr>
      <w:rFonts w:cs="Times New Roman"/>
    </w:rPr>
  </w:style>
  <w:style w:type="character" w:customStyle="1" w:styleId="ListLabel196">
    <w:name w:val="ListLabel 196"/>
    <w:qFormat/>
    <w:rPr>
      <w:rFonts w:cs="Times New Roman"/>
    </w:rPr>
  </w:style>
  <w:style w:type="character" w:customStyle="1" w:styleId="ListLabel197">
    <w:name w:val="ListLabel 197"/>
    <w:qFormat/>
    <w:rPr>
      <w:rFonts w:cs="Times New Roman"/>
    </w:rPr>
  </w:style>
  <w:style w:type="character" w:customStyle="1" w:styleId="ListLabel198">
    <w:name w:val="ListLabel 198"/>
    <w:qFormat/>
    <w:rPr>
      <w:rFonts w:cs="Times New Roman"/>
    </w:rPr>
  </w:style>
  <w:style w:type="character" w:customStyle="1" w:styleId="ListLabel199">
    <w:name w:val="ListLabel 199"/>
    <w:qFormat/>
    <w:rPr>
      <w:rFonts w:cs="Times New Roman"/>
    </w:rPr>
  </w:style>
  <w:style w:type="character" w:customStyle="1" w:styleId="ListLabel200">
    <w:name w:val="ListLabel 200"/>
    <w:qFormat/>
    <w:rPr>
      <w:rFonts w:cs="Times New Roman"/>
    </w:rPr>
  </w:style>
  <w:style w:type="character" w:customStyle="1" w:styleId="ListLabel201">
    <w:name w:val="ListLabel 201"/>
    <w:qFormat/>
    <w:rPr>
      <w:rFonts w:cs="Times New Roman"/>
    </w:rPr>
  </w:style>
  <w:style w:type="character" w:customStyle="1" w:styleId="ListLabel202">
    <w:name w:val="ListLabel 202"/>
    <w:qFormat/>
    <w:rPr>
      <w:rFonts w:cs="Times New Roman"/>
    </w:rPr>
  </w:style>
  <w:style w:type="character" w:customStyle="1" w:styleId="ListLabel203">
    <w:name w:val="ListLabel 203"/>
    <w:qFormat/>
    <w:rPr>
      <w:rFonts w:cs="Times New Roman"/>
    </w:rPr>
  </w:style>
  <w:style w:type="character" w:customStyle="1" w:styleId="ListLabel204">
    <w:name w:val="ListLabel 204"/>
    <w:qFormat/>
    <w:rPr>
      <w:rFonts w:cs="Times New Roman"/>
    </w:rPr>
  </w:style>
  <w:style w:type="character" w:customStyle="1" w:styleId="ListLabel205">
    <w:name w:val="ListLabel 205"/>
    <w:qFormat/>
    <w:rPr>
      <w:rFonts w:cs="Times New Roman"/>
    </w:rPr>
  </w:style>
  <w:style w:type="character" w:customStyle="1" w:styleId="ListLabel206">
    <w:name w:val="ListLabel 206"/>
    <w:qFormat/>
    <w:rPr>
      <w:rFonts w:cs="Times New Roman"/>
    </w:rPr>
  </w:style>
  <w:style w:type="character" w:customStyle="1" w:styleId="ListLabel207">
    <w:name w:val="ListLabel 207"/>
    <w:qFormat/>
    <w:rPr>
      <w:rFonts w:cs="Times New Roman"/>
      <w:sz w:val="20"/>
    </w:rPr>
  </w:style>
  <w:style w:type="character" w:customStyle="1" w:styleId="ListLabel208">
    <w:name w:val="ListLabel 208"/>
    <w:qFormat/>
    <w:rPr>
      <w:rFonts w:cs="Times New Roman"/>
    </w:rPr>
  </w:style>
  <w:style w:type="character" w:customStyle="1" w:styleId="ListLabel209">
    <w:name w:val="ListLabel 209"/>
    <w:qFormat/>
    <w:rPr>
      <w:rFonts w:cs="Times New Roman"/>
    </w:rPr>
  </w:style>
  <w:style w:type="character" w:customStyle="1" w:styleId="ListLabel210">
    <w:name w:val="ListLabel 210"/>
    <w:qFormat/>
    <w:rPr>
      <w:rFonts w:cs="Times New Roman"/>
    </w:rPr>
  </w:style>
  <w:style w:type="character" w:customStyle="1" w:styleId="ListLabel211">
    <w:name w:val="ListLabel 211"/>
    <w:qFormat/>
    <w:rPr>
      <w:rFonts w:cs="Times New Roman"/>
    </w:rPr>
  </w:style>
  <w:style w:type="character" w:customStyle="1" w:styleId="ListLabel212">
    <w:name w:val="ListLabel 212"/>
    <w:qFormat/>
    <w:rPr>
      <w:rFonts w:cs="Times New Roman"/>
    </w:rPr>
  </w:style>
  <w:style w:type="character" w:customStyle="1" w:styleId="ListLabel213">
    <w:name w:val="ListLabel 213"/>
    <w:qFormat/>
    <w:rPr>
      <w:rFonts w:cs="Times New Roman"/>
    </w:rPr>
  </w:style>
  <w:style w:type="character" w:customStyle="1" w:styleId="ListLabel214">
    <w:name w:val="ListLabel 214"/>
    <w:qFormat/>
    <w:rPr>
      <w:rFonts w:cs="Times New Roman"/>
    </w:rPr>
  </w:style>
  <w:style w:type="character" w:customStyle="1" w:styleId="ListLabel215">
    <w:name w:val="ListLabel 215"/>
    <w:qFormat/>
    <w:rPr>
      <w:rFonts w:cs="Times New Roman"/>
    </w:rPr>
  </w:style>
  <w:style w:type="character" w:customStyle="1" w:styleId="ListLabel216">
    <w:name w:val="ListLabel 216"/>
    <w:qFormat/>
    <w:rPr>
      <w:rFonts w:cs="Times New Roman"/>
    </w:rPr>
  </w:style>
  <w:style w:type="character" w:customStyle="1" w:styleId="ListLabel217">
    <w:name w:val="ListLabel 217"/>
    <w:qFormat/>
    <w:rPr>
      <w:rFonts w:cs="Times New Roman"/>
    </w:rPr>
  </w:style>
  <w:style w:type="character" w:customStyle="1" w:styleId="ListLabel218">
    <w:name w:val="ListLabel 218"/>
    <w:qFormat/>
    <w:rPr>
      <w:rFonts w:cs="Times New Roman"/>
    </w:rPr>
  </w:style>
  <w:style w:type="character" w:customStyle="1" w:styleId="ListLabel219">
    <w:name w:val="ListLabel 219"/>
    <w:qFormat/>
    <w:rPr>
      <w:rFonts w:cs="Times New Roman"/>
    </w:rPr>
  </w:style>
  <w:style w:type="character" w:customStyle="1" w:styleId="ListLabel220">
    <w:name w:val="ListLabel 220"/>
    <w:qFormat/>
    <w:rPr>
      <w:rFonts w:cs="Times New Roman"/>
    </w:rPr>
  </w:style>
  <w:style w:type="character" w:customStyle="1" w:styleId="ListLabel221">
    <w:name w:val="ListLabel 221"/>
    <w:qFormat/>
    <w:rPr>
      <w:rFonts w:cs="Times New Roman"/>
    </w:rPr>
  </w:style>
  <w:style w:type="character" w:customStyle="1" w:styleId="ListLabel222">
    <w:name w:val="ListLabel 222"/>
    <w:qFormat/>
    <w:rPr>
      <w:rFonts w:cs="Times New Roman"/>
    </w:rPr>
  </w:style>
  <w:style w:type="character" w:customStyle="1" w:styleId="ListLabel223">
    <w:name w:val="ListLabel 223"/>
    <w:qFormat/>
    <w:rPr>
      <w:rFonts w:cs="Times New Roman"/>
    </w:rPr>
  </w:style>
  <w:style w:type="character" w:customStyle="1" w:styleId="Indeksirajvezu">
    <w:name w:val="Indeksiraj vezu"/>
    <w:qFormat/>
  </w:style>
  <w:style w:type="character" w:customStyle="1" w:styleId="Znakovifusnote">
    <w:name w:val="Znakovi fusnote"/>
    <w:qFormat/>
  </w:style>
  <w:style w:type="character" w:customStyle="1" w:styleId="Sidrofusnote">
    <w:name w:val="Sidro fusnote"/>
    <w:rPr>
      <w:vertAlign w:val="superscript"/>
    </w:rPr>
  </w:style>
  <w:style w:type="character" w:customStyle="1" w:styleId="Sidrozavrnebiljeke">
    <w:name w:val="Sidro završne bilješke"/>
    <w:rPr>
      <w:vertAlign w:val="superscript"/>
    </w:rPr>
  </w:style>
  <w:style w:type="character" w:customStyle="1" w:styleId="Znakovioznaavanjazavrnihbiljeki">
    <w:name w:val="Znakovi označavanja završnih bilješki"/>
    <w:qFormat/>
  </w:style>
  <w:style w:type="character" w:customStyle="1" w:styleId="ListLabel224">
    <w:name w:val="ListLabel 224"/>
    <w:qFormat/>
    <w:rPr>
      <w:rFonts w:cs="Calibri"/>
    </w:rPr>
  </w:style>
  <w:style w:type="character" w:customStyle="1" w:styleId="ListLabel225">
    <w:name w:val="ListLabel 225"/>
    <w:qFormat/>
    <w:rPr>
      <w:rFonts w:cs="Courier New"/>
    </w:rPr>
  </w:style>
  <w:style w:type="character" w:customStyle="1" w:styleId="ListLabel226">
    <w:name w:val="ListLabel 226"/>
    <w:qFormat/>
    <w:rPr>
      <w:rFonts w:cs="Wingdings"/>
    </w:rPr>
  </w:style>
  <w:style w:type="character" w:customStyle="1" w:styleId="ListLabel227">
    <w:name w:val="ListLabel 227"/>
    <w:qFormat/>
    <w:rPr>
      <w:rFonts w:cs="Symbol"/>
    </w:rPr>
  </w:style>
  <w:style w:type="character" w:customStyle="1" w:styleId="ListLabel228">
    <w:name w:val="ListLabel 228"/>
    <w:qFormat/>
    <w:rPr>
      <w:rFonts w:cs="Courier New"/>
    </w:rPr>
  </w:style>
  <w:style w:type="character" w:customStyle="1" w:styleId="ListLabel229">
    <w:name w:val="ListLabel 229"/>
    <w:qFormat/>
    <w:rPr>
      <w:rFonts w:cs="Wingdings"/>
    </w:rPr>
  </w:style>
  <w:style w:type="character" w:customStyle="1" w:styleId="ListLabel230">
    <w:name w:val="ListLabel 230"/>
    <w:qFormat/>
    <w:rPr>
      <w:rFonts w:cs="Symbol"/>
    </w:rPr>
  </w:style>
  <w:style w:type="character" w:customStyle="1" w:styleId="ListLabel231">
    <w:name w:val="ListLabel 231"/>
    <w:qFormat/>
    <w:rPr>
      <w:rFonts w:cs="Courier New"/>
    </w:rPr>
  </w:style>
  <w:style w:type="character" w:customStyle="1" w:styleId="ListLabel232">
    <w:name w:val="ListLabel 232"/>
    <w:qFormat/>
    <w:rPr>
      <w:rFonts w:cs="Wingdings"/>
    </w:rPr>
  </w:style>
  <w:style w:type="character" w:customStyle="1" w:styleId="ListLabel233">
    <w:name w:val="ListLabel 233"/>
    <w:qFormat/>
    <w:rPr>
      <w:rFonts w:cs="Calibri"/>
    </w:rPr>
  </w:style>
  <w:style w:type="character" w:customStyle="1" w:styleId="ListLabel234">
    <w:name w:val="ListLabel 234"/>
    <w:qFormat/>
    <w:rPr>
      <w:rFonts w:cs="Courier New"/>
    </w:rPr>
  </w:style>
  <w:style w:type="character" w:customStyle="1" w:styleId="ListLabel235">
    <w:name w:val="ListLabel 235"/>
    <w:qFormat/>
    <w:rPr>
      <w:rFonts w:cs="Wingdings"/>
    </w:rPr>
  </w:style>
  <w:style w:type="character" w:customStyle="1" w:styleId="ListLabel236">
    <w:name w:val="ListLabel 236"/>
    <w:qFormat/>
    <w:rPr>
      <w:rFonts w:cs="Symbol"/>
    </w:rPr>
  </w:style>
  <w:style w:type="character" w:customStyle="1" w:styleId="ListLabel237">
    <w:name w:val="ListLabel 237"/>
    <w:qFormat/>
    <w:rPr>
      <w:rFonts w:cs="Courier New"/>
    </w:rPr>
  </w:style>
  <w:style w:type="character" w:customStyle="1" w:styleId="ListLabel238">
    <w:name w:val="ListLabel 238"/>
    <w:qFormat/>
    <w:rPr>
      <w:rFonts w:cs="Wingdings"/>
    </w:rPr>
  </w:style>
  <w:style w:type="character" w:customStyle="1" w:styleId="ListLabel239">
    <w:name w:val="ListLabel 239"/>
    <w:qFormat/>
    <w:rPr>
      <w:rFonts w:cs="Symbol"/>
    </w:rPr>
  </w:style>
  <w:style w:type="character" w:customStyle="1" w:styleId="ListLabel240">
    <w:name w:val="ListLabel 240"/>
    <w:qFormat/>
    <w:rPr>
      <w:rFonts w:cs="Courier New"/>
    </w:rPr>
  </w:style>
  <w:style w:type="character" w:customStyle="1" w:styleId="ListLabel241">
    <w:name w:val="ListLabel 241"/>
    <w:qFormat/>
    <w:rPr>
      <w:rFonts w:cs="Wingdings"/>
    </w:rPr>
  </w:style>
  <w:style w:type="character" w:customStyle="1" w:styleId="ListLabel242">
    <w:name w:val="ListLabel 242"/>
    <w:qFormat/>
    <w:rPr>
      <w:rFonts w:cs="Symbol"/>
    </w:rPr>
  </w:style>
  <w:style w:type="character" w:customStyle="1" w:styleId="ListLabel243">
    <w:name w:val="ListLabel 243"/>
    <w:qFormat/>
    <w:rPr>
      <w:rFonts w:cs="Courier New"/>
    </w:rPr>
  </w:style>
  <w:style w:type="character" w:customStyle="1" w:styleId="ListLabel244">
    <w:name w:val="ListLabel 244"/>
    <w:qFormat/>
    <w:rPr>
      <w:rFonts w:cs="Wingdings"/>
    </w:rPr>
  </w:style>
  <w:style w:type="character" w:customStyle="1" w:styleId="ListLabel245">
    <w:name w:val="ListLabel 245"/>
    <w:qFormat/>
    <w:rPr>
      <w:rFonts w:cs="Symbol"/>
    </w:rPr>
  </w:style>
  <w:style w:type="character" w:customStyle="1" w:styleId="ListLabel246">
    <w:name w:val="ListLabel 246"/>
    <w:qFormat/>
    <w:rPr>
      <w:rFonts w:cs="Courier New"/>
    </w:rPr>
  </w:style>
  <w:style w:type="character" w:customStyle="1" w:styleId="ListLabel247">
    <w:name w:val="ListLabel 247"/>
    <w:qFormat/>
    <w:rPr>
      <w:rFonts w:cs="Wingdings"/>
    </w:rPr>
  </w:style>
  <w:style w:type="character" w:customStyle="1" w:styleId="ListLabel248">
    <w:name w:val="ListLabel 248"/>
    <w:qFormat/>
    <w:rPr>
      <w:rFonts w:cs="Symbol"/>
    </w:rPr>
  </w:style>
  <w:style w:type="character" w:customStyle="1" w:styleId="ListLabel249">
    <w:name w:val="ListLabel 249"/>
    <w:qFormat/>
    <w:rPr>
      <w:rFonts w:cs="Courier New"/>
    </w:rPr>
  </w:style>
  <w:style w:type="character" w:customStyle="1" w:styleId="ListLabel250">
    <w:name w:val="ListLabel 250"/>
    <w:qFormat/>
    <w:rPr>
      <w:rFonts w:cs="Wingdings"/>
    </w:rPr>
  </w:style>
  <w:style w:type="character" w:customStyle="1" w:styleId="ListLabel251">
    <w:name w:val="ListLabel 251"/>
    <w:qFormat/>
    <w:rPr>
      <w:rFonts w:cs="Calibri"/>
    </w:rPr>
  </w:style>
  <w:style w:type="character" w:customStyle="1" w:styleId="ListLabel252">
    <w:name w:val="ListLabel 252"/>
    <w:qFormat/>
    <w:rPr>
      <w:rFonts w:cs="Courier New"/>
    </w:rPr>
  </w:style>
  <w:style w:type="character" w:customStyle="1" w:styleId="ListLabel253">
    <w:name w:val="ListLabel 253"/>
    <w:qFormat/>
    <w:rPr>
      <w:rFonts w:cs="Wingdings"/>
    </w:rPr>
  </w:style>
  <w:style w:type="character" w:customStyle="1" w:styleId="ListLabel254">
    <w:name w:val="ListLabel 254"/>
    <w:qFormat/>
    <w:rPr>
      <w:rFonts w:cs="Symbol"/>
    </w:rPr>
  </w:style>
  <w:style w:type="character" w:customStyle="1" w:styleId="ListLabel255">
    <w:name w:val="ListLabel 255"/>
    <w:qFormat/>
    <w:rPr>
      <w:rFonts w:cs="Courier New"/>
    </w:rPr>
  </w:style>
  <w:style w:type="character" w:customStyle="1" w:styleId="ListLabel256">
    <w:name w:val="ListLabel 256"/>
    <w:qFormat/>
    <w:rPr>
      <w:rFonts w:cs="Wingdings"/>
    </w:rPr>
  </w:style>
  <w:style w:type="character" w:customStyle="1" w:styleId="ListLabel257">
    <w:name w:val="ListLabel 257"/>
    <w:qFormat/>
    <w:rPr>
      <w:rFonts w:cs="Symbol"/>
    </w:rPr>
  </w:style>
  <w:style w:type="character" w:customStyle="1" w:styleId="ListLabel258">
    <w:name w:val="ListLabel 258"/>
    <w:qFormat/>
    <w:rPr>
      <w:rFonts w:cs="Courier New"/>
    </w:rPr>
  </w:style>
  <w:style w:type="character" w:customStyle="1" w:styleId="ListLabel259">
    <w:name w:val="ListLabel 259"/>
    <w:qFormat/>
    <w:rPr>
      <w:rFonts w:cs="Wingdings"/>
    </w:rPr>
  </w:style>
  <w:style w:type="character" w:customStyle="1" w:styleId="ListLabel260">
    <w:name w:val="ListLabel 260"/>
    <w:qFormat/>
    <w:rPr>
      <w:rFonts w:cs="Calibri"/>
      <w:sz w:val="24"/>
    </w:rPr>
  </w:style>
  <w:style w:type="character" w:customStyle="1" w:styleId="ListLabel261">
    <w:name w:val="ListLabel 261"/>
    <w:qFormat/>
    <w:rPr>
      <w:rFonts w:cs="Courier New"/>
    </w:rPr>
  </w:style>
  <w:style w:type="character" w:customStyle="1" w:styleId="ListLabel262">
    <w:name w:val="ListLabel 262"/>
    <w:qFormat/>
    <w:rPr>
      <w:rFonts w:cs="Wingdings"/>
    </w:rPr>
  </w:style>
  <w:style w:type="character" w:customStyle="1" w:styleId="ListLabel263">
    <w:name w:val="ListLabel 263"/>
    <w:qFormat/>
    <w:rPr>
      <w:rFonts w:cs="Symbol"/>
    </w:rPr>
  </w:style>
  <w:style w:type="character" w:customStyle="1" w:styleId="ListLabel264">
    <w:name w:val="ListLabel 264"/>
    <w:qFormat/>
    <w:rPr>
      <w:rFonts w:cs="Courier New"/>
    </w:rPr>
  </w:style>
  <w:style w:type="character" w:customStyle="1" w:styleId="ListLabel265">
    <w:name w:val="ListLabel 265"/>
    <w:qFormat/>
    <w:rPr>
      <w:rFonts w:cs="Wingdings"/>
    </w:rPr>
  </w:style>
  <w:style w:type="character" w:customStyle="1" w:styleId="ListLabel266">
    <w:name w:val="ListLabel 266"/>
    <w:qFormat/>
    <w:rPr>
      <w:rFonts w:cs="Symbol"/>
    </w:rPr>
  </w:style>
  <w:style w:type="character" w:customStyle="1" w:styleId="ListLabel267">
    <w:name w:val="ListLabel 267"/>
    <w:qFormat/>
    <w:rPr>
      <w:rFonts w:cs="Courier New"/>
    </w:rPr>
  </w:style>
  <w:style w:type="character" w:customStyle="1" w:styleId="ListLabel268">
    <w:name w:val="ListLabel 268"/>
    <w:qFormat/>
    <w:rPr>
      <w:rFonts w:cs="Wingdings"/>
    </w:rPr>
  </w:style>
  <w:style w:type="character" w:customStyle="1" w:styleId="ListLabel269">
    <w:name w:val="ListLabel 269"/>
    <w:qFormat/>
    <w:rPr>
      <w:rFonts w:cs="Symbol"/>
      <w:b/>
      <w:sz w:val="22"/>
    </w:rPr>
  </w:style>
  <w:style w:type="character" w:customStyle="1" w:styleId="ListLabel270">
    <w:name w:val="ListLabel 270"/>
    <w:qFormat/>
    <w:rPr>
      <w:rFonts w:cs="Courier New"/>
    </w:rPr>
  </w:style>
  <w:style w:type="character" w:customStyle="1" w:styleId="ListLabel271">
    <w:name w:val="ListLabel 271"/>
    <w:qFormat/>
    <w:rPr>
      <w:rFonts w:cs="Wingdings"/>
    </w:rPr>
  </w:style>
  <w:style w:type="character" w:customStyle="1" w:styleId="ListLabel272">
    <w:name w:val="ListLabel 272"/>
    <w:qFormat/>
    <w:rPr>
      <w:rFonts w:cs="Symbol"/>
    </w:rPr>
  </w:style>
  <w:style w:type="character" w:customStyle="1" w:styleId="ListLabel273">
    <w:name w:val="ListLabel 273"/>
    <w:qFormat/>
    <w:rPr>
      <w:rFonts w:cs="Courier New"/>
    </w:rPr>
  </w:style>
  <w:style w:type="character" w:customStyle="1" w:styleId="ListLabel274">
    <w:name w:val="ListLabel 274"/>
    <w:qFormat/>
    <w:rPr>
      <w:rFonts w:cs="Wingdings"/>
    </w:rPr>
  </w:style>
  <w:style w:type="character" w:customStyle="1" w:styleId="ListLabel275">
    <w:name w:val="ListLabel 275"/>
    <w:qFormat/>
    <w:rPr>
      <w:rFonts w:cs="Symbol"/>
    </w:rPr>
  </w:style>
  <w:style w:type="character" w:customStyle="1" w:styleId="ListLabel276">
    <w:name w:val="ListLabel 276"/>
    <w:qFormat/>
    <w:rPr>
      <w:rFonts w:cs="Courier New"/>
    </w:rPr>
  </w:style>
  <w:style w:type="character" w:customStyle="1" w:styleId="ListLabel277">
    <w:name w:val="ListLabel 277"/>
    <w:qFormat/>
    <w:rPr>
      <w:rFonts w:cs="Wingdings"/>
    </w:rPr>
  </w:style>
  <w:style w:type="character" w:customStyle="1" w:styleId="ListLabel278">
    <w:name w:val="ListLabel 278"/>
    <w:qFormat/>
    <w:rPr>
      <w:rFonts w:cs="Symbol"/>
      <w:b/>
    </w:rPr>
  </w:style>
  <w:style w:type="character" w:customStyle="1" w:styleId="ListLabel279">
    <w:name w:val="ListLabel 279"/>
    <w:qFormat/>
    <w:rPr>
      <w:rFonts w:cs="Courier New"/>
    </w:rPr>
  </w:style>
  <w:style w:type="character" w:customStyle="1" w:styleId="ListLabel280">
    <w:name w:val="ListLabel 280"/>
    <w:qFormat/>
    <w:rPr>
      <w:rFonts w:cs="Wingdings"/>
    </w:rPr>
  </w:style>
  <w:style w:type="character" w:customStyle="1" w:styleId="ListLabel281">
    <w:name w:val="ListLabel 281"/>
    <w:qFormat/>
    <w:rPr>
      <w:rFonts w:cs="Symbol"/>
    </w:rPr>
  </w:style>
  <w:style w:type="character" w:customStyle="1" w:styleId="ListLabel282">
    <w:name w:val="ListLabel 282"/>
    <w:qFormat/>
    <w:rPr>
      <w:rFonts w:cs="Courier New"/>
    </w:rPr>
  </w:style>
  <w:style w:type="character" w:customStyle="1" w:styleId="ListLabel283">
    <w:name w:val="ListLabel 283"/>
    <w:qFormat/>
    <w:rPr>
      <w:rFonts w:cs="Wingdings"/>
    </w:rPr>
  </w:style>
  <w:style w:type="character" w:customStyle="1" w:styleId="ListLabel284">
    <w:name w:val="ListLabel 284"/>
    <w:qFormat/>
    <w:rPr>
      <w:rFonts w:cs="Symbol"/>
    </w:rPr>
  </w:style>
  <w:style w:type="character" w:customStyle="1" w:styleId="ListLabel285">
    <w:name w:val="ListLabel 285"/>
    <w:qFormat/>
    <w:rPr>
      <w:rFonts w:cs="Courier New"/>
    </w:rPr>
  </w:style>
  <w:style w:type="character" w:customStyle="1" w:styleId="ListLabel286">
    <w:name w:val="ListLabel 286"/>
    <w:qFormat/>
    <w:rPr>
      <w:rFonts w:cs="Wingdings"/>
    </w:rPr>
  </w:style>
  <w:style w:type="character" w:customStyle="1" w:styleId="ListLabel287">
    <w:name w:val="ListLabel 287"/>
    <w:qFormat/>
    <w:rPr>
      <w:rFonts w:cs="Symbol"/>
      <w:b/>
    </w:rPr>
  </w:style>
  <w:style w:type="character" w:customStyle="1" w:styleId="ListLabel288">
    <w:name w:val="ListLabel 288"/>
    <w:qFormat/>
    <w:rPr>
      <w:rFonts w:cs="Courier New"/>
    </w:rPr>
  </w:style>
  <w:style w:type="character" w:customStyle="1" w:styleId="ListLabel289">
    <w:name w:val="ListLabel 289"/>
    <w:qFormat/>
    <w:rPr>
      <w:rFonts w:cs="Wingdings"/>
    </w:rPr>
  </w:style>
  <w:style w:type="character" w:customStyle="1" w:styleId="ListLabel290">
    <w:name w:val="ListLabel 290"/>
    <w:qFormat/>
    <w:rPr>
      <w:rFonts w:cs="Symbol"/>
    </w:rPr>
  </w:style>
  <w:style w:type="character" w:customStyle="1" w:styleId="ListLabel291">
    <w:name w:val="ListLabel 291"/>
    <w:qFormat/>
    <w:rPr>
      <w:rFonts w:cs="Courier New"/>
    </w:rPr>
  </w:style>
  <w:style w:type="character" w:customStyle="1" w:styleId="ListLabel292">
    <w:name w:val="ListLabel 292"/>
    <w:qFormat/>
    <w:rPr>
      <w:rFonts w:cs="Wingdings"/>
    </w:rPr>
  </w:style>
  <w:style w:type="character" w:customStyle="1" w:styleId="ListLabel293">
    <w:name w:val="ListLabel 293"/>
    <w:qFormat/>
    <w:rPr>
      <w:rFonts w:cs="Symbol"/>
    </w:rPr>
  </w:style>
  <w:style w:type="character" w:customStyle="1" w:styleId="ListLabel294">
    <w:name w:val="ListLabel 294"/>
    <w:qFormat/>
    <w:rPr>
      <w:rFonts w:cs="Courier New"/>
    </w:rPr>
  </w:style>
  <w:style w:type="character" w:customStyle="1" w:styleId="ListLabel295">
    <w:name w:val="ListLabel 295"/>
    <w:qFormat/>
    <w:rPr>
      <w:rFonts w:cs="Wingdings"/>
    </w:rPr>
  </w:style>
  <w:style w:type="character" w:customStyle="1" w:styleId="ListLabel296">
    <w:name w:val="ListLabel 296"/>
    <w:qFormat/>
    <w:rPr>
      <w:rFonts w:cs="Symbol"/>
      <w:b/>
      <w:sz w:val="24"/>
    </w:rPr>
  </w:style>
  <w:style w:type="character" w:customStyle="1" w:styleId="ListLabel297">
    <w:name w:val="ListLabel 297"/>
    <w:qFormat/>
    <w:rPr>
      <w:rFonts w:cs="Courier New"/>
    </w:rPr>
  </w:style>
  <w:style w:type="character" w:customStyle="1" w:styleId="ListLabel298">
    <w:name w:val="ListLabel 298"/>
    <w:qFormat/>
    <w:rPr>
      <w:rFonts w:cs="Wingdings"/>
    </w:rPr>
  </w:style>
  <w:style w:type="character" w:customStyle="1" w:styleId="ListLabel299">
    <w:name w:val="ListLabel 299"/>
    <w:qFormat/>
    <w:rPr>
      <w:rFonts w:cs="Symbol"/>
    </w:rPr>
  </w:style>
  <w:style w:type="character" w:customStyle="1" w:styleId="ListLabel300">
    <w:name w:val="ListLabel 300"/>
    <w:qFormat/>
    <w:rPr>
      <w:rFonts w:cs="Courier New"/>
    </w:rPr>
  </w:style>
  <w:style w:type="character" w:customStyle="1" w:styleId="ListLabel301">
    <w:name w:val="ListLabel 301"/>
    <w:qFormat/>
    <w:rPr>
      <w:rFonts w:cs="Wingdings"/>
    </w:rPr>
  </w:style>
  <w:style w:type="character" w:customStyle="1" w:styleId="ListLabel302">
    <w:name w:val="ListLabel 302"/>
    <w:qFormat/>
    <w:rPr>
      <w:rFonts w:cs="Symbol"/>
    </w:rPr>
  </w:style>
  <w:style w:type="character" w:customStyle="1" w:styleId="ListLabel303">
    <w:name w:val="ListLabel 303"/>
    <w:qFormat/>
    <w:rPr>
      <w:rFonts w:cs="Courier New"/>
    </w:rPr>
  </w:style>
  <w:style w:type="character" w:customStyle="1" w:styleId="ListLabel304">
    <w:name w:val="ListLabel 304"/>
    <w:qFormat/>
    <w:rPr>
      <w:rFonts w:cs="Wingdings"/>
    </w:rPr>
  </w:style>
  <w:style w:type="character" w:customStyle="1" w:styleId="ListLabel305">
    <w:name w:val="ListLabel 305"/>
    <w:qFormat/>
    <w:rPr>
      <w:rFonts w:cs="Calibri"/>
      <w:sz w:val="24"/>
    </w:rPr>
  </w:style>
  <w:style w:type="character" w:customStyle="1" w:styleId="ListLabel306">
    <w:name w:val="ListLabel 306"/>
    <w:qFormat/>
    <w:rPr>
      <w:rFonts w:cs="Courier New"/>
    </w:rPr>
  </w:style>
  <w:style w:type="character" w:customStyle="1" w:styleId="ListLabel307">
    <w:name w:val="ListLabel 307"/>
    <w:qFormat/>
    <w:rPr>
      <w:rFonts w:cs="Wingdings"/>
    </w:rPr>
  </w:style>
  <w:style w:type="character" w:customStyle="1" w:styleId="ListLabel308">
    <w:name w:val="ListLabel 308"/>
    <w:qFormat/>
    <w:rPr>
      <w:rFonts w:cs="Symbol"/>
    </w:rPr>
  </w:style>
  <w:style w:type="character" w:customStyle="1" w:styleId="ListLabel309">
    <w:name w:val="ListLabel 309"/>
    <w:qFormat/>
    <w:rPr>
      <w:rFonts w:cs="Courier New"/>
    </w:rPr>
  </w:style>
  <w:style w:type="character" w:customStyle="1" w:styleId="ListLabel310">
    <w:name w:val="ListLabel 310"/>
    <w:qFormat/>
    <w:rPr>
      <w:rFonts w:cs="Wingdings"/>
    </w:rPr>
  </w:style>
  <w:style w:type="character" w:customStyle="1" w:styleId="ListLabel311">
    <w:name w:val="ListLabel 311"/>
    <w:qFormat/>
    <w:rPr>
      <w:rFonts w:cs="Symbol"/>
    </w:rPr>
  </w:style>
  <w:style w:type="character" w:customStyle="1" w:styleId="ListLabel312">
    <w:name w:val="ListLabel 312"/>
    <w:qFormat/>
    <w:rPr>
      <w:rFonts w:cs="Courier New"/>
    </w:rPr>
  </w:style>
  <w:style w:type="character" w:customStyle="1" w:styleId="ListLabel313">
    <w:name w:val="ListLabel 313"/>
    <w:qFormat/>
    <w:rPr>
      <w:rFonts w:cs="Wingdings"/>
    </w:rPr>
  </w:style>
  <w:style w:type="character" w:customStyle="1" w:styleId="ListLabel314">
    <w:name w:val="ListLabel 314"/>
    <w:qFormat/>
    <w:rPr>
      <w:rFonts w:cs="Calibri"/>
    </w:rPr>
  </w:style>
  <w:style w:type="character" w:customStyle="1" w:styleId="ListLabel315">
    <w:name w:val="ListLabel 315"/>
    <w:qFormat/>
    <w:rPr>
      <w:rFonts w:cs="Courier New"/>
    </w:rPr>
  </w:style>
  <w:style w:type="character" w:customStyle="1" w:styleId="ListLabel316">
    <w:name w:val="ListLabel 316"/>
    <w:qFormat/>
    <w:rPr>
      <w:rFonts w:cs="Wingdings"/>
    </w:rPr>
  </w:style>
  <w:style w:type="character" w:customStyle="1" w:styleId="ListLabel317">
    <w:name w:val="ListLabel 317"/>
    <w:qFormat/>
    <w:rPr>
      <w:rFonts w:cs="Symbol"/>
    </w:rPr>
  </w:style>
  <w:style w:type="character" w:customStyle="1" w:styleId="ListLabel318">
    <w:name w:val="ListLabel 318"/>
    <w:qFormat/>
    <w:rPr>
      <w:rFonts w:cs="Courier New"/>
    </w:rPr>
  </w:style>
  <w:style w:type="character" w:customStyle="1" w:styleId="ListLabel319">
    <w:name w:val="ListLabel 319"/>
    <w:qFormat/>
    <w:rPr>
      <w:rFonts w:cs="Wingdings"/>
    </w:rPr>
  </w:style>
  <w:style w:type="character" w:customStyle="1" w:styleId="ListLabel320">
    <w:name w:val="ListLabel 320"/>
    <w:qFormat/>
    <w:rPr>
      <w:rFonts w:cs="Symbol"/>
    </w:rPr>
  </w:style>
  <w:style w:type="character" w:customStyle="1" w:styleId="ListLabel321">
    <w:name w:val="ListLabel 321"/>
    <w:qFormat/>
    <w:rPr>
      <w:rFonts w:cs="Courier New"/>
    </w:rPr>
  </w:style>
  <w:style w:type="character" w:customStyle="1" w:styleId="ListLabel322">
    <w:name w:val="ListLabel 322"/>
    <w:qFormat/>
    <w:rPr>
      <w:rFonts w:cs="Wingdings"/>
    </w:rPr>
  </w:style>
  <w:style w:type="character" w:customStyle="1" w:styleId="ListLabel323">
    <w:name w:val="ListLabel 323"/>
    <w:qFormat/>
    <w:rPr>
      <w:rFonts w:cs="Times New Roman"/>
    </w:rPr>
  </w:style>
  <w:style w:type="character" w:customStyle="1" w:styleId="ListLabel324">
    <w:name w:val="ListLabel 324"/>
    <w:qFormat/>
    <w:rPr>
      <w:rFonts w:cs="Times New Roman"/>
    </w:rPr>
  </w:style>
  <w:style w:type="character" w:customStyle="1" w:styleId="ListLabel325">
    <w:name w:val="ListLabel 325"/>
    <w:qFormat/>
    <w:rPr>
      <w:rFonts w:cs="Times New Roman"/>
    </w:rPr>
  </w:style>
  <w:style w:type="character" w:customStyle="1" w:styleId="ListLabel326">
    <w:name w:val="ListLabel 326"/>
    <w:qFormat/>
    <w:rPr>
      <w:rFonts w:cs="Times New Roman"/>
    </w:rPr>
  </w:style>
  <w:style w:type="character" w:customStyle="1" w:styleId="ListLabel327">
    <w:name w:val="ListLabel 327"/>
    <w:qFormat/>
    <w:rPr>
      <w:rFonts w:cs="Times New Roman"/>
    </w:rPr>
  </w:style>
  <w:style w:type="character" w:customStyle="1" w:styleId="ListLabel328">
    <w:name w:val="ListLabel 328"/>
    <w:qFormat/>
    <w:rPr>
      <w:rFonts w:cs="Times New Roman"/>
    </w:rPr>
  </w:style>
  <w:style w:type="character" w:customStyle="1" w:styleId="ListLabel329">
    <w:name w:val="ListLabel 329"/>
    <w:qFormat/>
    <w:rPr>
      <w:rFonts w:cs="Times New Roman"/>
    </w:rPr>
  </w:style>
  <w:style w:type="character" w:customStyle="1" w:styleId="ListLabel330">
    <w:name w:val="ListLabel 330"/>
    <w:qFormat/>
    <w:rPr>
      <w:rFonts w:cs="Times New Roman"/>
    </w:rPr>
  </w:style>
  <w:style w:type="character" w:customStyle="1" w:styleId="ListLabel331">
    <w:name w:val="ListLabel 331"/>
    <w:qFormat/>
    <w:rPr>
      <w:rFonts w:cs="Times New Roman"/>
    </w:rPr>
  </w:style>
  <w:style w:type="character" w:customStyle="1" w:styleId="ListLabel332">
    <w:name w:val="ListLabel 332"/>
    <w:qFormat/>
    <w:rPr>
      <w:rFonts w:cs="Times New Roman"/>
    </w:rPr>
  </w:style>
  <w:style w:type="character" w:customStyle="1" w:styleId="ListLabel333">
    <w:name w:val="ListLabel 333"/>
    <w:qFormat/>
    <w:rPr>
      <w:rFonts w:cs="Times New Roman"/>
    </w:rPr>
  </w:style>
  <w:style w:type="character" w:customStyle="1" w:styleId="ListLabel334">
    <w:name w:val="ListLabel 334"/>
    <w:qFormat/>
    <w:rPr>
      <w:rFonts w:cs="Times New Roman"/>
    </w:rPr>
  </w:style>
  <w:style w:type="character" w:customStyle="1" w:styleId="ListLabel335">
    <w:name w:val="ListLabel 335"/>
    <w:qFormat/>
    <w:rPr>
      <w:rFonts w:cs="Times New Roman"/>
    </w:rPr>
  </w:style>
  <w:style w:type="character" w:customStyle="1" w:styleId="ListLabel336">
    <w:name w:val="ListLabel 336"/>
    <w:qFormat/>
    <w:rPr>
      <w:rFonts w:cs="Times New Roman"/>
    </w:rPr>
  </w:style>
  <w:style w:type="character" w:customStyle="1" w:styleId="ListLabel337">
    <w:name w:val="ListLabel 337"/>
    <w:qFormat/>
    <w:rPr>
      <w:rFonts w:cs="Times New Roman"/>
    </w:rPr>
  </w:style>
  <w:style w:type="character" w:customStyle="1" w:styleId="ListLabel338">
    <w:name w:val="ListLabel 338"/>
    <w:qFormat/>
    <w:rPr>
      <w:rFonts w:cs="Times New Roman"/>
    </w:rPr>
  </w:style>
  <w:style w:type="character" w:customStyle="1" w:styleId="ListLabel339">
    <w:name w:val="ListLabel 339"/>
    <w:qFormat/>
    <w:rPr>
      <w:rFonts w:cs="Times New Roman"/>
    </w:rPr>
  </w:style>
  <w:style w:type="character" w:customStyle="1" w:styleId="ListLabel340">
    <w:name w:val="ListLabel 340"/>
    <w:qFormat/>
    <w:rPr>
      <w:rFonts w:cs="Times New Roman"/>
    </w:rPr>
  </w:style>
  <w:style w:type="character" w:customStyle="1" w:styleId="ListLabel341">
    <w:name w:val="ListLabel 341"/>
    <w:qFormat/>
    <w:rPr>
      <w:rFonts w:cs="Calibri"/>
      <w:b/>
    </w:rPr>
  </w:style>
  <w:style w:type="character" w:customStyle="1" w:styleId="ListLabel342">
    <w:name w:val="ListLabel 342"/>
    <w:qFormat/>
    <w:rPr>
      <w:rFonts w:cs="Courier New"/>
    </w:rPr>
  </w:style>
  <w:style w:type="character" w:customStyle="1" w:styleId="ListLabel343">
    <w:name w:val="ListLabel 343"/>
    <w:qFormat/>
    <w:rPr>
      <w:rFonts w:cs="Wingdings"/>
    </w:rPr>
  </w:style>
  <w:style w:type="character" w:customStyle="1" w:styleId="ListLabel344">
    <w:name w:val="ListLabel 344"/>
    <w:qFormat/>
    <w:rPr>
      <w:rFonts w:cs="Symbol"/>
    </w:rPr>
  </w:style>
  <w:style w:type="character" w:customStyle="1" w:styleId="ListLabel345">
    <w:name w:val="ListLabel 345"/>
    <w:qFormat/>
    <w:rPr>
      <w:rFonts w:cs="Courier New"/>
    </w:rPr>
  </w:style>
  <w:style w:type="character" w:customStyle="1" w:styleId="ListLabel346">
    <w:name w:val="ListLabel 346"/>
    <w:qFormat/>
    <w:rPr>
      <w:rFonts w:cs="Wingdings"/>
    </w:rPr>
  </w:style>
  <w:style w:type="character" w:customStyle="1" w:styleId="ListLabel347">
    <w:name w:val="ListLabel 347"/>
    <w:qFormat/>
    <w:rPr>
      <w:rFonts w:cs="Symbol"/>
    </w:rPr>
  </w:style>
  <w:style w:type="character" w:customStyle="1" w:styleId="ListLabel348">
    <w:name w:val="ListLabel 348"/>
    <w:qFormat/>
    <w:rPr>
      <w:rFonts w:cs="Courier New"/>
    </w:rPr>
  </w:style>
  <w:style w:type="character" w:customStyle="1" w:styleId="ListLabel349">
    <w:name w:val="ListLabel 349"/>
    <w:qFormat/>
    <w:rPr>
      <w:rFonts w:cs="Wingdings"/>
    </w:rPr>
  </w:style>
  <w:style w:type="character" w:customStyle="1" w:styleId="ListLabel350">
    <w:name w:val="ListLabel 350"/>
    <w:qFormat/>
    <w:rPr>
      <w:rFonts w:cs="Calibri"/>
    </w:rPr>
  </w:style>
  <w:style w:type="character" w:customStyle="1" w:styleId="ListLabel351">
    <w:name w:val="ListLabel 351"/>
    <w:qFormat/>
    <w:rPr>
      <w:rFonts w:cs="Courier New"/>
    </w:rPr>
  </w:style>
  <w:style w:type="character" w:customStyle="1" w:styleId="ListLabel352">
    <w:name w:val="ListLabel 352"/>
    <w:qFormat/>
    <w:rPr>
      <w:rFonts w:cs="Wingdings"/>
    </w:rPr>
  </w:style>
  <w:style w:type="character" w:customStyle="1" w:styleId="ListLabel353">
    <w:name w:val="ListLabel 353"/>
    <w:qFormat/>
    <w:rPr>
      <w:rFonts w:cs="Symbol"/>
    </w:rPr>
  </w:style>
  <w:style w:type="character" w:customStyle="1" w:styleId="ListLabel354">
    <w:name w:val="ListLabel 354"/>
    <w:qFormat/>
    <w:rPr>
      <w:rFonts w:cs="Courier New"/>
    </w:rPr>
  </w:style>
  <w:style w:type="character" w:customStyle="1" w:styleId="ListLabel355">
    <w:name w:val="ListLabel 355"/>
    <w:qFormat/>
    <w:rPr>
      <w:rFonts w:cs="Wingdings"/>
    </w:rPr>
  </w:style>
  <w:style w:type="character" w:customStyle="1" w:styleId="ListLabel356">
    <w:name w:val="ListLabel 356"/>
    <w:qFormat/>
    <w:rPr>
      <w:rFonts w:cs="Symbol"/>
    </w:rPr>
  </w:style>
  <w:style w:type="character" w:customStyle="1" w:styleId="ListLabel357">
    <w:name w:val="ListLabel 357"/>
    <w:qFormat/>
    <w:rPr>
      <w:rFonts w:cs="Courier New"/>
    </w:rPr>
  </w:style>
  <w:style w:type="character" w:customStyle="1" w:styleId="ListLabel358">
    <w:name w:val="ListLabel 358"/>
    <w:qFormat/>
    <w:rPr>
      <w:rFonts w:cs="Wingdings"/>
    </w:rPr>
  </w:style>
  <w:style w:type="character" w:customStyle="1" w:styleId="ListLabel359">
    <w:name w:val="ListLabel 359"/>
    <w:qFormat/>
    <w:rPr>
      <w:rFonts w:cs="Symbol"/>
    </w:rPr>
  </w:style>
  <w:style w:type="character" w:customStyle="1" w:styleId="ListLabel360">
    <w:name w:val="ListLabel 360"/>
    <w:qFormat/>
    <w:rPr>
      <w:rFonts w:cs="Courier New"/>
    </w:rPr>
  </w:style>
  <w:style w:type="character" w:customStyle="1" w:styleId="ListLabel361">
    <w:name w:val="ListLabel 361"/>
    <w:qFormat/>
    <w:rPr>
      <w:rFonts w:cs="Wingdings"/>
    </w:rPr>
  </w:style>
  <w:style w:type="character" w:customStyle="1" w:styleId="ListLabel362">
    <w:name w:val="ListLabel 362"/>
    <w:qFormat/>
    <w:rPr>
      <w:rFonts w:cs="Symbol"/>
    </w:rPr>
  </w:style>
  <w:style w:type="character" w:customStyle="1" w:styleId="ListLabel363">
    <w:name w:val="ListLabel 363"/>
    <w:qFormat/>
    <w:rPr>
      <w:rFonts w:cs="Courier New"/>
    </w:rPr>
  </w:style>
  <w:style w:type="character" w:customStyle="1" w:styleId="ListLabel364">
    <w:name w:val="ListLabel 364"/>
    <w:qFormat/>
    <w:rPr>
      <w:rFonts w:cs="Wingdings"/>
    </w:rPr>
  </w:style>
  <w:style w:type="character" w:customStyle="1" w:styleId="ListLabel365">
    <w:name w:val="ListLabel 365"/>
    <w:qFormat/>
    <w:rPr>
      <w:rFonts w:cs="Symbol"/>
    </w:rPr>
  </w:style>
  <w:style w:type="character" w:customStyle="1" w:styleId="ListLabel366">
    <w:name w:val="ListLabel 366"/>
    <w:qFormat/>
    <w:rPr>
      <w:rFonts w:cs="Courier New"/>
    </w:rPr>
  </w:style>
  <w:style w:type="character" w:customStyle="1" w:styleId="ListLabel367">
    <w:name w:val="ListLabel 367"/>
    <w:qFormat/>
    <w:rPr>
      <w:rFonts w:cs="Wingdings"/>
    </w:rPr>
  </w:style>
  <w:style w:type="character" w:customStyle="1" w:styleId="ListLabel368">
    <w:name w:val="ListLabel 368"/>
    <w:qFormat/>
    <w:rPr>
      <w:rFonts w:cs="Calibri"/>
    </w:rPr>
  </w:style>
  <w:style w:type="character" w:customStyle="1" w:styleId="ListLabel369">
    <w:name w:val="ListLabel 369"/>
    <w:qFormat/>
    <w:rPr>
      <w:rFonts w:cs="Courier New"/>
    </w:rPr>
  </w:style>
  <w:style w:type="character" w:customStyle="1" w:styleId="ListLabel370">
    <w:name w:val="ListLabel 370"/>
    <w:qFormat/>
    <w:rPr>
      <w:rFonts w:cs="Wingdings"/>
    </w:rPr>
  </w:style>
  <w:style w:type="character" w:customStyle="1" w:styleId="ListLabel371">
    <w:name w:val="ListLabel 371"/>
    <w:qFormat/>
    <w:rPr>
      <w:rFonts w:cs="Symbol"/>
    </w:rPr>
  </w:style>
  <w:style w:type="character" w:customStyle="1" w:styleId="ListLabel372">
    <w:name w:val="ListLabel 372"/>
    <w:qFormat/>
    <w:rPr>
      <w:rFonts w:cs="Courier New"/>
    </w:rPr>
  </w:style>
  <w:style w:type="character" w:customStyle="1" w:styleId="ListLabel373">
    <w:name w:val="ListLabel 373"/>
    <w:qFormat/>
    <w:rPr>
      <w:rFonts w:cs="Wingdings"/>
    </w:rPr>
  </w:style>
  <w:style w:type="character" w:customStyle="1" w:styleId="ListLabel374">
    <w:name w:val="ListLabel 374"/>
    <w:qFormat/>
    <w:rPr>
      <w:rFonts w:cs="Symbol"/>
    </w:rPr>
  </w:style>
  <w:style w:type="character" w:customStyle="1" w:styleId="ListLabel375">
    <w:name w:val="ListLabel 375"/>
    <w:qFormat/>
    <w:rPr>
      <w:rFonts w:cs="Courier New"/>
    </w:rPr>
  </w:style>
  <w:style w:type="character" w:customStyle="1" w:styleId="ListLabel376">
    <w:name w:val="ListLabel 376"/>
    <w:qFormat/>
    <w:rPr>
      <w:rFonts w:cs="Wingdings"/>
    </w:rPr>
  </w:style>
  <w:style w:type="character" w:customStyle="1" w:styleId="ListLabel377">
    <w:name w:val="ListLabel 377"/>
    <w:qFormat/>
    <w:rPr>
      <w:rFonts w:cs="Symbol"/>
    </w:rPr>
  </w:style>
  <w:style w:type="character" w:customStyle="1" w:styleId="ListLabel378">
    <w:name w:val="ListLabel 378"/>
    <w:qFormat/>
    <w:rPr>
      <w:rFonts w:cs="Courier New"/>
    </w:rPr>
  </w:style>
  <w:style w:type="character" w:customStyle="1" w:styleId="ListLabel379">
    <w:name w:val="ListLabel 379"/>
    <w:qFormat/>
    <w:rPr>
      <w:rFonts w:cs="Wingdings"/>
    </w:rPr>
  </w:style>
  <w:style w:type="character" w:customStyle="1" w:styleId="ListLabel380">
    <w:name w:val="ListLabel 380"/>
    <w:qFormat/>
    <w:rPr>
      <w:rFonts w:cs="Symbol"/>
    </w:rPr>
  </w:style>
  <w:style w:type="character" w:customStyle="1" w:styleId="ListLabel381">
    <w:name w:val="ListLabel 381"/>
    <w:qFormat/>
    <w:rPr>
      <w:rFonts w:cs="Courier New"/>
    </w:rPr>
  </w:style>
  <w:style w:type="character" w:customStyle="1" w:styleId="ListLabel382">
    <w:name w:val="ListLabel 382"/>
    <w:qFormat/>
    <w:rPr>
      <w:rFonts w:cs="Wingdings"/>
    </w:rPr>
  </w:style>
  <w:style w:type="character" w:customStyle="1" w:styleId="ListLabel383">
    <w:name w:val="ListLabel 383"/>
    <w:qFormat/>
    <w:rPr>
      <w:rFonts w:cs="Symbol"/>
    </w:rPr>
  </w:style>
  <w:style w:type="character" w:customStyle="1" w:styleId="ListLabel384">
    <w:name w:val="ListLabel 384"/>
    <w:qFormat/>
    <w:rPr>
      <w:rFonts w:cs="Courier New"/>
    </w:rPr>
  </w:style>
  <w:style w:type="character" w:customStyle="1" w:styleId="ListLabel385">
    <w:name w:val="ListLabel 385"/>
    <w:qFormat/>
    <w:rPr>
      <w:rFonts w:cs="Wingdings"/>
    </w:rPr>
  </w:style>
  <w:style w:type="character" w:customStyle="1" w:styleId="ListLabel386">
    <w:name w:val="ListLabel 386"/>
    <w:qFormat/>
    <w:rPr>
      <w:rFonts w:cs="Calibri"/>
    </w:rPr>
  </w:style>
  <w:style w:type="character" w:customStyle="1" w:styleId="ListLabel387">
    <w:name w:val="ListLabel 387"/>
    <w:qFormat/>
    <w:rPr>
      <w:rFonts w:cs="Courier New"/>
    </w:rPr>
  </w:style>
  <w:style w:type="character" w:customStyle="1" w:styleId="ListLabel388">
    <w:name w:val="ListLabel 388"/>
    <w:qFormat/>
    <w:rPr>
      <w:rFonts w:cs="Wingdings"/>
    </w:rPr>
  </w:style>
  <w:style w:type="character" w:customStyle="1" w:styleId="ListLabel389">
    <w:name w:val="ListLabel 389"/>
    <w:qFormat/>
    <w:rPr>
      <w:rFonts w:cs="Symbol"/>
    </w:rPr>
  </w:style>
  <w:style w:type="character" w:customStyle="1" w:styleId="ListLabel390">
    <w:name w:val="ListLabel 390"/>
    <w:qFormat/>
    <w:rPr>
      <w:rFonts w:cs="Courier New"/>
    </w:rPr>
  </w:style>
  <w:style w:type="character" w:customStyle="1" w:styleId="ListLabel391">
    <w:name w:val="ListLabel 391"/>
    <w:qFormat/>
    <w:rPr>
      <w:rFonts w:cs="Wingdings"/>
    </w:rPr>
  </w:style>
  <w:style w:type="character" w:customStyle="1" w:styleId="ListLabel392">
    <w:name w:val="ListLabel 392"/>
    <w:qFormat/>
    <w:rPr>
      <w:rFonts w:cs="Symbol"/>
    </w:rPr>
  </w:style>
  <w:style w:type="character" w:customStyle="1" w:styleId="ListLabel393">
    <w:name w:val="ListLabel 393"/>
    <w:qFormat/>
    <w:rPr>
      <w:rFonts w:cs="Courier New"/>
    </w:rPr>
  </w:style>
  <w:style w:type="character" w:customStyle="1" w:styleId="ListLabel394">
    <w:name w:val="ListLabel 394"/>
    <w:qFormat/>
    <w:rPr>
      <w:rFonts w:cs="Wingdings"/>
    </w:rPr>
  </w:style>
  <w:style w:type="character" w:customStyle="1" w:styleId="ListLabel395">
    <w:name w:val="ListLabel 395"/>
    <w:qFormat/>
    <w:rPr>
      <w:rFonts w:cs="Times New Roman"/>
      <w:b/>
      <w:sz w:val="20"/>
    </w:rPr>
  </w:style>
  <w:style w:type="character" w:customStyle="1" w:styleId="ListLabel396">
    <w:name w:val="ListLabel 396"/>
    <w:qFormat/>
    <w:rPr>
      <w:rFonts w:cs="Times New Roman"/>
    </w:rPr>
  </w:style>
  <w:style w:type="character" w:customStyle="1" w:styleId="ListLabel397">
    <w:name w:val="ListLabel 397"/>
    <w:qFormat/>
    <w:rPr>
      <w:rFonts w:cs="Times New Roman"/>
    </w:rPr>
  </w:style>
  <w:style w:type="character" w:customStyle="1" w:styleId="ListLabel398">
    <w:name w:val="ListLabel 398"/>
    <w:qFormat/>
    <w:rPr>
      <w:rFonts w:cs="Times New Roman"/>
    </w:rPr>
  </w:style>
  <w:style w:type="character" w:customStyle="1" w:styleId="ListLabel399">
    <w:name w:val="ListLabel 399"/>
    <w:qFormat/>
    <w:rPr>
      <w:rFonts w:cs="Times New Roman"/>
    </w:rPr>
  </w:style>
  <w:style w:type="character" w:customStyle="1" w:styleId="ListLabel400">
    <w:name w:val="ListLabel 400"/>
    <w:qFormat/>
    <w:rPr>
      <w:rFonts w:cs="Times New Roman"/>
    </w:rPr>
  </w:style>
  <w:style w:type="character" w:customStyle="1" w:styleId="ListLabel401">
    <w:name w:val="ListLabel 401"/>
    <w:qFormat/>
    <w:rPr>
      <w:rFonts w:cs="Times New Roman"/>
    </w:rPr>
  </w:style>
  <w:style w:type="character" w:customStyle="1" w:styleId="ListLabel402">
    <w:name w:val="ListLabel 402"/>
    <w:qFormat/>
    <w:rPr>
      <w:rFonts w:cs="Times New Roman"/>
    </w:rPr>
  </w:style>
  <w:style w:type="character" w:customStyle="1" w:styleId="ListLabel403">
    <w:name w:val="ListLabel 403"/>
    <w:qFormat/>
    <w:rPr>
      <w:rFonts w:cs="Times New Roman"/>
    </w:rPr>
  </w:style>
  <w:style w:type="character" w:customStyle="1" w:styleId="ListLabel404">
    <w:name w:val="ListLabel 404"/>
    <w:qFormat/>
    <w:rPr>
      <w:rFonts w:cs="Calibri"/>
    </w:rPr>
  </w:style>
  <w:style w:type="character" w:customStyle="1" w:styleId="ListLabel405">
    <w:name w:val="ListLabel 405"/>
    <w:qFormat/>
    <w:rPr>
      <w:rFonts w:cs="Courier New"/>
    </w:rPr>
  </w:style>
  <w:style w:type="character" w:customStyle="1" w:styleId="ListLabel406">
    <w:name w:val="ListLabel 406"/>
    <w:qFormat/>
    <w:rPr>
      <w:rFonts w:cs="Wingdings"/>
    </w:rPr>
  </w:style>
  <w:style w:type="character" w:customStyle="1" w:styleId="ListLabel407">
    <w:name w:val="ListLabel 407"/>
    <w:qFormat/>
    <w:rPr>
      <w:rFonts w:cs="Symbol"/>
    </w:rPr>
  </w:style>
  <w:style w:type="character" w:customStyle="1" w:styleId="ListLabel408">
    <w:name w:val="ListLabel 408"/>
    <w:qFormat/>
    <w:rPr>
      <w:rFonts w:cs="Courier New"/>
    </w:rPr>
  </w:style>
  <w:style w:type="character" w:customStyle="1" w:styleId="ListLabel409">
    <w:name w:val="ListLabel 409"/>
    <w:qFormat/>
    <w:rPr>
      <w:rFonts w:cs="Wingdings"/>
    </w:rPr>
  </w:style>
  <w:style w:type="character" w:customStyle="1" w:styleId="ListLabel410">
    <w:name w:val="ListLabel 410"/>
    <w:qFormat/>
    <w:rPr>
      <w:rFonts w:cs="Symbol"/>
    </w:rPr>
  </w:style>
  <w:style w:type="character" w:customStyle="1" w:styleId="ListLabel411">
    <w:name w:val="ListLabel 411"/>
    <w:qFormat/>
    <w:rPr>
      <w:rFonts w:cs="Courier New"/>
    </w:rPr>
  </w:style>
  <w:style w:type="character" w:customStyle="1" w:styleId="ListLabel412">
    <w:name w:val="ListLabel 412"/>
    <w:qFormat/>
    <w:rPr>
      <w:rFonts w:cs="Wingdings"/>
    </w:rPr>
  </w:style>
  <w:style w:type="character" w:customStyle="1" w:styleId="ListLabel413">
    <w:name w:val="ListLabel 413"/>
    <w:qFormat/>
    <w:rPr>
      <w:rFonts w:cs="Calibri"/>
    </w:rPr>
  </w:style>
  <w:style w:type="character" w:customStyle="1" w:styleId="ListLabel414">
    <w:name w:val="ListLabel 414"/>
    <w:qFormat/>
    <w:rPr>
      <w:rFonts w:cs="Courier New"/>
    </w:rPr>
  </w:style>
  <w:style w:type="character" w:customStyle="1" w:styleId="ListLabel415">
    <w:name w:val="ListLabel 415"/>
    <w:qFormat/>
    <w:rPr>
      <w:rFonts w:cs="Wingdings"/>
    </w:rPr>
  </w:style>
  <w:style w:type="character" w:customStyle="1" w:styleId="ListLabel416">
    <w:name w:val="ListLabel 416"/>
    <w:qFormat/>
    <w:rPr>
      <w:rFonts w:cs="Symbol"/>
    </w:rPr>
  </w:style>
  <w:style w:type="character" w:customStyle="1" w:styleId="ListLabel417">
    <w:name w:val="ListLabel 417"/>
    <w:qFormat/>
    <w:rPr>
      <w:rFonts w:cs="Courier New"/>
    </w:rPr>
  </w:style>
  <w:style w:type="character" w:customStyle="1" w:styleId="ListLabel418">
    <w:name w:val="ListLabel 418"/>
    <w:qFormat/>
    <w:rPr>
      <w:rFonts w:cs="Wingdings"/>
    </w:rPr>
  </w:style>
  <w:style w:type="character" w:customStyle="1" w:styleId="ListLabel419">
    <w:name w:val="ListLabel 419"/>
    <w:qFormat/>
    <w:rPr>
      <w:rFonts w:cs="Symbol"/>
    </w:rPr>
  </w:style>
  <w:style w:type="character" w:customStyle="1" w:styleId="ListLabel420">
    <w:name w:val="ListLabel 420"/>
    <w:qFormat/>
    <w:rPr>
      <w:rFonts w:cs="Courier New"/>
    </w:rPr>
  </w:style>
  <w:style w:type="character" w:customStyle="1" w:styleId="ListLabel421">
    <w:name w:val="ListLabel 421"/>
    <w:qFormat/>
    <w:rPr>
      <w:rFonts w:cs="Wingdings"/>
    </w:rPr>
  </w:style>
  <w:style w:type="character" w:customStyle="1" w:styleId="ListLabel422">
    <w:name w:val="ListLabel 422"/>
    <w:qFormat/>
    <w:rPr>
      <w:rFonts w:cs="Calibri"/>
      <w:sz w:val="24"/>
    </w:rPr>
  </w:style>
  <w:style w:type="character" w:customStyle="1" w:styleId="ListLabel423">
    <w:name w:val="ListLabel 423"/>
    <w:qFormat/>
    <w:rPr>
      <w:rFonts w:cs="Courier New"/>
    </w:rPr>
  </w:style>
  <w:style w:type="character" w:customStyle="1" w:styleId="ListLabel424">
    <w:name w:val="ListLabel 424"/>
    <w:qFormat/>
    <w:rPr>
      <w:rFonts w:cs="Wingdings"/>
    </w:rPr>
  </w:style>
  <w:style w:type="character" w:customStyle="1" w:styleId="ListLabel425">
    <w:name w:val="ListLabel 425"/>
    <w:qFormat/>
    <w:rPr>
      <w:rFonts w:cs="Symbol"/>
    </w:rPr>
  </w:style>
  <w:style w:type="character" w:customStyle="1" w:styleId="ListLabel426">
    <w:name w:val="ListLabel 426"/>
    <w:qFormat/>
    <w:rPr>
      <w:rFonts w:cs="Courier New"/>
    </w:rPr>
  </w:style>
  <w:style w:type="character" w:customStyle="1" w:styleId="ListLabel427">
    <w:name w:val="ListLabel 427"/>
    <w:qFormat/>
    <w:rPr>
      <w:rFonts w:cs="Wingdings"/>
    </w:rPr>
  </w:style>
  <w:style w:type="character" w:customStyle="1" w:styleId="ListLabel428">
    <w:name w:val="ListLabel 428"/>
    <w:qFormat/>
    <w:rPr>
      <w:rFonts w:cs="Symbol"/>
    </w:rPr>
  </w:style>
  <w:style w:type="character" w:customStyle="1" w:styleId="ListLabel429">
    <w:name w:val="ListLabel 429"/>
    <w:qFormat/>
    <w:rPr>
      <w:rFonts w:cs="Courier New"/>
    </w:rPr>
  </w:style>
  <w:style w:type="character" w:customStyle="1" w:styleId="ListLabel430">
    <w:name w:val="ListLabel 430"/>
    <w:qFormat/>
    <w:rPr>
      <w:rFonts w:cs="Wingdings"/>
    </w:rPr>
  </w:style>
  <w:style w:type="character" w:customStyle="1" w:styleId="ListLabel431">
    <w:name w:val="ListLabel 431"/>
    <w:qFormat/>
    <w:rPr>
      <w:rFonts w:cs="Calibri"/>
    </w:rPr>
  </w:style>
  <w:style w:type="character" w:customStyle="1" w:styleId="ListLabel432">
    <w:name w:val="ListLabel 432"/>
    <w:qFormat/>
    <w:rPr>
      <w:rFonts w:cs="Courier New"/>
    </w:rPr>
  </w:style>
  <w:style w:type="character" w:customStyle="1" w:styleId="ListLabel433">
    <w:name w:val="ListLabel 433"/>
    <w:qFormat/>
    <w:rPr>
      <w:rFonts w:cs="Wingdings"/>
    </w:rPr>
  </w:style>
  <w:style w:type="character" w:customStyle="1" w:styleId="ListLabel434">
    <w:name w:val="ListLabel 434"/>
    <w:qFormat/>
    <w:rPr>
      <w:rFonts w:cs="Symbol"/>
    </w:rPr>
  </w:style>
  <w:style w:type="character" w:customStyle="1" w:styleId="ListLabel435">
    <w:name w:val="ListLabel 435"/>
    <w:qFormat/>
    <w:rPr>
      <w:rFonts w:cs="Courier New"/>
    </w:rPr>
  </w:style>
  <w:style w:type="character" w:customStyle="1" w:styleId="ListLabel436">
    <w:name w:val="ListLabel 436"/>
    <w:qFormat/>
    <w:rPr>
      <w:rFonts w:cs="Wingdings"/>
    </w:rPr>
  </w:style>
  <w:style w:type="character" w:customStyle="1" w:styleId="ListLabel437">
    <w:name w:val="ListLabel 437"/>
    <w:qFormat/>
    <w:rPr>
      <w:rFonts w:cs="Symbol"/>
    </w:rPr>
  </w:style>
  <w:style w:type="character" w:customStyle="1" w:styleId="ListLabel438">
    <w:name w:val="ListLabel 438"/>
    <w:qFormat/>
    <w:rPr>
      <w:rFonts w:cs="Courier New"/>
    </w:rPr>
  </w:style>
  <w:style w:type="character" w:customStyle="1" w:styleId="ListLabel439">
    <w:name w:val="ListLabel 439"/>
    <w:qFormat/>
    <w:rPr>
      <w:rFonts w:cs="Wingdings"/>
    </w:rPr>
  </w:style>
  <w:style w:type="character" w:customStyle="1" w:styleId="ListLabel440">
    <w:name w:val="ListLabel 440"/>
    <w:qFormat/>
    <w:rPr>
      <w:rFonts w:cs="Calibri"/>
      <w:sz w:val="24"/>
    </w:rPr>
  </w:style>
  <w:style w:type="character" w:customStyle="1" w:styleId="ListLabel441">
    <w:name w:val="ListLabel 441"/>
    <w:qFormat/>
    <w:rPr>
      <w:rFonts w:cs="Courier New"/>
    </w:rPr>
  </w:style>
  <w:style w:type="character" w:customStyle="1" w:styleId="ListLabel442">
    <w:name w:val="ListLabel 442"/>
    <w:qFormat/>
    <w:rPr>
      <w:rFonts w:cs="Wingdings"/>
    </w:rPr>
  </w:style>
  <w:style w:type="character" w:customStyle="1" w:styleId="ListLabel443">
    <w:name w:val="ListLabel 443"/>
    <w:qFormat/>
    <w:rPr>
      <w:rFonts w:cs="Symbol"/>
    </w:rPr>
  </w:style>
  <w:style w:type="character" w:customStyle="1" w:styleId="ListLabel444">
    <w:name w:val="ListLabel 444"/>
    <w:qFormat/>
    <w:rPr>
      <w:rFonts w:cs="Courier New"/>
    </w:rPr>
  </w:style>
  <w:style w:type="character" w:customStyle="1" w:styleId="ListLabel445">
    <w:name w:val="ListLabel 445"/>
    <w:qFormat/>
    <w:rPr>
      <w:rFonts w:cs="Wingdings"/>
    </w:rPr>
  </w:style>
  <w:style w:type="character" w:customStyle="1" w:styleId="ListLabel446">
    <w:name w:val="ListLabel 446"/>
    <w:qFormat/>
    <w:rPr>
      <w:rFonts w:cs="Symbol"/>
    </w:rPr>
  </w:style>
  <w:style w:type="character" w:customStyle="1" w:styleId="ListLabel447">
    <w:name w:val="ListLabel 447"/>
    <w:qFormat/>
    <w:rPr>
      <w:rFonts w:cs="Courier New"/>
    </w:rPr>
  </w:style>
  <w:style w:type="character" w:customStyle="1" w:styleId="ListLabel448">
    <w:name w:val="ListLabel 448"/>
    <w:qFormat/>
    <w:rPr>
      <w:rFonts w:cs="Wingdings"/>
    </w:rPr>
  </w:style>
  <w:style w:type="character" w:customStyle="1" w:styleId="ListLabel449">
    <w:name w:val="ListLabel 449"/>
    <w:qFormat/>
    <w:rPr>
      <w:rFonts w:cs="Times New Roman"/>
      <w:b/>
      <w:sz w:val="24"/>
    </w:rPr>
  </w:style>
  <w:style w:type="character" w:customStyle="1" w:styleId="ListLabel450">
    <w:name w:val="ListLabel 450"/>
    <w:qFormat/>
    <w:rPr>
      <w:rFonts w:cs="Times New Roman"/>
    </w:rPr>
  </w:style>
  <w:style w:type="character" w:customStyle="1" w:styleId="ListLabel451">
    <w:name w:val="ListLabel 451"/>
    <w:qFormat/>
    <w:rPr>
      <w:rFonts w:cs="Times New Roman"/>
    </w:rPr>
  </w:style>
  <w:style w:type="character" w:customStyle="1" w:styleId="ListLabel452">
    <w:name w:val="ListLabel 452"/>
    <w:qFormat/>
    <w:rPr>
      <w:rFonts w:cs="Times New Roman"/>
    </w:rPr>
  </w:style>
  <w:style w:type="character" w:customStyle="1" w:styleId="ListLabel453">
    <w:name w:val="ListLabel 453"/>
    <w:qFormat/>
    <w:rPr>
      <w:rFonts w:cs="Times New Roman"/>
    </w:rPr>
  </w:style>
  <w:style w:type="character" w:customStyle="1" w:styleId="ListLabel454">
    <w:name w:val="ListLabel 454"/>
    <w:qFormat/>
    <w:rPr>
      <w:rFonts w:cs="Times New Roman"/>
    </w:rPr>
  </w:style>
  <w:style w:type="character" w:customStyle="1" w:styleId="ListLabel455">
    <w:name w:val="ListLabel 455"/>
    <w:qFormat/>
    <w:rPr>
      <w:rFonts w:cs="Times New Roman"/>
    </w:rPr>
  </w:style>
  <w:style w:type="character" w:customStyle="1" w:styleId="ListLabel456">
    <w:name w:val="ListLabel 456"/>
    <w:qFormat/>
    <w:rPr>
      <w:rFonts w:cs="Times New Roman"/>
    </w:rPr>
  </w:style>
  <w:style w:type="character" w:customStyle="1" w:styleId="ListLabel457">
    <w:name w:val="ListLabel 457"/>
    <w:qFormat/>
    <w:rPr>
      <w:rFonts w:cs="Times New Roman"/>
    </w:rPr>
  </w:style>
  <w:style w:type="character" w:customStyle="1" w:styleId="ListLabel458">
    <w:name w:val="ListLabel 458"/>
    <w:qFormat/>
    <w:rPr>
      <w:rFonts w:cs="Calibri"/>
      <w:sz w:val="24"/>
    </w:rPr>
  </w:style>
  <w:style w:type="character" w:customStyle="1" w:styleId="ListLabel459">
    <w:name w:val="ListLabel 459"/>
    <w:qFormat/>
    <w:rPr>
      <w:rFonts w:cs="Courier New"/>
    </w:rPr>
  </w:style>
  <w:style w:type="character" w:customStyle="1" w:styleId="ListLabel460">
    <w:name w:val="ListLabel 460"/>
    <w:qFormat/>
    <w:rPr>
      <w:rFonts w:cs="Wingdings"/>
    </w:rPr>
  </w:style>
  <w:style w:type="character" w:customStyle="1" w:styleId="ListLabel461">
    <w:name w:val="ListLabel 461"/>
    <w:qFormat/>
    <w:rPr>
      <w:rFonts w:cs="Symbol"/>
    </w:rPr>
  </w:style>
  <w:style w:type="character" w:customStyle="1" w:styleId="ListLabel462">
    <w:name w:val="ListLabel 462"/>
    <w:qFormat/>
    <w:rPr>
      <w:rFonts w:cs="Courier New"/>
    </w:rPr>
  </w:style>
  <w:style w:type="character" w:customStyle="1" w:styleId="ListLabel463">
    <w:name w:val="ListLabel 463"/>
    <w:qFormat/>
    <w:rPr>
      <w:rFonts w:cs="Wingdings"/>
    </w:rPr>
  </w:style>
  <w:style w:type="character" w:customStyle="1" w:styleId="ListLabel464">
    <w:name w:val="ListLabel 464"/>
    <w:qFormat/>
    <w:rPr>
      <w:rFonts w:cs="Symbol"/>
    </w:rPr>
  </w:style>
  <w:style w:type="character" w:customStyle="1" w:styleId="ListLabel465">
    <w:name w:val="ListLabel 465"/>
    <w:qFormat/>
    <w:rPr>
      <w:rFonts w:cs="Courier New"/>
    </w:rPr>
  </w:style>
  <w:style w:type="character" w:customStyle="1" w:styleId="ListLabel466">
    <w:name w:val="ListLabel 466"/>
    <w:qFormat/>
    <w:rPr>
      <w:rFonts w:cs="Wingdings"/>
    </w:rPr>
  </w:style>
  <w:style w:type="character" w:customStyle="1" w:styleId="ListLabel467">
    <w:name w:val="ListLabel 467"/>
    <w:qFormat/>
    <w:rPr>
      <w:rFonts w:cs="Times New Roman"/>
      <w:sz w:val="24"/>
    </w:rPr>
  </w:style>
  <w:style w:type="character" w:customStyle="1" w:styleId="ListLabel468">
    <w:name w:val="ListLabel 468"/>
    <w:qFormat/>
    <w:rPr>
      <w:rFonts w:cs="Times New Roman"/>
    </w:rPr>
  </w:style>
  <w:style w:type="character" w:customStyle="1" w:styleId="ListLabel469">
    <w:name w:val="ListLabel 469"/>
    <w:qFormat/>
    <w:rPr>
      <w:rFonts w:cs="Times New Roman"/>
    </w:rPr>
  </w:style>
  <w:style w:type="character" w:customStyle="1" w:styleId="ListLabel470">
    <w:name w:val="ListLabel 470"/>
    <w:qFormat/>
    <w:rPr>
      <w:rFonts w:cs="Times New Roman"/>
    </w:rPr>
  </w:style>
  <w:style w:type="character" w:customStyle="1" w:styleId="ListLabel471">
    <w:name w:val="ListLabel 471"/>
    <w:qFormat/>
    <w:rPr>
      <w:rFonts w:cs="Times New Roman"/>
    </w:rPr>
  </w:style>
  <w:style w:type="character" w:customStyle="1" w:styleId="ListLabel472">
    <w:name w:val="ListLabel 472"/>
    <w:qFormat/>
    <w:rPr>
      <w:rFonts w:cs="Times New Roman"/>
    </w:rPr>
  </w:style>
  <w:style w:type="character" w:customStyle="1" w:styleId="ListLabel473">
    <w:name w:val="ListLabel 473"/>
    <w:qFormat/>
    <w:rPr>
      <w:rFonts w:cs="Times New Roman"/>
    </w:rPr>
  </w:style>
  <w:style w:type="character" w:customStyle="1" w:styleId="ListLabel474">
    <w:name w:val="ListLabel 474"/>
    <w:qFormat/>
    <w:rPr>
      <w:rFonts w:cs="Times New Roman"/>
    </w:rPr>
  </w:style>
  <w:style w:type="character" w:customStyle="1" w:styleId="ListLabel475">
    <w:name w:val="ListLabel 475"/>
    <w:qFormat/>
    <w:rPr>
      <w:rFonts w:cs="Times New Roman"/>
    </w:rPr>
  </w:style>
  <w:style w:type="character" w:customStyle="1" w:styleId="ListLabel476">
    <w:name w:val="ListLabel 476"/>
    <w:qFormat/>
    <w:rPr>
      <w:rFonts w:cs="Calibri"/>
      <w:sz w:val="24"/>
    </w:rPr>
  </w:style>
  <w:style w:type="character" w:customStyle="1" w:styleId="ListLabel477">
    <w:name w:val="ListLabel 477"/>
    <w:qFormat/>
    <w:rPr>
      <w:rFonts w:cs="Courier New"/>
    </w:rPr>
  </w:style>
  <w:style w:type="character" w:customStyle="1" w:styleId="ListLabel478">
    <w:name w:val="ListLabel 478"/>
    <w:qFormat/>
    <w:rPr>
      <w:rFonts w:cs="Wingdings"/>
    </w:rPr>
  </w:style>
  <w:style w:type="character" w:customStyle="1" w:styleId="ListLabel479">
    <w:name w:val="ListLabel 479"/>
    <w:qFormat/>
    <w:rPr>
      <w:rFonts w:cs="Symbol"/>
    </w:rPr>
  </w:style>
  <w:style w:type="character" w:customStyle="1" w:styleId="ListLabel480">
    <w:name w:val="ListLabel 480"/>
    <w:qFormat/>
    <w:rPr>
      <w:rFonts w:cs="Courier New"/>
    </w:rPr>
  </w:style>
  <w:style w:type="character" w:customStyle="1" w:styleId="ListLabel481">
    <w:name w:val="ListLabel 481"/>
    <w:qFormat/>
    <w:rPr>
      <w:rFonts w:cs="Wingdings"/>
    </w:rPr>
  </w:style>
  <w:style w:type="character" w:customStyle="1" w:styleId="ListLabel482">
    <w:name w:val="ListLabel 482"/>
    <w:qFormat/>
    <w:rPr>
      <w:rFonts w:cs="Symbol"/>
    </w:rPr>
  </w:style>
  <w:style w:type="character" w:customStyle="1" w:styleId="ListLabel483">
    <w:name w:val="ListLabel 483"/>
    <w:qFormat/>
    <w:rPr>
      <w:rFonts w:cs="Courier New"/>
    </w:rPr>
  </w:style>
  <w:style w:type="character" w:customStyle="1" w:styleId="ListLabel484">
    <w:name w:val="ListLabel 484"/>
    <w:qFormat/>
    <w:rPr>
      <w:rFonts w:cs="Wingdings"/>
    </w:rPr>
  </w:style>
  <w:style w:type="character" w:customStyle="1" w:styleId="ListLabel485">
    <w:name w:val="ListLabel 485"/>
    <w:qFormat/>
    <w:rPr>
      <w:rFonts w:cs="Calibri"/>
      <w:sz w:val="24"/>
    </w:rPr>
  </w:style>
  <w:style w:type="character" w:customStyle="1" w:styleId="ListLabel486">
    <w:name w:val="ListLabel 486"/>
    <w:qFormat/>
    <w:rPr>
      <w:rFonts w:cs="Courier New"/>
    </w:rPr>
  </w:style>
  <w:style w:type="character" w:customStyle="1" w:styleId="ListLabel487">
    <w:name w:val="ListLabel 487"/>
    <w:qFormat/>
    <w:rPr>
      <w:rFonts w:cs="Wingdings"/>
    </w:rPr>
  </w:style>
  <w:style w:type="character" w:customStyle="1" w:styleId="ListLabel488">
    <w:name w:val="ListLabel 488"/>
    <w:qFormat/>
    <w:rPr>
      <w:rFonts w:cs="Symbol"/>
    </w:rPr>
  </w:style>
  <w:style w:type="character" w:customStyle="1" w:styleId="ListLabel489">
    <w:name w:val="ListLabel 489"/>
    <w:qFormat/>
    <w:rPr>
      <w:rFonts w:cs="Courier New"/>
    </w:rPr>
  </w:style>
  <w:style w:type="character" w:customStyle="1" w:styleId="ListLabel490">
    <w:name w:val="ListLabel 490"/>
    <w:qFormat/>
    <w:rPr>
      <w:rFonts w:cs="Wingdings"/>
    </w:rPr>
  </w:style>
  <w:style w:type="character" w:customStyle="1" w:styleId="ListLabel491">
    <w:name w:val="ListLabel 491"/>
    <w:qFormat/>
    <w:rPr>
      <w:rFonts w:cs="Symbol"/>
    </w:rPr>
  </w:style>
  <w:style w:type="character" w:customStyle="1" w:styleId="ListLabel492">
    <w:name w:val="ListLabel 492"/>
    <w:qFormat/>
    <w:rPr>
      <w:rFonts w:cs="Courier New"/>
    </w:rPr>
  </w:style>
  <w:style w:type="character" w:customStyle="1" w:styleId="ListLabel493">
    <w:name w:val="ListLabel 493"/>
    <w:qFormat/>
    <w:rPr>
      <w:rFonts w:cs="Wingdings"/>
    </w:rPr>
  </w:style>
  <w:style w:type="character" w:customStyle="1" w:styleId="ListLabel494">
    <w:name w:val="ListLabel 494"/>
    <w:qFormat/>
    <w:rPr>
      <w:rFonts w:cs="Calibri"/>
      <w:sz w:val="24"/>
    </w:rPr>
  </w:style>
  <w:style w:type="character" w:customStyle="1" w:styleId="ListLabel495">
    <w:name w:val="ListLabel 495"/>
    <w:qFormat/>
    <w:rPr>
      <w:rFonts w:cs="Courier New"/>
    </w:rPr>
  </w:style>
  <w:style w:type="character" w:customStyle="1" w:styleId="ListLabel496">
    <w:name w:val="ListLabel 496"/>
    <w:qFormat/>
    <w:rPr>
      <w:rFonts w:cs="Wingdings"/>
    </w:rPr>
  </w:style>
  <w:style w:type="character" w:customStyle="1" w:styleId="ListLabel497">
    <w:name w:val="ListLabel 497"/>
    <w:qFormat/>
    <w:rPr>
      <w:rFonts w:cs="Symbol"/>
    </w:rPr>
  </w:style>
  <w:style w:type="character" w:customStyle="1" w:styleId="ListLabel498">
    <w:name w:val="ListLabel 498"/>
    <w:qFormat/>
    <w:rPr>
      <w:rFonts w:cs="Courier New"/>
    </w:rPr>
  </w:style>
  <w:style w:type="character" w:customStyle="1" w:styleId="ListLabel499">
    <w:name w:val="ListLabel 499"/>
    <w:qFormat/>
    <w:rPr>
      <w:rFonts w:cs="Wingdings"/>
    </w:rPr>
  </w:style>
  <w:style w:type="character" w:customStyle="1" w:styleId="ListLabel500">
    <w:name w:val="ListLabel 500"/>
    <w:qFormat/>
    <w:rPr>
      <w:rFonts w:cs="Symbol"/>
    </w:rPr>
  </w:style>
  <w:style w:type="character" w:customStyle="1" w:styleId="ListLabel501">
    <w:name w:val="ListLabel 501"/>
    <w:qFormat/>
    <w:rPr>
      <w:rFonts w:cs="Courier New"/>
    </w:rPr>
  </w:style>
  <w:style w:type="character" w:customStyle="1" w:styleId="ListLabel502">
    <w:name w:val="ListLabel 502"/>
    <w:qFormat/>
    <w:rPr>
      <w:rFonts w:cs="Wingdings"/>
    </w:rPr>
  </w:style>
  <w:style w:type="character" w:customStyle="1" w:styleId="ListLabel503">
    <w:name w:val="ListLabel 503"/>
    <w:qFormat/>
    <w:rPr>
      <w:rFonts w:cs="Calibri"/>
      <w:sz w:val="24"/>
    </w:rPr>
  </w:style>
  <w:style w:type="character" w:customStyle="1" w:styleId="ListLabel504">
    <w:name w:val="ListLabel 504"/>
    <w:qFormat/>
    <w:rPr>
      <w:rFonts w:cs="Courier New"/>
    </w:rPr>
  </w:style>
  <w:style w:type="character" w:customStyle="1" w:styleId="ListLabel505">
    <w:name w:val="ListLabel 505"/>
    <w:qFormat/>
    <w:rPr>
      <w:rFonts w:cs="Wingdings"/>
    </w:rPr>
  </w:style>
  <w:style w:type="character" w:customStyle="1" w:styleId="ListLabel506">
    <w:name w:val="ListLabel 506"/>
    <w:qFormat/>
    <w:rPr>
      <w:rFonts w:cs="Symbol"/>
    </w:rPr>
  </w:style>
  <w:style w:type="character" w:customStyle="1" w:styleId="ListLabel507">
    <w:name w:val="ListLabel 507"/>
    <w:qFormat/>
    <w:rPr>
      <w:rFonts w:cs="Courier New"/>
    </w:rPr>
  </w:style>
  <w:style w:type="character" w:customStyle="1" w:styleId="ListLabel508">
    <w:name w:val="ListLabel 508"/>
    <w:qFormat/>
    <w:rPr>
      <w:rFonts w:cs="Wingdings"/>
    </w:rPr>
  </w:style>
  <w:style w:type="character" w:customStyle="1" w:styleId="ListLabel509">
    <w:name w:val="ListLabel 509"/>
    <w:qFormat/>
    <w:rPr>
      <w:rFonts w:cs="Symbol"/>
    </w:rPr>
  </w:style>
  <w:style w:type="character" w:customStyle="1" w:styleId="ListLabel510">
    <w:name w:val="ListLabel 510"/>
    <w:qFormat/>
    <w:rPr>
      <w:rFonts w:cs="Courier New"/>
    </w:rPr>
  </w:style>
  <w:style w:type="character" w:customStyle="1" w:styleId="ListLabel511">
    <w:name w:val="ListLabel 511"/>
    <w:qFormat/>
    <w:rPr>
      <w:rFonts w:cs="Wingdings"/>
    </w:rPr>
  </w:style>
  <w:style w:type="character" w:customStyle="1" w:styleId="ListLabel512">
    <w:name w:val="ListLabel 512"/>
    <w:qFormat/>
    <w:rPr>
      <w:rFonts w:cs="Calibri"/>
      <w:sz w:val="24"/>
    </w:rPr>
  </w:style>
  <w:style w:type="character" w:customStyle="1" w:styleId="ListLabel513">
    <w:name w:val="ListLabel 513"/>
    <w:qFormat/>
    <w:rPr>
      <w:rFonts w:cs="Courier New"/>
    </w:rPr>
  </w:style>
  <w:style w:type="character" w:customStyle="1" w:styleId="ListLabel514">
    <w:name w:val="ListLabel 514"/>
    <w:qFormat/>
    <w:rPr>
      <w:rFonts w:cs="Wingdings"/>
    </w:rPr>
  </w:style>
  <w:style w:type="character" w:customStyle="1" w:styleId="ListLabel515">
    <w:name w:val="ListLabel 515"/>
    <w:qFormat/>
    <w:rPr>
      <w:rFonts w:cs="Symbol"/>
    </w:rPr>
  </w:style>
  <w:style w:type="character" w:customStyle="1" w:styleId="ListLabel516">
    <w:name w:val="ListLabel 516"/>
    <w:qFormat/>
    <w:rPr>
      <w:rFonts w:cs="Courier New"/>
    </w:rPr>
  </w:style>
  <w:style w:type="character" w:customStyle="1" w:styleId="ListLabel517">
    <w:name w:val="ListLabel 517"/>
    <w:qFormat/>
    <w:rPr>
      <w:rFonts w:cs="Wingdings"/>
    </w:rPr>
  </w:style>
  <w:style w:type="character" w:customStyle="1" w:styleId="ListLabel518">
    <w:name w:val="ListLabel 518"/>
    <w:qFormat/>
    <w:rPr>
      <w:rFonts w:cs="Symbol"/>
    </w:rPr>
  </w:style>
  <w:style w:type="character" w:customStyle="1" w:styleId="ListLabel519">
    <w:name w:val="ListLabel 519"/>
    <w:qFormat/>
    <w:rPr>
      <w:rFonts w:cs="Courier New"/>
    </w:rPr>
  </w:style>
  <w:style w:type="character" w:customStyle="1" w:styleId="ListLabel520">
    <w:name w:val="ListLabel 520"/>
    <w:qFormat/>
    <w:rPr>
      <w:rFonts w:cs="Wingdings"/>
    </w:rPr>
  </w:style>
  <w:style w:type="character" w:customStyle="1" w:styleId="ListLabel521">
    <w:name w:val="ListLabel 521"/>
    <w:qFormat/>
    <w:rPr>
      <w:rFonts w:cs="Calibri"/>
      <w:sz w:val="24"/>
    </w:rPr>
  </w:style>
  <w:style w:type="character" w:customStyle="1" w:styleId="ListLabel522">
    <w:name w:val="ListLabel 522"/>
    <w:qFormat/>
    <w:rPr>
      <w:rFonts w:cs="Courier New"/>
    </w:rPr>
  </w:style>
  <w:style w:type="character" w:customStyle="1" w:styleId="ListLabel523">
    <w:name w:val="ListLabel 523"/>
    <w:qFormat/>
    <w:rPr>
      <w:rFonts w:cs="Wingdings"/>
    </w:rPr>
  </w:style>
  <w:style w:type="character" w:customStyle="1" w:styleId="ListLabel524">
    <w:name w:val="ListLabel 524"/>
    <w:qFormat/>
    <w:rPr>
      <w:rFonts w:cs="Symbol"/>
    </w:rPr>
  </w:style>
  <w:style w:type="character" w:customStyle="1" w:styleId="ListLabel525">
    <w:name w:val="ListLabel 525"/>
    <w:qFormat/>
    <w:rPr>
      <w:rFonts w:cs="Courier New"/>
    </w:rPr>
  </w:style>
  <w:style w:type="character" w:customStyle="1" w:styleId="ListLabel526">
    <w:name w:val="ListLabel 526"/>
    <w:qFormat/>
    <w:rPr>
      <w:rFonts w:cs="Wingdings"/>
    </w:rPr>
  </w:style>
  <w:style w:type="character" w:customStyle="1" w:styleId="ListLabel527">
    <w:name w:val="ListLabel 527"/>
    <w:qFormat/>
    <w:rPr>
      <w:rFonts w:cs="Symbol"/>
    </w:rPr>
  </w:style>
  <w:style w:type="character" w:customStyle="1" w:styleId="ListLabel528">
    <w:name w:val="ListLabel 528"/>
    <w:qFormat/>
    <w:rPr>
      <w:rFonts w:cs="Courier New"/>
    </w:rPr>
  </w:style>
  <w:style w:type="character" w:customStyle="1" w:styleId="ListLabel529">
    <w:name w:val="ListLabel 529"/>
    <w:qFormat/>
    <w:rPr>
      <w:rFonts w:cs="Wingdings"/>
    </w:rPr>
  </w:style>
  <w:style w:type="character" w:customStyle="1" w:styleId="ListLabel530">
    <w:name w:val="ListLabel 530"/>
    <w:qFormat/>
    <w:rPr>
      <w:rFonts w:cs="Calibri"/>
      <w:sz w:val="24"/>
    </w:rPr>
  </w:style>
  <w:style w:type="character" w:customStyle="1" w:styleId="ListLabel531">
    <w:name w:val="ListLabel 531"/>
    <w:qFormat/>
    <w:rPr>
      <w:rFonts w:cs="Courier New"/>
    </w:rPr>
  </w:style>
  <w:style w:type="character" w:customStyle="1" w:styleId="ListLabel532">
    <w:name w:val="ListLabel 532"/>
    <w:qFormat/>
    <w:rPr>
      <w:rFonts w:cs="Wingdings"/>
    </w:rPr>
  </w:style>
  <w:style w:type="character" w:customStyle="1" w:styleId="ListLabel533">
    <w:name w:val="ListLabel 533"/>
    <w:qFormat/>
    <w:rPr>
      <w:rFonts w:cs="Symbol"/>
    </w:rPr>
  </w:style>
  <w:style w:type="character" w:customStyle="1" w:styleId="ListLabel534">
    <w:name w:val="ListLabel 534"/>
    <w:qFormat/>
    <w:rPr>
      <w:rFonts w:cs="Courier New"/>
    </w:rPr>
  </w:style>
  <w:style w:type="character" w:customStyle="1" w:styleId="ListLabel535">
    <w:name w:val="ListLabel 535"/>
    <w:qFormat/>
    <w:rPr>
      <w:rFonts w:cs="Wingdings"/>
    </w:rPr>
  </w:style>
  <w:style w:type="character" w:customStyle="1" w:styleId="ListLabel536">
    <w:name w:val="ListLabel 536"/>
    <w:qFormat/>
    <w:rPr>
      <w:rFonts w:cs="Symbol"/>
    </w:rPr>
  </w:style>
  <w:style w:type="character" w:customStyle="1" w:styleId="ListLabel537">
    <w:name w:val="ListLabel 537"/>
    <w:qFormat/>
    <w:rPr>
      <w:rFonts w:cs="Courier New"/>
    </w:rPr>
  </w:style>
  <w:style w:type="character" w:customStyle="1" w:styleId="ListLabel538">
    <w:name w:val="ListLabel 538"/>
    <w:qFormat/>
    <w:rPr>
      <w:rFonts w:cs="Wingdings"/>
    </w:rPr>
  </w:style>
  <w:style w:type="character" w:customStyle="1" w:styleId="ListLabel539">
    <w:name w:val="ListLabel 539"/>
    <w:qFormat/>
    <w:rPr>
      <w:rFonts w:cs="Calibri"/>
    </w:rPr>
  </w:style>
  <w:style w:type="character" w:customStyle="1" w:styleId="ListLabel540">
    <w:name w:val="ListLabel 540"/>
    <w:qFormat/>
    <w:rPr>
      <w:rFonts w:cs="Courier New"/>
    </w:rPr>
  </w:style>
  <w:style w:type="character" w:customStyle="1" w:styleId="ListLabel541">
    <w:name w:val="ListLabel 541"/>
    <w:qFormat/>
    <w:rPr>
      <w:rFonts w:cs="Wingdings"/>
    </w:rPr>
  </w:style>
  <w:style w:type="character" w:customStyle="1" w:styleId="ListLabel542">
    <w:name w:val="ListLabel 542"/>
    <w:qFormat/>
    <w:rPr>
      <w:rFonts w:cs="Symbol"/>
    </w:rPr>
  </w:style>
  <w:style w:type="character" w:customStyle="1" w:styleId="ListLabel543">
    <w:name w:val="ListLabel 543"/>
    <w:qFormat/>
    <w:rPr>
      <w:rFonts w:cs="Courier New"/>
    </w:rPr>
  </w:style>
  <w:style w:type="character" w:customStyle="1" w:styleId="ListLabel544">
    <w:name w:val="ListLabel 544"/>
    <w:qFormat/>
    <w:rPr>
      <w:rFonts w:cs="Wingdings"/>
    </w:rPr>
  </w:style>
  <w:style w:type="character" w:customStyle="1" w:styleId="ListLabel545">
    <w:name w:val="ListLabel 545"/>
    <w:qFormat/>
    <w:rPr>
      <w:rFonts w:cs="Symbol"/>
    </w:rPr>
  </w:style>
  <w:style w:type="character" w:customStyle="1" w:styleId="ListLabel546">
    <w:name w:val="ListLabel 546"/>
    <w:qFormat/>
    <w:rPr>
      <w:rFonts w:cs="Courier New"/>
    </w:rPr>
  </w:style>
  <w:style w:type="character" w:customStyle="1" w:styleId="ListLabel547">
    <w:name w:val="ListLabel 547"/>
    <w:qFormat/>
    <w:rPr>
      <w:rFonts w:cs="Wingdings"/>
    </w:rPr>
  </w:style>
  <w:style w:type="character" w:customStyle="1" w:styleId="ListLabel548">
    <w:name w:val="ListLabel 548"/>
    <w:qFormat/>
    <w:rPr>
      <w:rFonts w:cs="Times New Roman"/>
      <w:sz w:val="20"/>
    </w:rPr>
  </w:style>
  <w:style w:type="character" w:customStyle="1" w:styleId="ListLabel549">
    <w:name w:val="ListLabel 549"/>
    <w:qFormat/>
    <w:rPr>
      <w:rFonts w:cs="Times New Roman"/>
    </w:rPr>
  </w:style>
  <w:style w:type="character" w:customStyle="1" w:styleId="ListLabel550">
    <w:name w:val="ListLabel 550"/>
    <w:qFormat/>
    <w:rPr>
      <w:rFonts w:cs="Times New Roman"/>
    </w:rPr>
  </w:style>
  <w:style w:type="character" w:customStyle="1" w:styleId="ListLabel551">
    <w:name w:val="ListLabel 551"/>
    <w:qFormat/>
    <w:rPr>
      <w:rFonts w:cs="Times New Roman"/>
    </w:rPr>
  </w:style>
  <w:style w:type="character" w:customStyle="1" w:styleId="ListLabel552">
    <w:name w:val="ListLabel 552"/>
    <w:qFormat/>
    <w:rPr>
      <w:rFonts w:cs="Times New Roman"/>
    </w:rPr>
  </w:style>
  <w:style w:type="character" w:customStyle="1" w:styleId="ListLabel553">
    <w:name w:val="ListLabel 553"/>
    <w:qFormat/>
    <w:rPr>
      <w:rFonts w:cs="Times New Roman"/>
    </w:rPr>
  </w:style>
  <w:style w:type="character" w:customStyle="1" w:styleId="ListLabel554">
    <w:name w:val="ListLabel 554"/>
    <w:qFormat/>
    <w:rPr>
      <w:rFonts w:cs="Times New Roman"/>
    </w:rPr>
  </w:style>
  <w:style w:type="character" w:customStyle="1" w:styleId="ListLabel555">
    <w:name w:val="ListLabel 555"/>
    <w:qFormat/>
    <w:rPr>
      <w:rFonts w:cs="Times New Roman"/>
    </w:rPr>
  </w:style>
  <w:style w:type="character" w:customStyle="1" w:styleId="ListLabel556">
    <w:name w:val="ListLabel 556"/>
    <w:qFormat/>
    <w:rPr>
      <w:rFonts w:cs="Times New Roman"/>
    </w:rPr>
  </w:style>
  <w:style w:type="character" w:customStyle="1" w:styleId="ListLabel557">
    <w:name w:val="ListLabel 557"/>
    <w:qFormat/>
    <w:rPr>
      <w:rFonts w:cs="Calibri"/>
    </w:rPr>
  </w:style>
  <w:style w:type="character" w:customStyle="1" w:styleId="ListLabel558">
    <w:name w:val="ListLabel 558"/>
    <w:qFormat/>
    <w:rPr>
      <w:rFonts w:cs="Courier New"/>
    </w:rPr>
  </w:style>
  <w:style w:type="character" w:customStyle="1" w:styleId="ListLabel559">
    <w:name w:val="ListLabel 559"/>
    <w:qFormat/>
    <w:rPr>
      <w:rFonts w:cs="Wingdings"/>
    </w:rPr>
  </w:style>
  <w:style w:type="character" w:customStyle="1" w:styleId="ListLabel560">
    <w:name w:val="ListLabel 560"/>
    <w:qFormat/>
    <w:rPr>
      <w:rFonts w:cs="Symbol"/>
    </w:rPr>
  </w:style>
  <w:style w:type="character" w:customStyle="1" w:styleId="ListLabel561">
    <w:name w:val="ListLabel 561"/>
    <w:qFormat/>
    <w:rPr>
      <w:rFonts w:cs="Courier New"/>
    </w:rPr>
  </w:style>
  <w:style w:type="character" w:customStyle="1" w:styleId="ListLabel562">
    <w:name w:val="ListLabel 562"/>
    <w:qFormat/>
    <w:rPr>
      <w:rFonts w:cs="Wingdings"/>
    </w:rPr>
  </w:style>
  <w:style w:type="character" w:customStyle="1" w:styleId="ListLabel563">
    <w:name w:val="ListLabel 563"/>
    <w:qFormat/>
    <w:rPr>
      <w:rFonts w:cs="Symbol"/>
    </w:rPr>
  </w:style>
  <w:style w:type="character" w:customStyle="1" w:styleId="ListLabel564">
    <w:name w:val="ListLabel 564"/>
    <w:qFormat/>
    <w:rPr>
      <w:rFonts w:cs="Courier New"/>
    </w:rPr>
  </w:style>
  <w:style w:type="character" w:customStyle="1" w:styleId="ListLabel565">
    <w:name w:val="ListLabel 565"/>
    <w:qFormat/>
    <w:rPr>
      <w:rFonts w:cs="Wingdings"/>
    </w:rPr>
  </w:style>
  <w:style w:type="character" w:customStyle="1" w:styleId="ListLabel566">
    <w:name w:val="ListLabel 566"/>
    <w:qFormat/>
    <w:rPr>
      <w:rFonts w:cs="Calibri"/>
    </w:rPr>
  </w:style>
  <w:style w:type="character" w:customStyle="1" w:styleId="ListLabel567">
    <w:name w:val="ListLabel 567"/>
    <w:qFormat/>
    <w:rPr>
      <w:rFonts w:cs="Courier New"/>
    </w:rPr>
  </w:style>
  <w:style w:type="character" w:customStyle="1" w:styleId="ListLabel568">
    <w:name w:val="ListLabel 568"/>
    <w:qFormat/>
    <w:rPr>
      <w:rFonts w:cs="Wingdings"/>
    </w:rPr>
  </w:style>
  <w:style w:type="character" w:customStyle="1" w:styleId="ListLabel569">
    <w:name w:val="ListLabel 569"/>
    <w:qFormat/>
    <w:rPr>
      <w:rFonts w:cs="Symbol"/>
    </w:rPr>
  </w:style>
  <w:style w:type="character" w:customStyle="1" w:styleId="ListLabel570">
    <w:name w:val="ListLabel 570"/>
    <w:qFormat/>
    <w:rPr>
      <w:rFonts w:cs="Courier New"/>
    </w:rPr>
  </w:style>
  <w:style w:type="character" w:customStyle="1" w:styleId="ListLabel571">
    <w:name w:val="ListLabel 571"/>
    <w:qFormat/>
    <w:rPr>
      <w:rFonts w:cs="Wingdings"/>
    </w:rPr>
  </w:style>
  <w:style w:type="character" w:customStyle="1" w:styleId="ListLabel572">
    <w:name w:val="ListLabel 572"/>
    <w:qFormat/>
    <w:rPr>
      <w:rFonts w:cs="Symbol"/>
    </w:rPr>
  </w:style>
  <w:style w:type="character" w:customStyle="1" w:styleId="ListLabel573">
    <w:name w:val="ListLabel 573"/>
    <w:qFormat/>
    <w:rPr>
      <w:rFonts w:cs="Courier New"/>
    </w:rPr>
  </w:style>
  <w:style w:type="character" w:customStyle="1" w:styleId="ListLabel574">
    <w:name w:val="ListLabel 574"/>
    <w:qFormat/>
    <w:rPr>
      <w:rFonts w:cs="Wingdings"/>
    </w:rPr>
  </w:style>
  <w:style w:type="character" w:customStyle="1" w:styleId="ListLabel575">
    <w:name w:val="ListLabel 575"/>
    <w:qFormat/>
    <w:rPr>
      <w:rFonts w:cs="Symbol"/>
    </w:rPr>
  </w:style>
  <w:style w:type="character" w:customStyle="1" w:styleId="ListLabel576">
    <w:name w:val="ListLabel 576"/>
    <w:qFormat/>
    <w:rPr>
      <w:rFonts w:cs="Courier New"/>
    </w:rPr>
  </w:style>
  <w:style w:type="character" w:customStyle="1" w:styleId="ListLabel577">
    <w:name w:val="ListLabel 577"/>
    <w:qFormat/>
    <w:rPr>
      <w:rFonts w:cs="Wingdings"/>
    </w:rPr>
  </w:style>
  <w:style w:type="character" w:customStyle="1" w:styleId="ListLabel578">
    <w:name w:val="ListLabel 578"/>
    <w:qFormat/>
    <w:rPr>
      <w:rFonts w:cs="Symbol"/>
    </w:rPr>
  </w:style>
  <w:style w:type="character" w:customStyle="1" w:styleId="ListLabel579">
    <w:name w:val="ListLabel 579"/>
    <w:qFormat/>
    <w:rPr>
      <w:rFonts w:cs="Courier New"/>
    </w:rPr>
  </w:style>
  <w:style w:type="character" w:customStyle="1" w:styleId="ListLabel580">
    <w:name w:val="ListLabel 580"/>
    <w:qFormat/>
    <w:rPr>
      <w:rFonts w:cs="Wingdings"/>
    </w:rPr>
  </w:style>
  <w:style w:type="character" w:customStyle="1" w:styleId="ListLabel581">
    <w:name w:val="ListLabel 581"/>
    <w:qFormat/>
    <w:rPr>
      <w:rFonts w:cs="Symbol"/>
    </w:rPr>
  </w:style>
  <w:style w:type="character" w:customStyle="1" w:styleId="ListLabel582">
    <w:name w:val="ListLabel 582"/>
    <w:qFormat/>
    <w:rPr>
      <w:rFonts w:cs="Courier New"/>
    </w:rPr>
  </w:style>
  <w:style w:type="character" w:customStyle="1" w:styleId="ListLabel583">
    <w:name w:val="ListLabel 583"/>
    <w:qFormat/>
    <w:rPr>
      <w:rFonts w:cs="Wingdings"/>
    </w:rPr>
  </w:style>
  <w:style w:type="character" w:customStyle="1" w:styleId="ListLabel584">
    <w:name w:val="ListLabel 584"/>
    <w:qFormat/>
    <w:rPr>
      <w:rFonts w:cs="Symbol"/>
      <w:sz w:val="24"/>
    </w:rPr>
  </w:style>
  <w:style w:type="character" w:customStyle="1" w:styleId="ListLabel585">
    <w:name w:val="ListLabel 585"/>
    <w:qFormat/>
    <w:rPr>
      <w:rFonts w:cs="Courier New"/>
    </w:rPr>
  </w:style>
  <w:style w:type="character" w:customStyle="1" w:styleId="ListLabel586">
    <w:name w:val="ListLabel 586"/>
    <w:qFormat/>
    <w:rPr>
      <w:rFonts w:cs="Wingdings"/>
    </w:rPr>
  </w:style>
  <w:style w:type="character" w:customStyle="1" w:styleId="ListLabel587">
    <w:name w:val="ListLabel 587"/>
    <w:qFormat/>
    <w:rPr>
      <w:rFonts w:cs="Symbol"/>
    </w:rPr>
  </w:style>
  <w:style w:type="character" w:customStyle="1" w:styleId="ListLabel588">
    <w:name w:val="ListLabel 588"/>
    <w:qFormat/>
    <w:rPr>
      <w:rFonts w:cs="Courier New"/>
    </w:rPr>
  </w:style>
  <w:style w:type="character" w:customStyle="1" w:styleId="ListLabel589">
    <w:name w:val="ListLabel 589"/>
    <w:qFormat/>
    <w:rPr>
      <w:rFonts w:cs="Wingdings"/>
    </w:rPr>
  </w:style>
  <w:style w:type="character" w:customStyle="1" w:styleId="ListLabel590">
    <w:name w:val="ListLabel 590"/>
    <w:qFormat/>
    <w:rPr>
      <w:rFonts w:cs="Symbol"/>
    </w:rPr>
  </w:style>
  <w:style w:type="character" w:customStyle="1" w:styleId="ListLabel591">
    <w:name w:val="ListLabel 591"/>
    <w:qFormat/>
    <w:rPr>
      <w:rFonts w:cs="Courier New"/>
    </w:rPr>
  </w:style>
  <w:style w:type="character" w:customStyle="1" w:styleId="ListLabel592">
    <w:name w:val="ListLabel 592"/>
    <w:qFormat/>
    <w:rPr>
      <w:rFonts w:cs="Wingdings"/>
    </w:rPr>
  </w:style>
  <w:style w:type="character" w:customStyle="1" w:styleId="ListLabel593">
    <w:name w:val="ListLabel 593"/>
    <w:qFormat/>
    <w:rPr>
      <w:rFonts w:cs="Times New Roman"/>
      <w:sz w:val="20"/>
    </w:rPr>
  </w:style>
  <w:style w:type="character" w:customStyle="1" w:styleId="ListLabel594">
    <w:name w:val="ListLabel 594"/>
    <w:qFormat/>
    <w:rPr>
      <w:rFonts w:cs="Times New Roman"/>
    </w:rPr>
  </w:style>
  <w:style w:type="character" w:customStyle="1" w:styleId="ListLabel595">
    <w:name w:val="ListLabel 595"/>
    <w:qFormat/>
    <w:rPr>
      <w:rFonts w:cs="Times New Roman"/>
    </w:rPr>
  </w:style>
  <w:style w:type="character" w:customStyle="1" w:styleId="ListLabel596">
    <w:name w:val="ListLabel 596"/>
    <w:qFormat/>
    <w:rPr>
      <w:rFonts w:cs="Times New Roman"/>
    </w:rPr>
  </w:style>
  <w:style w:type="character" w:customStyle="1" w:styleId="ListLabel597">
    <w:name w:val="ListLabel 597"/>
    <w:qFormat/>
    <w:rPr>
      <w:rFonts w:cs="Times New Roman"/>
    </w:rPr>
  </w:style>
  <w:style w:type="character" w:customStyle="1" w:styleId="ListLabel598">
    <w:name w:val="ListLabel 598"/>
    <w:qFormat/>
    <w:rPr>
      <w:rFonts w:cs="Times New Roman"/>
    </w:rPr>
  </w:style>
  <w:style w:type="character" w:customStyle="1" w:styleId="ListLabel599">
    <w:name w:val="ListLabel 599"/>
    <w:qFormat/>
    <w:rPr>
      <w:rFonts w:cs="Times New Roman"/>
    </w:rPr>
  </w:style>
  <w:style w:type="character" w:customStyle="1" w:styleId="ListLabel600">
    <w:name w:val="ListLabel 600"/>
    <w:qFormat/>
    <w:rPr>
      <w:rFonts w:cs="Times New Roman"/>
    </w:rPr>
  </w:style>
  <w:style w:type="character" w:customStyle="1" w:styleId="ListLabel601">
    <w:name w:val="ListLabel 601"/>
    <w:qFormat/>
    <w:rPr>
      <w:rFonts w:cs="Times New Roman"/>
    </w:rPr>
  </w:style>
  <w:style w:type="character" w:customStyle="1" w:styleId="ListLabel602">
    <w:name w:val="ListLabel 602"/>
    <w:qFormat/>
    <w:rPr>
      <w:rFonts w:cs="Symbol"/>
      <w:sz w:val="20"/>
    </w:rPr>
  </w:style>
  <w:style w:type="character" w:customStyle="1" w:styleId="ListLabel603">
    <w:name w:val="ListLabel 603"/>
    <w:qFormat/>
    <w:rPr>
      <w:rFonts w:cs="Times New Roman"/>
    </w:rPr>
  </w:style>
  <w:style w:type="character" w:customStyle="1" w:styleId="ListLabel604">
    <w:name w:val="ListLabel 604"/>
    <w:qFormat/>
    <w:rPr>
      <w:rFonts w:cs="Calibri"/>
    </w:rPr>
  </w:style>
  <w:style w:type="character" w:customStyle="1" w:styleId="ListLabel605">
    <w:name w:val="ListLabel 605"/>
    <w:qFormat/>
    <w:rPr>
      <w:rFonts w:cs="Wingdings"/>
      <w:sz w:val="20"/>
    </w:rPr>
  </w:style>
  <w:style w:type="character" w:customStyle="1" w:styleId="ListLabel606">
    <w:name w:val="ListLabel 606"/>
    <w:qFormat/>
    <w:rPr>
      <w:rFonts w:cs="Wingdings"/>
      <w:sz w:val="20"/>
    </w:rPr>
  </w:style>
  <w:style w:type="character" w:customStyle="1" w:styleId="ListLabel607">
    <w:name w:val="ListLabel 607"/>
    <w:qFormat/>
    <w:rPr>
      <w:rFonts w:cs="Wingdings"/>
      <w:sz w:val="20"/>
    </w:rPr>
  </w:style>
  <w:style w:type="character" w:customStyle="1" w:styleId="ListLabel608">
    <w:name w:val="ListLabel 608"/>
    <w:qFormat/>
    <w:rPr>
      <w:rFonts w:cs="Wingdings"/>
      <w:sz w:val="20"/>
    </w:rPr>
  </w:style>
  <w:style w:type="character" w:customStyle="1" w:styleId="ListLabel609">
    <w:name w:val="ListLabel 609"/>
    <w:qFormat/>
    <w:rPr>
      <w:rFonts w:cs="Wingdings"/>
      <w:sz w:val="20"/>
    </w:rPr>
  </w:style>
  <w:style w:type="character" w:customStyle="1" w:styleId="ListLabel610">
    <w:name w:val="ListLabel 610"/>
    <w:qFormat/>
    <w:rPr>
      <w:rFonts w:cs="Wingdings"/>
      <w:sz w:val="20"/>
    </w:rPr>
  </w:style>
  <w:style w:type="character" w:customStyle="1" w:styleId="ListLabel611">
    <w:name w:val="ListLabel 611"/>
    <w:qFormat/>
    <w:rPr>
      <w:rFonts w:cs="Symbol"/>
    </w:rPr>
  </w:style>
  <w:style w:type="character" w:customStyle="1" w:styleId="ListLabel612">
    <w:name w:val="ListLabel 612"/>
    <w:qFormat/>
    <w:rPr>
      <w:rFonts w:cs="Courier New"/>
    </w:rPr>
  </w:style>
  <w:style w:type="character" w:customStyle="1" w:styleId="ListLabel613">
    <w:name w:val="ListLabel 613"/>
    <w:qFormat/>
    <w:rPr>
      <w:rFonts w:cs="Wingdings"/>
    </w:rPr>
  </w:style>
  <w:style w:type="character" w:customStyle="1" w:styleId="ListLabel614">
    <w:name w:val="ListLabel 614"/>
    <w:qFormat/>
    <w:rPr>
      <w:rFonts w:cs="Symbol"/>
    </w:rPr>
  </w:style>
  <w:style w:type="character" w:customStyle="1" w:styleId="ListLabel615">
    <w:name w:val="ListLabel 615"/>
    <w:qFormat/>
    <w:rPr>
      <w:rFonts w:cs="Courier New"/>
    </w:rPr>
  </w:style>
  <w:style w:type="character" w:customStyle="1" w:styleId="ListLabel616">
    <w:name w:val="ListLabel 616"/>
    <w:qFormat/>
    <w:rPr>
      <w:rFonts w:cs="Wingdings"/>
    </w:rPr>
  </w:style>
  <w:style w:type="character" w:customStyle="1" w:styleId="ListLabel617">
    <w:name w:val="ListLabel 617"/>
    <w:qFormat/>
    <w:rPr>
      <w:rFonts w:cs="Symbol"/>
    </w:rPr>
  </w:style>
  <w:style w:type="character" w:customStyle="1" w:styleId="ListLabel618">
    <w:name w:val="ListLabel 618"/>
    <w:qFormat/>
    <w:rPr>
      <w:rFonts w:cs="Courier New"/>
    </w:rPr>
  </w:style>
  <w:style w:type="character" w:customStyle="1" w:styleId="ListLabel619">
    <w:name w:val="ListLabel 619"/>
    <w:qFormat/>
    <w:rPr>
      <w:rFonts w:cs="Wingdings"/>
    </w:rPr>
  </w:style>
  <w:style w:type="character" w:customStyle="1" w:styleId="ListLabel620">
    <w:name w:val="ListLabel 620"/>
    <w:qFormat/>
    <w:rPr>
      <w:rFonts w:cs="Times New Roman"/>
      <w:sz w:val="20"/>
    </w:rPr>
  </w:style>
  <w:style w:type="character" w:customStyle="1" w:styleId="ListLabel621">
    <w:name w:val="ListLabel 621"/>
    <w:qFormat/>
    <w:rPr>
      <w:rFonts w:cs="Times New Roman"/>
    </w:rPr>
  </w:style>
  <w:style w:type="character" w:customStyle="1" w:styleId="ListLabel622">
    <w:name w:val="ListLabel 622"/>
    <w:qFormat/>
    <w:rPr>
      <w:rFonts w:cs="Times New Roman"/>
    </w:rPr>
  </w:style>
  <w:style w:type="character" w:customStyle="1" w:styleId="ListLabel623">
    <w:name w:val="ListLabel 623"/>
    <w:qFormat/>
    <w:rPr>
      <w:rFonts w:cs="Times New Roman"/>
    </w:rPr>
  </w:style>
  <w:style w:type="character" w:customStyle="1" w:styleId="ListLabel624">
    <w:name w:val="ListLabel 624"/>
    <w:qFormat/>
    <w:rPr>
      <w:rFonts w:cs="Times New Roman"/>
    </w:rPr>
  </w:style>
  <w:style w:type="character" w:customStyle="1" w:styleId="ListLabel625">
    <w:name w:val="ListLabel 625"/>
    <w:qFormat/>
    <w:rPr>
      <w:rFonts w:cs="Times New Roman"/>
    </w:rPr>
  </w:style>
  <w:style w:type="character" w:customStyle="1" w:styleId="ListLabel626">
    <w:name w:val="ListLabel 626"/>
    <w:qFormat/>
    <w:rPr>
      <w:rFonts w:cs="Times New Roman"/>
    </w:rPr>
  </w:style>
  <w:style w:type="character" w:customStyle="1" w:styleId="ListLabel627">
    <w:name w:val="ListLabel 627"/>
    <w:qFormat/>
    <w:rPr>
      <w:rFonts w:cs="Times New Roman"/>
    </w:rPr>
  </w:style>
  <w:style w:type="character" w:customStyle="1" w:styleId="ListLabel628">
    <w:name w:val="ListLabel 628"/>
    <w:qFormat/>
    <w:rPr>
      <w:rFonts w:cs="Times New Roman"/>
    </w:rPr>
  </w:style>
  <w:style w:type="character" w:customStyle="1" w:styleId="ListLabel629">
    <w:name w:val="ListLabel 629"/>
    <w:qFormat/>
    <w:rPr>
      <w:rFonts w:cs="Calibri"/>
    </w:rPr>
  </w:style>
  <w:style w:type="character" w:customStyle="1" w:styleId="ListLabel630">
    <w:name w:val="ListLabel 630"/>
    <w:qFormat/>
    <w:rPr>
      <w:rFonts w:cs="Courier New"/>
    </w:rPr>
  </w:style>
  <w:style w:type="character" w:customStyle="1" w:styleId="ListLabel631">
    <w:name w:val="ListLabel 631"/>
    <w:qFormat/>
    <w:rPr>
      <w:rFonts w:cs="Wingdings"/>
    </w:rPr>
  </w:style>
  <w:style w:type="character" w:customStyle="1" w:styleId="ListLabel632">
    <w:name w:val="ListLabel 632"/>
    <w:qFormat/>
    <w:rPr>
      <w:rFonts w:cs="Symbol"/>
    </w:rPr>
  </w:style>
  <w:style w:type="character" w:customStyle="1" w:styleId="ListLabel633">
    <w:name w:val="ListLabel 633"/>
    <w:qFormat/>
    <w:rPr>
      <w:rFonts w:cs="Courier New"/>
    </w:rPr>
  </w:style>
  <w:style w:type="character" w:customStyle="1" w:styleId="ListLabel634">
    <w:name w:val="ListLabel 634"/>
    <w:qFormat/>
    <w:rPr>
      <w:rFonts w:cs="Wingdings"/>
    </w:rPr>
  </w:style>
  <w:style w:type="character" w:customStyle="1" w:styleId="ListLabel635">
    <w:name w:val="ListLabel 635"/>
    <w:qFormat/>
    <w:rPr>
      <w:rFonts w:cs="Symbol"/>
    </w:rPr>
  </w:style>
  <w:style w:type="character" w:customStyle="1" w:styleId="ListLabel636">
    <w:name w:val="ListLabel 636"/>
    <w:qFormat/>
    <w:rPr>
      <w:rFonts w:cs="Courier New"/>
    </w:rPr>
  </w:style>
  <w:style w:type="character" w:customStyle="1" w:styleId="ListLabel637">
    <w:name w:val="ListLabel 637"/>
    <w:qFormat/>
    <w:rPr>
      <w:rFonts w:cs="Wingdings"/>
    </w:rPr>
  </w:style>
  <w:style w:type="character" w:customStyle="1" w:styleId="ListLabel638">
    <w:name w:val="ListLabel 638"/>
    <w:qFormat/>
    <w:rPr>
      <w:rFonts w:cs="Calibri"/>
      <w:sz w:val="24"/>
    </w:rPr>
  </w:style>
  <w:style w:type="character" w:customStyle="1" w:styleId="ListLabel639">
    <w:name w:val="ListLabel 639"/>
    <w:qFormat/>
    <w:rPr>
      <w:rFonts w:cs="Courier New"/>
    </w:rPr>
  </w:style>
  <w:style w:type="character" w:customStyle="1" w:styleId="ListLabel640">
    <w:name w:val="ListLabel 640"/>
    <w:qFormat/>
    <w:rPr>
      <w:rFonts w:cs="Wingdings"/>
    </w:rPr>
  </w:style>
  <w:style w:type="character" w:customStyle="1" w:styleId="ListLabel641">
    <w:name w:val="ListLabel 641"/>
    <w:qFormat/>
    <w:rPr>
      <w:rFonts w:cs="Symbol"/>
    </w:rPr>
  </w:style>
  <w:style w:type="character" w:customStyle="1" w:styleId="ListLabel642">
    <w:name w:val="ListLabel 642"/>
    <w:qFormat/>
    <w:rPr>
      <w:rFonts w:cs="Courier New"/>
    </w:rPr>
  </w:style>
  <w:style w:type="character" w:customStyle="1" w:styleId="ListLabel643">
    <w:name w:val="ListLabel 643"/>
    <w:qFormat/>
    <w:rPr>
      <w:rFonts w:cs="Wingdings"/>
    </w:rPr>
  </w:style>
  <w:style w:type="character" w:customStyle="1" w:styleId="ListLabel644">
    <w:name w:val="ListLabel 644"/>
    <w:qFormat/>
    <w:rPr>
      <w:rFonts w:cs="Symbol"/>
    </w:rPr>
  </w:style>
  <w:style w:type="character" w:customStyle="1" w:styleId="ListLabel645">
    <w:name w:val="ListLabel 645"/>
    <w:qFormat/>
    <w:rPr>
      <w:rFonts w:cs="Courier New"/>
    </w:rPr>
  </w:style>
  <w:style w:type="character" w:customStyle="1" w:styleId="ListLabel646">
    <w:name w:val="ListLabel 646"/>
    <w:qFormat/>
    <w:rPr>
      <w:rFonts w:cs="Wingdings"/>
    </w:rPr>
  </w:style>
  <w:style w:type="character" w:customStyle="1" w:styleId="ListLabel647">
    <w:name w:val="ListLabel 647"/>
    <w:qFormat/>
    <w:rPr>
      <w:rFonts w:cs="Calibri"/>
      <w:sz w:val="24"/>
    </w:rPr>
  </w:style>
  <w:style w:type="character" w:customStyle="1" w:styleId="ListLabel648">
    <w:name w:val="ListLabel 648"/>
    <w:qFormat/>
    <w:rPr>
      <w:rFonts w:cs="Courier New"/>
    </w:rPr>
  </w:style>
  <w:style w:type="character" w:customStyle="1" w:styleId="ListLabel649">
    <w:name w:val="ListLabel 649"/>
    <w:qFormat/>
    <w:rPr>
      <w:rFonts w:cs="Wingdings"/>
    </w:rPr>
  </w:style>
  <w:style w:type="character" w:customStyle="1" w:styleId="ListLabel650">
    <w:name w:val="ListLabel 650"/>
    <w:qFormat/>
    <w:rPr>
      <w:rFonts w:cs="Symbol"/>
    </w:rPr>
  </w:style>
  <w:style w:type="character" w:customStyle="1" w:styleId="ListLabel651">
    <w:name w:val="ListLabel 651"/>
    <w:qFormat/>
    <w:rPr>
      <w:rFonts w:cs="Courier New"/>
    </w:rPr>
  </w:style>
  <w:style w:type="character" w:customStyle="1" w:styleId="ListLabel652">
    <w:name w:val="ListLabel 652"/>
    <w:qFormat/>
    <w:rPr>
      <w:rFonts w:cs="Wingdings"/>
    </w:rPr>
  </w:style>
  <w:style w:type="character" w:customStyle="1" w:styleId="ListLabel653">
    <w:name w:val="ListLabel 653"/>
    <w:qFormat/>
    <w:rPr>
      <w:rFonts w:cs="Symbol"/>
    </w:rPr>
  </w:style>
  <w:style w:type="character" w:customStyle="1" w:styleId="ListLabel654">
    <w:name w:val="ListLabel 654"/>
    <w:qFormat/>
    <w:rPr>
      <w:rFonts w:cs="Courier New"/>
    </w:rPr>
  </w:style>
  <w:style w:type="character" w:customStyle="1" w:styleId="ListLabel655">
    <w:name w:val="ListLabel 655"/>
    <w:qFormat/>
    <w:rPr>
      <w:rFonts w:cs="Wingdings"/>
    </w:rPr>
  </w:style>
  <w:style w:type="character" w:customStyle="1" w:styleId="ListLabel656">
    <w:name w:val="ListLabel 656"/>
    <w:qFormat/>
    <w:rPr>
      <w:rFonts w:cs="Calibri"/>
      <w:sz w:val="24"/>
    </w:rPr>
  </w:style>
  <w:style w:type="character" w:customStyle="1" w:styleId="ListLabel657">
    <w:name w:val="ListLabel 657"/>
    <w:qFormat/>
    <w:rPr>
      <w:rFonts w:cs="Courier New"/>
    </w:rPr>
  </w:style>
  <w:style w:type="character" w:customStyle="1" w:styleId="ListLabel658">
    <w:name w:val="ListLabel 658"/>
    <w:qFormat/>
    <w:rPr>
      <w:rFonts w:cs="Wingdings"/>
    </w:rPr>
  </w:style>
  <w:style w:type="character" w:customStyle="1" w:styleId="ListLabel659">
    <w:name w:val="ListLabel 659"/>
    <w:qFormat/>
    <w:rPr>
      <w:rFonts w:cs="Symbol"/>
    </w:rPr>
  </w:style>
  <w:style w:type="character" w:customStyle="1" w:styleId="ListLabel660">
    <w:name w:val="ListLabel 660"/>
    <w:qFormat/>
    <w:rPr>
      <w:rFonts w:cs="Courier New"/>
    </w:rPr>
  </w:style>
  <w:style w:type="character" w:customStyle="1" w:styleId="ListLabel661">
    <w:name w:val="ListLabel 661"/>
    <w:qFormat/>
    <w:rPr>
      <w:rFonts w:cs="Wingdings"/>
    </w:rPr>
  </w:style>
  <w:style w:type="character" w:customStyle="1" w:styleId="ListLabel662">
    <w:name w:val="ListLabel 662"/>
    <w:qFormat/>
    <w:rPr>
      <w:rFonts w:cs="Symbol"/>
    </w:rPr>
  </w:style>
  <w:style w:type="character" w:customStyle="1" w:styleId="ListLabel663">
    <w:name w:val="ListLabel 663"/>
    <w:qFormat/>
    <w:rPr>
      <w:rFonts w:cs="Courier New"/>
    </w:rPr>
  </w:style>
  <w:style w:type="character" w:customStyle="1" w:styleId="ListLabel664">
    <w:name w:val="ListLabel 664"/>
    <w:qFormat/>
    <w:rPr>
      <w:rFonts w:cs="Wingdings"/>
    </w:rPr>
  </w:style>
  <w:style w:type="character" w:customStyle="1" w:styleId="ListLabel665">
    <w:name w:val="ListLabel 665"/>
    <w:qFormat/>
    <w:rPr>
      <w:rFonts w:cs="Calibri"/>
      <w:sz w:val="24"/>
    </w:rPr>
  </w:style>
  <w:style w:type="character" w:customStyle="1" w:styleId="ListLabel666">
    <w:name w:val="ListLabel 666"/>
    <w:qFormat/>
    <w:rPr>
      <w:rFonts w:cs="Courier New"/>
    </w:rPr>
  </w:style>
  <w:style w:type="character" w:customStyle="1" w:styleId="ListLabel667">
    <w:name w:val="ListLabel 667"/>
    <w:qFormat/>
    <w:rPr>
      <w:rFonts w:cs="Wingdings"/>
    </w:rPr>
  </w:style>
  <w:style w:type="character" w:customStyle="1" w:styleId="ListLabel668">
    <w:name w:val="ListLabel 668"/>
    <w:qFormat/>
    <w:rPr>
      <w:rFonts w:cs="Symbol"/>
    </w:rPr>
  </w:style>
  <w:style w:type="character" w:customStyle="1" w:styleId="ListLabel669">
    <w:name w:val="ListLabel 669"/>
    <w:qFormat/>
    <w:rPr>
      <w:rFonts w:cs="Courier New"/>
    </w:rPr>
  </w:style>
  <w:style w:type="character" w:customStyle="1" w:styleId="ListLabel670">
    <w:name w:val="ListLabel 670"/>
    <w:qFormat/>
    <w:rPr>
      <w:rFonts w:cs="Wingdings"/>
    </w:rPr>
  </w:style>
  <w:style w:type="character" w:customStyle="1" w:styleId="ListLabel671">
    <w:name w:val="ListLabel 671"/>
    <w:qFormat/>
    <w:rPr>
      <w:rFonts w:cs="Symbol"/>
    </w:rPr>
  </w:style>
  <w:style w:type="character" w:customStyle="1" w:styleId="ListLabel672">
    <w:name w:val="ListLabel 672"/>
    <w:qFormat/>
    <w:rPr>
      <w:rFonts w:cs="Courier New"/>
    </w:rPr>
  </w:style>
  <w:style w:type="character" w:customStyle="1" w:styleId="ListLabel673">
    <w:name w:val="ListLabel 673"/>
    <w:qFormat/>
    <w:rPr>
      <w:rFonts w:cs="Wingdings"/>
    </w:rPr>
  </w:style>
  <w:style w:type="character" w:customStyle="1" w:styleId="ListLabel674">
    <w:name w:val="ListLabel 674"/>
    <w:qFormat/>
    <w:rPr>
      <w:rFonts w:cs="Calibri"/>
      <w:sz w:val="24"/>
    </w:rPr>
  </w:style>
  <w:style w:type="character" w:customStyle="1" w:styleId="ListLabel675">
    <w:name w:val="ListLabel 675"/>
    <w:qFormat/>
    <w:rPr>
      <w:rFonts w:cs="Courier New"/>
    </w:rPr>
  </w:style>
  <w:style w:type="character" w:customStyle="1" w:styleId="ListLabel676">
    <w:name w:val="ListLabel 676"/>
    <w:qFormat/>
    <w:rPr>
      <w:rFonts w:cs="Wingdings"/>
    </w:rPr>
  </w:style>
  <w:style w:type="character" w:customStyle="1" w:styleId="ListLabel677">
    <w:name w:val="ListLabel 677"/>
    <w:qFormat/>
    <w:rPr>
      <w:rFonts w:cs="Symbol"/>
    </w:rPr>
  </w:style>
  <w:style w:type="character" w:customStyle="1" w:styleId="ListLabel678">
    <w:name w:val="ListLabel 678"/>
    <w:qFormat/>
    <w:rPr>
      <w:rFonts w:cs="Courier New"/>
    </w:rPr>
  </w:style>
  <w:style w:type="character" w:customStyle="1" w:styleId="ListLabel679">
    <w:name w:val="ListLabel 679"/>
    <w:qFormat/>
    <w:rPr>
      <w:rFonts w:cs="Wingdings"/>
    </w:rPr>
  </w:style>
  <w:style w:type="character" w:customStyle="1" w:styleId="ListLabel680">
    <w:name w:val="ListLabel 680"/>
    <w:qFormat/>
    <w:rPr>
      <w:rFonts w:cs="Symbol"/>
    </w:rPr>
  </w:style>
  <w:style w:type="character" w:customStyle="1" w:styleId="ListLabel681">
    <w:name w:val="ListLabel 681"/>
    <w:qFormat/>
    <w:rPr>
      <w:rFonts w:cs="Courier New"/>
    </w:rPr>
  </w:style>
  <w:style w:type="character" w:customStyle="1" w:styleId="ListLabel682">
    <w:name w:val="ListLabel 682"/>
    <w:qFormat/>
    <w:rPr>
      <w:rFonts w:cs="Wingdings"/>
    </w:rPr>
  </w:style>
  <w:style w:type="character" w:customStyle="1" w:styleId="ListLabel683">
    <w:name w:val="ListLabel 683"/>
    <w:qFormat/>
    <w:rPr>
      <w:rFonts w:cs="Symbol"/>
      <w:sz w:val="20"/>
    </w:rPr>
  </w:style>
  <w:style w:type="character" w:customStyle="1" w:styleId="ListLabel684">
    <w:name w:val="ListLabel 684"/>
    <w:qFormat/>
    <w:rPr>
      <w:rFonts w:cs="Symbol"/>
      <w:sz w:val="20"/>
    </w:rPr>
  </w:style>
  <w:style w:type="character" w:customStyle="1" w:styleId="ListLabel685">
    <w:name w:val="ListLabel 685"/>
    <w:qFormat/>
    <w:rPr>
      <w:rFonts w:cs="Symbol"/>
      <w:sz w:val="20"/>
    </w:rPr>
  </w:style>
  <w:style w:type="character" w:customStyle="1" w:styleId="ListLabel686">
    <w:name w:val="ListLabel 686"/>
    <w:qFormat/>
    <w:rPr>
      <w:rFonts w:cs="Symbol"/>
      <w:sz w:val="20"/>
    </w:rPr>
  </w:style>
  <w:style w:type="character" w:customStyle="1" w:styleId="ListLabel687">
    <w:name w:val="ListLabel 687"/>
    <w:qFormat/>
    <w:rPr>
      <w:rFonts w:cs="Symbol"/>
      <w:sz w:val="20"/>
    </w:rPr>
  </w:style>
  <w:style w:type="character" w:customStyle="1" w:styleId="ListLabel688">
    <w:name w:val="ListLabel 688"/>
    <w:qFormat/>
    <w:rPr>
      <w:rFonts w:cs="Symbol"/>
      <w:sz w:val="20"/>
    </w:rPr>
  </w:style>
  <w:style w:type="character" w:customStyle="1" w:styleId="ListLabel689">
    <w:name w:val="ListLabel 689"/>
    <w:qFormat/>
    <w:rPr>
      <w:rFonts w:cs="Symbol"/>
      <w:sz w:val="20"/>
    </w:rPr>
  </w:style>
  <w:style w:type="character" w:customStyle="1" w:styleId="ListLabel690">
    <w:name w:val="ListLabel 690"/>
    <w:qFormat/>
    <w:rPr>
      <w:rFonts w:cs="Symbol"/>
      <w:sz w:val="20"/>
    </w:rPr>
  </w:style>
  <w:style w:type="character" w:customStyle="1" w:styleId="ListLabel691">
    <w:name w:val="ListLabel 691"/>
    <w:qFormat/>
    <w:rPr>
      <w:rFonts w:cs="Symbol"/>
      <w:sz w:val="20"/>
    </w:rPr>
  </w:style>
  <w:style w:type="character" w:customStyle="1" w:styleId="ListLabel692">
    <w:name w:val="ListLabel 692"/>
    <w:qFormat/>
    <w:rPr>
      <w:rFonts w:cs="Symbol"/>
      <w:sz w:val="20"/>
    </w:rPr>
  </w:style>
  <w:style w:type="character" w:customStyle="1" w:styleId="ListLabel693">
    <w:name w:val="ListLabel 693"/>
    <w:qFormat/>
    <w:rPr>
      <w:rFonts w:cs="Symbol"/>
      <w:sz w:val="20"/>
    </w:rPr>
  </w:style>
  <w:style w:type="character" w:customStyle="1" w:styleId="ListLabel694">
    <w:name w:val="ListLabel 694"/>
    <w:qFormat/>
    <w:rPr>
      <w:rFonts w:cs="Symbol"/>
      <w:sz w:val="20"/>
    </w:rPr>
  </w:style>
  <w:style w:type="character" w:customStyle="1" w:styleId="ListLabel695">
    <w:name w:val="ListLabel 695"/>
    <w:qFormat/>
    <w:rPr>
      <w:rFonts w:cs="Symbol"/>
      <w:sz w:val="20"/>
    </w:rPr>
  </w:style>
  <w:style w:type="character" w:customStyle="1" w:styleId="ListLabel696">
    <w:name w:val="ListLabel 696"/>
    <w:qFormat/>
    <w:rPr>
      <w:rFonts w:cs="Symbol"/>
      <w:sz w:val="20"/>
    </w:rPr>
  </w:style>
  <w:style w:type="character" w:customStyle="1" w:styleId="ListLabel697">
    <w:name w:val="ListLabel 697"/>
    <w:qFormat/>
    <w:rPr>
      <w:rFonts w:cs="Symbol"/>
      <w:sz w:val="20"/>
    </w:rPr>
  </w:style>
  <w:style w:type="character" w:customStyle="1" w:styleId="ListLabel698">
    <w:name w:val="ListLabel 698"/>
    <w:qFormat/>
    <w:rPr>
      <w:rFonts w:cs="Symbol"/>
      <w:sz w:val="20"/>
    </w:rPr>
  </w:style>
  <w:style w:type="character" w:customStyle="1" w:styleId="ListLabel699">
    <w:name w:val="ListLabel 699"/>
    <w:qFormat/>
    <w:rPr>
      <w:rFonts w:cs="Symbol"/>
      <w:sz w:val="20"/>
    </w:rPr>
  </w:style>
  <w:style w:type="character" w:customStyle="1" w:styleId="ListLabel700">
    <w:name w:val="ListLabel 700"/>
    <w:qFormat/>
    <w:rPr>
      <w:rFonts w:cs="Symbol"/>
      <w:sz w:val="20"/>
    </w:rPr>
  </w:style>
  <w:style w:type="character" w:customStyle="1" w:styleId="ListLabel701">
    <w:name w:val="ListLabel 701"/>
    <w:qFormat/>
    <w:rPr>
      <w:rFonts w:cs="Times New Roman"/>
      <w:sz w:val="20"/>
    </w:rPr>
  </w:style>
  <w:style w:type="character" w:customStyle="1" w:styleId="ListLabel702">
    <w:name w:val="ListLabel 702"/>
    <w:qFormat/>
    <w:rPr>
      <w:rFonts w:cs="Times New Roman"/>
    </w:rPr>
  </w:style>
  <w:style w:type="character" w:customStyle="1" w:styleId="ListLabel703">
    <w:name w:val="ListLabel 703"/>
    <w:qFormat/>
    <w:rPr>
      <w:rFonts w:cs="Times New Roman"/>
    </w:rPr>
  </w:style>
  <w:style w:type="character" w:customStyle="1" w:styleId="ListLabel704">
    <w:name w:val="ListLabel 704"/>
    <w:qFormat/>
    <w:rPr>
      <w:rFonts w:cs="Times New Roman"/>
    </w:rPr>
  </w:style>
  <w:style w:type="character" w:customStyle="1" w:styleId="ListLabel705">
    <w:name w:val="ListLabel 705"/>
    <w:qFormat/>
    <w:rPr>
      <w:rFonts w:cs="Times New Roman"/>
    </w:rPr>
  </w:style>
  <w:style w:type="character" w:customStyle="1" w:styleId="ListLabel706">
    <w:name w:val="ListLabel 706"/>
    <w:qFormat/>
    <w:rPr>
      <w:rFonts w:cs="Times New Roman"/>
    </w:rPr>
  </w:style>
  <w:style w:type="character" w:customStyle="1" w:styleId="ListLabel707">
    <w:name w:val="ListLabel 707"/>
    <w:qFormat/>
    <w:rPr>
      <w:rFonts w:cs="Times New Roman"/>
    </w:rPr>
  </w:style>
  <w:style w:type="character" w:customStyle="1" w:styleId="ListLabel708">
    <w:name w:val="ListLabel 708"/>
    <w:qFormat/>
    <w:rPr>
      <w:rFonts w:cs="Times New Roman"/>
    </w:rPr>
  </w:style>
  <w:style w:type="character" w:customStyle="1" w:styleId="ListLabel709">
    <w:name w:val="ListLabel 709"/>
    <w:qFormat/>
    <w:rPr>
      <w:rFonts w:cs="Times New Roman"/>
    </w:rPr>
  </w:style>
  <w:style w:type="character" w:customStyle="1" w:styleId="ListLabel710">
    <w:name w:val="ListLabel 710"/>
    <w:qFormat/>
    <w:rPr>
      <w:rFonts w:cs="Calibri"/>
    </w:rPr>
  </w:style>
  <w:style w:type="character" w:customStyle="1" w:styleId="ListLabel711">
    <w:name w:val="ListLabel 711"/>
    <w:qFormat/>
    <w:rPr>
      <w:rFonts w:cs="Courier New"/>
    </w:rPr>
  </w:style>
  <w:style w:type="character" w:customStyle="1" w:styleId="ListLabel712">
    <w:name w:val="ListLabel 712"/>
    <w:qFormat/>
    <w:rPr>
      <w:rFonts w:cs="Wingdings"/>
    </w:rPr>
  </w:style>
  <w:style w:type="character" w:customStyle="1" w:styleId="ListLabel713">
    <w:name w:val="ListLabel 713"/>
    <w:qFormat/>
    <w:rPr>
      <w:rFonts w:cs="Symbol"/>
    </w:rPr>
  </w:style>
  <w:style w:type="character" w:customStyle="1" w:styleId="ListLabel714">
    <w:name w:val="ListLabel 714"/>
    <w:qFormat/>
    <w:rPr>
      <w:rFonts w:cs="Courier New"/>
    </w:rPr>
  </w:style>
  <w:style w:type="character" w:customStyle="1" w:styleId="ListLabel715">
    <w:name w:val="ListLabel 715"/>
    <w:qFormat/>
    <w:rPr>
      <w:rFonts w:cs="Wingdings"/>
    </w:rPr>
  </w:style>
  <w:style w:type="character" w:customStyle="1" w:styleId="ListLabel716">
    <w:name w:val="ListLabel 716"/>
    <w:qFormat/>
    <w:rPr>
      <w:rFonts w:cs="Symbol"/>
    </w:rPr>
  </w:style>
  <w:style w:type="character" w:customStyle="1" w:styleId="ListLabel717">
    <w:name w:val="ListLabel 717"/>
    <w:qFormat/>
    <w:rPr>
      <w:rFonts w:cs="Courier New"/>
    </w:rPr>
  </w:style>
  <w:style w:type="character" w:customStyle="1" w:styleId="ListLabel718">
    <w:name w:val="ListLabel 718"/>
    <w:qFormat/>
    <w:rPr>
      <w:rFonts w:cs="Wingdings"/>
    </w:rPr>
  </w:style>
  <w:style w:type="character" w:customStyle="1" w:styleId="ListLabel719">
    <w:name w:val="ListLabel 719"/>
    <w:qFormat/>
    <w:rPr>
      <w:rFonts w:cs="Calibri"/>
    </w:rPr>
  </w:style>
  <w:style w:type="character" w:customStyle="1" w:styleId="ListLabel720">
    <w:name w:val="ListLabel 720"/>
    <w:qFormat/>
    <w:rPr>
      <w:rFonts w:cs="Courier New"/>
    </w:rPr>
  </w:style>
  <w:style w:type="character" w:customStyle="1" w:styleId="ListLabel721">
    <w:name w:val="ListLabel 721"/>
    <w:qFormat/>
    <w:rPr>
      <w:rFonts w:cs="Wingdings"/>
    </w:rPr>
  </w:style>
  <w:style w:type="character" w:customStyle="1" w:styleId="ListLabel722">
    <w:name w:val="ListLabel 722"/>
    <w:qFormat/>
    <w:rPr>
      <w:rFonts w:cs="Symbol"/>
    </w:rPr>
  </w:style>
  <w:style w:type="character" w:customStyle="1" w:styleId="ListLabel723">
    <w:name w:val="ListLabel 723"/>
    <w:qFormat/>
    <w:rPr>
      <w:rFonts w:cs="Courier New"/>
    </w:rPr>
  </w:style>
  <w:style w:type="character" w:customStyle="1" w:styleId="ListLabel724">
    <w:name w:val="ListLabel 724"/>
    <w:qFormat/>
    <w:rPr>
      <w:rFonts w:cs="Wingdings"/>
    </w:rPr>
  </w:style>
  <w:style w:type="character" w:customStyle="1" w:styleId="ListLabel725">
    <w:name w:val="ListLabel 725"/>
    <w:qFormat/>
    <w:rPr>
      <w:rFonts w:cs="Symbol"/>
    </w:rPr>
  </w:style>
  <w:style w:type="character" w:customStyle="1" w:styleId="ListLabel726">
    <w:name w:val="ListLabel 726"/>
    <w:qFormat/>
    <w:rPr>
      <w:rFonts w:cs="Courier New"/>
    </w:rPr>
  </w:style>
  <w:style w:type="character" w:customStyle="1" w:styleId="ListLabel727">
    <w:name w:val="ListLabel 727"/>
    <w:qFormat/>
    <w:rPr>
      <w:rFonts w:cs="Wingdings"/>
    </w:rPr>
  </w:style>
  <w:style w:type="character" w:customStyle="1" w:styleId="ListLabel728">
    <w:name w:val="ListLabel 728"/>
    <w:qFormat/>
    <w:rPr>
      <w:rFonts w:cs="Calibri"/>
    </w:rPr>
  </w:style>
  <w:style w:type="character" w:customStyle="1" w:styleId="ListLabel729">
    <w:name w:val="ListLabel 729"/>
    <w:qFormat/>
    <w:rPr>
      <w:rFonts w:cs="Courier New"/>
    </w:rPr>
  </w:style>
  <w:style w:type="character" w:customStyle="1" w:styleId="ListLabel730">
    <w:name w:val="ListLabel 730"/>
    <w:qFormat/>
    <w:rPr>
      <w:rFonts w:cs="Wingdings"/>
    </w:rPr>
  </w:style>
  <w:style w:type="character" w:customStyle="1" w:styleId="ListLabel731">
    <w:name w:val="ListLabel 731"/>
    <w:qFormat/>
    <w:rPr>
      <w:rFonts w:cs="Symbol"/>
    </w:rPr>
  </w:style>
  <w:style w:type="character" w:customStyle="1" w:styleId="ListLabel732">
    <w:name w:val="ListLabel 732"/>
    <w:qFormat/>
    <w:rPr>
      <w:rFonts w:cs="Courier New"/>
    </w:rPr>
  </w:style>
  <w:style w:type="character" w:customStyle="1" w:styleId="ListLabel733">
    <w:name w:val="ListLabel 733"/>
    <w:qFormat/>
    <w:rPr>
      <w:rFonts w:cs="Wingdings"/>
    </w:rPr>
  </w:style>
  <w:style w:type="character" w:customStyle="1" w:styleId="ListLabel734">
    <w:name w:val="ListLabel 734"/>
    <w:qFormat/>
    <w:rPr>
      <w:rFonts w:cs="Symbol"/>
    </w:rPr>
  </w:style>
  <w:style w:type="character" w:customStyle="1" w:styleId="ListLabel735">
    <w:name w:val="ListLabel 735"/>
    <w:qFormat/>
    <w:rPr>
      <w:rFonts w:cs="Courier New"/>
    </w:rPr>
  </w:style>
  <w:style w:type="character" w:customStyle="1" w:styleId="ListLabel736">
    <w:name w:val="ListLabel 736"/>
    <w:qFormat/>
    <w:rPr>
      <w:rFonts w:cs="Wingdings"/>
    </w:rPr>
  </w:style>
  <w:style w:type="character" w:customStyle="1" w:styleId="ListLabel737">
    <w:name w:val="ListLabel 737"/>
    <w:qFormat/>
    <w:rPr>
      <w:rFonts w:cs="Calibri"/>
    </w:rPr>
  </w:style>
  <w:style w:type="character" w:customStyle="1" w:styleId="ListLabel738">
    <w:name w:val="ListLabel 738"/>
    <w:qFormat/>
    <w:rPr>
      <w:rFonts w:cs="Courier New"/>
    </w:rPr>
  </w:style>
  <w:style w:type="character" w:customStyle="1" w:styleId="ListLabel739">
    <w:name w:val="ListLabel 739"/>
    <w:qFormat/>
    <w:rPr>
      <w:rFonts w:cs="Wingdings"/>
    </w:rPr>
  </w:style>
  <w:style w:type="character" w:customStyle="1" w:styleId="ListLabel740">
    <w:name w:val="ListLabel 740"/>
    <w:qFormat/>
    <w:rPr>
      <w:rFonts w:cs="Symbol"/>
    </w:rPr>
  </w:style>
  <w:style w:type="character" w:customStyle="1" w:styleId="ListLabel741">
    <w:name w:val="ListLabel 741"/>
    <w:qFormat/>
    <w:rPr>
      <w:rFonts w:cs="Courier New"/>
    </w:rPr>
  </w:style>
  <w:style w:type="character" w:customStyle="1" w:styleId="ListLabel742">
    <w:name w:val="ListLabel 742"/>
    <w:qFormat/>
    <w:rPr>
      <w:rFonts w:cs="Wingdings"/>
    </w:rPr>
  </w:style>
  <w:style w:type="character" w:customStyle="1" w:styleId="ListLabel743">
    <w:name w:val="ListLabel 743"/>
    <w:qFormat/>
    <w:rPr>
      <w:rFonts w:cs="Symbol"/>
    </w:rPr>
  </w:style>
  <w:style w:type="character" w:customStyle="1" w:styleId="ListLabel744">
    <w:name w:val="ListLabel 744"/>
    <w:qFormat/>
    <w:rPr>
      <w:rFonts w:cs="Courier New"/>
    </w:rPr>
  </w:style>
  <w:style w:type="character" w:customStyle="1" w:styleId="ListLabel745">
    <w:name w:val="ListLabel 745"/>
    <w:qFormat/>
    <w:rPr>
      <w:rFonts w:cs="Wingdings"/>
    </w:rPr>
  </w:style>
  <w:style w:type="character" w:customStyle="1" w:styleId="ListLabel746">
    <w:name w:val="ListLabel 746"/>
    <w:qFormat/>
    <w:rPr>
      <w:rFonts w:cs="Calibri"/>
    </w:rPr>
  </w:style>
  <w:style w:type="character" w:customStyle="1" w:styleId="ListLabel747">
    <w:name w:val="ListLabel 747"/>
    <w:qFormat/>
    <w:rPr>
      <w:rFonts w:cs="Courier New"/>
    </w:rPr>
  </w:style>
  <w:style w:type="character" w:customStyle="1" w:styleId="ListLabel748">
    <w:name w:val="ListLabel 748"/>
    <w:qFormat/>
    <w:rPr>
      <w:rFonts w:cs="Wingdings"/>
    </w:rPr>
  </w:style>
  <w:style w:type="character" w:customStyle="1" w:styleId="ListLabel749">
    <w:name w:val="ListLabel 749"/>
    <w:qFormat/>
    <w:rPr>
      <w:rFonts w:cs="Symbol"/>
    </w:rPr>
  </w:style>
  <w:style w:type="character" w:customStyle="1" w:styleId="ListLabel750">
    <w:name w:val="ListLabel 750"/>
    <w:qFormat/>
    <w:rPr>
      <w:rFonts w:cs="Courier New"/>
    </w:rPr>
  </w:style>
  <w:style w:type="character" w:customStyle="1" w:styleId="ListLabel751">
    <w:name w:val="ListLabel 751"/>
    <w:qFormat/>
    <w:rPr>
      <w:rFonts w:cs="Wingdings"/>
    </w:rPr>
  </w:style>
  <w:style w:type="character" w:customStyle="1" w:styleId="ListLabel752">
    <w:name w:val="ListLabel 752"/>
    <w:qFormat/>
    <w:rPr>
      <w:rFonts w:cs="Symbol"/>
    </w:rPr>
  </w:style>
  <w:style w:type="character" w:customStyle="1" w:styleId="ListLabel753">
    <w:name w:val="ListLabel 753"/>
    <w:qFormat/>
    <w:rPr>
      <w:rFonts w:cs="Courier New"/>
    </w:rPr>
  </w:style>
  <w:style w:type="character" w:customStyle="1" w:styleId="ListLabel754">
    <w:name w:val="ListLabel 754"/>
    <w:qFormat/>
    <w:rPr>
      <w:rFonts w:cs="Wingdings"/>
    </w:rPr>
  </w:style>
  <w:style w:type="character" w:customStyle="1" w:styleId="ListLabel755">
    <w:name w:val="ListLabel 755"/>
    <w:qFormat/>
    <w:rPr>
      <w:rFonts w:cs="Calibri"/>
    </w:rPr>
  </w:style>
  <w:style w:type="character" w:customStyle="1" w:styleId="ListLabel756">
    <w:name w:val="ListLabel 756"/>
    <w:qFormat/>
    <w:rPr>
      <w:rFonts w:cs="Courier New"/>
    </w:rPr>
  </w:style>
  <w:style w:type="character" w:customStyle="1" w:styleId="ListLabel757">
    <w:name w:val="ListLabel 757"/>
    <w:qFormat/>
    <w:rPr>
      <w:rFonts w:cs="Wingdings"/>
    </w:rPr>
  </w:style>
  <w:style w:type="character" w:customStyle="1" w:styleId="ListLabel758">
    <w:name w:val="ListLabel 758"/>
    <w:qFormat/>
    <w:rPr>
      <w:rFonts w:cs="Symbol"/>
    </w:rPr>
  </w:style>
  <w:style w:type="character" w:customStyle="1" w:styleId="ListLabel759">
    <w:name w:val="ListLabel 759"/>
    <w:qFormat/>
    <w:rPr>
      <w:rFonts w:cs="Courier New"/>
    </w:rPr>
  </w:style>
  <w:style w:type="character" w:customStyle="1" w:styleId="ListLabel760">
    <w:name w:val="ListLabel 760"/>
    <w:qFormat/>
    <w:rPr>
      <w:rFonts w:cs="Wingdings"/>
    </w:rPr>
  </w:style>
  <w:style w:type="character" w:customStyle="1" w:styleId="ListLabel761">
    <w:name w:val="ListLabel 761"/>
    <w:qFormat/>
    <w:rPr>
      <w:rFonts w:cs="Symbol"/>
    </w:rPr>
  </w:style>
  <w:style w:type="character" w:customStyle="1" w:styleId="ListLabel762">
    <w:name w:val="ListLabel 762"/>
    <w:qFormat/>
    <w:rPr>
      <w:rFonts w:cs="Courier New"/>
    </w:rPr>
  </w:style>
  <w:style w:type="character" w:customStyle="1" w:styleId="ListLabel763">
    <w:name w:val="ListLabel 763"/>
    <w:qFormat/>
    <w:rPr>
      <w:rFonts w:cs="Wingdings"/>
    </w:rPr>
  </w:style>
  <w:style w:type="character" w:customStyle="1" w:styleId="ListLabel764">
    <w:name w:val="ListLabel 764"/>
    <w:qFormat/>
    <w:rPr>
      <w:rFonts w:cs="Calibri"/>
    </w:rPr>
  </w:style>
  <w:style w:type="character" w:customStyle="1" w:styleId="ListLabel765">
    <w:name w:val="ListLabel 765"/>
    <w:qFormat/>
    <w:rPr>
      <w:rFonts w:cs="Courier New"/>
    </w:rPr>
  </w:style>
  <w:style w:type="character" w:customStyle="1" w:styleId="ListLabel766">
    <w:name w:val="ListLabel 766"/>
    <w:qFormat/>
    <w:rPr>
      <w:rFonts w:cs="Wingdings"/>
    </w:rPr>
  </w:style>
  <w:style w:type="character" w:customStyle="1" w:styleId="ListLabel767">
    <w:name w:val="ListLabel 767"/>
    <w:qFormat/>
    <w:rPr>
      <w:rFonts w:cs="Symbol"/>
    </w:rPr>
  </w:style>
  <w:style w:type="character" w:customStyle="1" w:styleId="ListLabel768">
    <w:name w:val="ListLabel 768"/>
    <w:qFormat/>
    <w:rPr>
      <w:rFonts w:cs="Courier New"/>
    </w:rPr>
  </w:style>
  <w:style w:type="character" w:customStyle="1" w:styleId="ListLabel769">
    <w:name w:val="ListLabel 769"/>
    <w:qFormat/>
    <w:rPr>
      <w:rFonts w:cs="Wingdings"/>
    </w:rPr>
  </w:style>
  <w:style w:type="character" w:customStyle="1" w:styleId="ListLabel770">
    <w:name w:val="ListLabel 770"/>
    <w:qFormat/>
    <w:rPr>
      <w:rFonts w:cs="Symbol"/>
    </w:rPr>
  </w:style>
  <w:style w:type="character" w:customStyle="1" w:styleId="ListLabel771">
    <w:name w:val="ListLabel 771"/>
    <w:qFormat/>
    <w:rPr>
      <w:rFonts w:cs="Courier New"/>
    </w:rPr>
  </w:style>
  <w:style w:type="character" w:customStyle="1" w:styleId="ListLabel772">
    <w:name w:val="ListLabel 772"/>
    <w:qFormat/>
    <w:rPr>
      <w:rFonts w:cs="Wingdings"/>
    </w:rPr>
  </w:style>
  <w:style w:type="character" w:customStyle="1" w:styleId="ListLabel773">
    <w:name w:val="ListLabel 773"/>
    <w:qFormat/>
    <w:rPr>
      <w:rFonts w:cs="Calibri"/>
    </w:rPr>
  </w:style>
  <w:style w:type="character" w:customStyle="1" w:styleId="ListLabel774">
    <w:name w:val="ListLabel 774"/>
    <w:qFormat/>
    <w:rPr>
      <w:rFonts w:cs="Courier New"/>
    </w:rPr>
  </w:style>
  <w:style w:type="character" w:customStyle="1" w:styleId="ListLabel775">
    <w:name w:val="ListLabel 775"/>
    <w:qFormat/>
    <w:rPr>
      <w:rFonts w:cs="Wingdings"/>
    </w:rPr>
  </w:style>
  <w:style w:type="character" w:customStyle="1" w:styleId="ListLabel776">
    <w:name w:val="ListLabel 776"/>
    <w:qFormat/>
    <w:rPr>
      <w:rFonts w:cs="Symbol"/>
    </w:rPr>
  </w:style>
  <w:style w:type="character" w:customStyle="1" w:styleId="ListLabel777">
    <w:name w:val="ListLabel 777"/>
    <w:qFormat/>
    <w:rPr>
      <w:rFonts w:cs="Courier New"/>
    </w:rPr>
  </w:style>
  <w:style w:type="character" w:customStyle="1" w:styleId="ListLabel778">
    <w:name w:val="ListLabel 778"/>
    <w:qFormat/>
    <w:rPr>
      <w:rFonts w:cs="Wingdings"/>
    </w:rPr>
  </w:style>
  <w:style w:type="character" w:customStyle="1" w:styleId="ListLabel779">
    <w:name w:val="ListLabel 779"/>
    <w:qFormat/>
    <w:rPr>
      <w:rFonts w:cs="Symbol"/>
    </w:rPr>
  </w:style>
  <w:style w:type="character" w:customStyle="1" w:styleId="ListLabel780">
    <w:name w:val="ListLabel 780"/>
    <w:qFormat/>
    <w:rPr>
      <w:rFonts w:cs="Courier New"/>
    </w:rPr>
  </w:style>
  <w:style w:type="character" w:customStyle="1" w:styleId="ListLabel781">
    <w:name w:val="ListLabel 781"/>
    <w:qFormat/>
    <w:rPr>
      <w:rFonts w:cs="Wingdings"/>
    </w:rPr>
  </w:style>
  <w:style w:type="character" w:customStyle="1" w:styleId="ListLabel782">
    <w:name w:val="ListLabel 782"/>
    <w:qFormat/>
    <w:rPr>
      <w:rFonts w:cs="Calibri"/>
    </w:rPr>
  </w:style>
  <w:style w:type="character" w:customStyle="1" w:styleId="ListLabel783">
    <w:name w:val="ListLabel 783"/>
    <w:qFormat/>
    <w:rPr>
      <w:rFonts w:cs="Courier New"/>
    </w:rPr>
  </w:style>
  <w:style w:type="character" w:customStyle="1" w:styleId="ListLabel784">
    <w:name w:val="ListLabel 784"/>
    <w:qFormat/>
    <w:rPr>
      <w:rFonts w:cs="Wingdings"/>
    </w:rPr>
  </w:style>
  <w:style w:type="character" w:customStyle="1" w:styleId="ListLabel785">
    <w:name w:val="ListLabel 785"/>
    <w:qFormat/>
    <w:rPr>
      <w:rFonts w:cs="Symbol"/>
    </w:rPr>
  </w:style>
  <w:style w:type="character" w:customStyle="1" w:styleId="ListLabel786">
    <w:name w:val="ListLabel 786"/>
    <w:qFormat/>
    <w:rPr>
      <w:rFonts w:cs="Courier New"/>
    </w:rPr>
  </w:style>
  <w:style w:type="character" w:customStyle="1" w:styleId="ListLabel787">
    <w:name w:val="ListLabel 787"/>
    <w:qFormat/>
    <w:rPr>
      <w:rFonts w:cs="Wingdings"/>
    </w:rPr>
  </w:style>
  <w:style w:type="character" w:customStyle="1" w:styleId="ListLabel788">
    <w:name w:val="ListLabel 788"/>
    <w:qFormat/>
    <w:rPr>
      <w:rFonts w:cs="Symbol"/>
    </w:rPr>
  </w:style>
  <w:style w:type="character" w:customStyle="1" w:styleId="ListLabel789">
    <w:name w:val="ListLabel 789"/>
    <w:qFormat/>
    <w:rPr>
      <w:rFonts w:cs="Courier New"/>
    </w:rPr>
  </w:style>
  <w:style w:type="character" w:customStyle="1" w:styleId="ListLabel790">
    <w:name w:val="ListLabel 790"/>
    <w:qFormat/>
    <w:rPr>
      <w:rFonts w:cs="Wingdings"/>
    </w:rPr>
  </w:style>
  <w:style w:type="character" w:customStyle="1" w:styleId="ListLabel791">
    <w:name w:val="ListLabel 791"/>
    <w:qFormat/>
    <w:rPr>
      <w:rFonts w:cs="Symbol"/>
    </w:rPr>
  </w:style>
  <w:style w:type="character" w:customStyle="1" w:styleId="ListLabel792">
    <w:name w:val="ListLabel 792"/>
    <w:qFormat/>
    <w:rPr>
      <w:rFonts w:cs="Courier New"/>
    </w:rPr>
  </w:style>
  <w:style w:type="character" w:customStyle="1" w:styleId="ListLabel793">
    <w:name w:val="ListLabel 793"/>
    <w:qFormat/>
    <w:rPr>
      <w:rFonts w:cs="Wingdings"/>
    </w:rPr>
  </w:style>
  <w:style w:type="character" w:customStyle="1" w:styleId="ListLabel794">
    <w:name w:val="ListLabel 794"/>
    <w:qFormat/>
    <w:rPr>
      <w:rFonts w:cs="Symbol"/>
    </w:rPr>
  </w:style>
  <w:style w:type="character" w:customStyle="1" w:styleId="ListLabel795">
    <w:name w:val="ListLabel 795"/>
    <w:qFormat/>
    <w:rPr>
      <w:rFonts w:cs="Courier New"/>
    </w:rPr>
  </w:style>
  <w:style w:type="character" w:customStyle="1" w:styleId="ListLabel796">
    <w:name w:val="ListLabel 796"/>
    <w:qFormat/>
    <w:rPr>
      <w:rFonts w:cs="Wingdings"/>
    </w:rPr>
  </w:style>
  <w:style w:type="character" w:customStyle="1" w:styleId="ListLabel797">
    <w:name w:val="ListLabel 797"/>
    <w:qFormat/>
    <w:rPr>
      <w:rFonts w:cs="Symbol"/>
    </w:rPr>
  </w:style>
  <w:style w:type="character" w:customStyle="1" w:styleId="ListLabel798">
    <w:name w:val="ListLabel 798"/>
    <w:qFormat/>
    <w:rPr>
      <w:rFonts w:cs="Courier New"/>
    </w:rPr>
  </w:style>
  <w:style w:type="character" w:customStyle="1" w:styleId="ListLabel799">
    <w:name w:val="ListLabel 799"/>
    <w:qFormat/>
    <w:rPr>
      <w:rFonts w:cs="Wingdings"/>
    </w:rPr>
  </w:style>
  <w:style w:type="character" w:customStyle="1" w:styleId="ListLabel800">
    <w:name w:val="ListLabel 800"/>
    <w:qFormat/>
    <w:rPr>
      <w:rFonts w:cs="Arial"/>
      <w:b/>
    </w:rPr>
  </w:style>
  <w:style w:type="character" w:customStyle="1" w:styleId="ListLabel801">
    <w:name w:val="ListLabel 801"/>
    <w:qFormat/>
    <w:rPr>
      <w:rFonts w:cs="Courier New"/>
    </w:rPr>
  </w:style>
  <w:style w:type="character" w:customStyle="1" w:styleId="ListLabel802">
    <w:name w:val="ListLabel 802"/>
    <w:qFormat/>
    <w:rPr>
      <w:rFonts w:cs="Wingdings"/>
    </w:rPr>
  </w:style>
  <w:style w:type="character" w:customStyle="1" w:styleId="ListLabel803">
    <w:name w:val="ListLabel 803"/>
    <w:qFormat/>
    <w:rPr>
      <w:rFonts w:cs="Symbol"/>
    </w:rPr>
  </w:style>
  <w:style w:type="character" w:customStyle="1" w:styleId="ListLabel804">
    <w:name w:val="ListLabel 804"/>
    <w:qFormat/>
    <w:rPr>
      <w:rFonts w:cs="Courier New"/>
    </w:rPr>
  </w:style>
  <w:style w:type="character" w:customStyle="1" w:styleId="ListLabel805">
    <w:name w:val="ListLabel 805"/>
    <w:qFormat/>
    <w:rPr>
      <w:rFonts w:cs="Wingdings"/>
    </w:rPr>
  </w:style>
  <w:style w:type="character" w:customStyle="1" w:styleId="ListLabel806">
    <w:name w:val="ListLabel 806"/>
    <w:qFormat/>
    <w:rPr>
      <w:rFonts w:cs="Symbol"/>
    </w:rPr>
  </w:style>
  <w:style w:type="character" w:customStyle="1" w:styleId="ListLabel807">
    <w:name w:val="ListLabel 807"/>
    <w:qFormat/>
    <w:rPr>
      <w:rFonts w:cs="Courier New"/>
    </w:rPr>
  </w:style>
  <w:style w:type="character" w:customStyle="1" w:styleId="ListLabel808">
    <w:name w:val="ListLabel 808"/>
    <w:qFormat/>
    <w:rPr>
      <w:rFonts w:cs="Wingdings"/>
    </w:rPr>
  </w:style>
  <w:style w:type="character" w:customStyle="1" w:styleId="ListLabel809">
    <w:name w:val="ListLabel 809"/>
    <w:qFormat/>
    <w:rPr>
      <w:rFonts w:cs="Calibri"/>
    </w:rPr>
  </w:style>
  <w:style w:type="character" w:customStyle="1" w:styleId="ListLabel810">
    <w:name w:val="ListLabel 810"/>
    <w:qFormat/>
    <w:rPr>
      <w:rFonts w:cs="Courier New"/>
    </w:rPr>
  </w:style>
  <w:style w:type="character" w:customStyle="1" w:styleId="ListLabel811">
    <w:name w:val="ListLabel 811"/>
    <w:qFormat/>
    <w:rPr>
      <w:rFonts w:cs="Wingdings"/>
    </w:rPr>
  </w:style>
  <w:style w:type="character" w:customStyle="1" w:styleId="ListLabel812">
    <w:name w:val="ListLabel 812"/>
    <w:qFormat/>
    <w:rPr>
      <w:rFonts w:cs="Symbol"/>
    </w:rPr>
  </w:style>
  <w:style w:type="character" w:customStyle="1" w:styleId="ListLabel813">
    <w:name w:val="ListLabel 813"/>
    <w:qFormat/>
    <w:rPr>
      <w:rFonts w:cs="Courier New"/>
    </w:rPr>
  </w:style>
  <w:style w:type="character" w:customStyle="1" w:styleId="ListLabel814">
    <w:name w:val="ListLabel 814"/>
    <w:qFormat/>
    <w:rPr>
      <w:rFonts w:cs="Wingdings"/>
    </w:rPr>
  </w:style>
  <w:style w:type="character" w:customStyle="1" w:styleId="ListLabel815">
    <w:name w:val="ListLabel 815"/>
    <w:qFormat/>
    <w:rPr>
      <w:rFonts w:cs="Symbol"/>
    </w:rPr>
  </w:style>
  <w:style w:type="character" w:customStyle="1" w:styleId="ListLabel816">
    <w:name w:val="ListLabel 816"/>
    <w:qFormat/>
    <w:rPr>
      <w:rFonts w:cs="Courier New"/>
    </w:rPr>
  </w:style>
  <w:style w:type="character" w:customStyle="1" w:styleId="ListLabel817">
    <w:name w:val="ListLabel 817"/>
    <w:qFormat/>
    <w:rPr>
      <w:rFonts w:cs="Wingdings"/>
    </w:rPr>
  </w:style>
  <w:style w:type="character" w:customStyle="1" w:styleId="ListLabel818">
    <w:name w:val="ListLabel 818"/>
    <w:qFormat/>
    <w:rPr>
      <w:rFonts w:cs="Calibri"/>
    </w:rPr>
  </w:style>
  <w:style w:type="character" w:customStyle="1" w:styleId="ListLabel819">
    <w:name w:val="ListLabel 819"/>
    <w:qFormat/>
    <w:rPr>
      <w:rFonts w:cs="Courier New"/>
    </w:rPr>
  </w:style>
  <w:style w:type="character" w:customStyle="1" w:styleId="ListLabel820">
    <w:name w:val="ListLabel 820"/>
    <w:qFormat/>
    <w:rPr>
      <w:rFonts w:cs="Wingdings"/>
    </w:rPr>
  </w:style>
  <w:style w:type="character" w:customStyle="1" w:styleId="ListLabel821">
    <w:name w:val="ListLabel 821"/>
    <w:qFormat/>
    <w:rPr>
      <w:rFonts w:cs="Symbol"/>
    </w:rPr>
  </w:style>
  <w:style w:type="character" w:customStyle="1" w:styleId="ListLabel822">
    <w:name w:val="ListLabel 822"/>
    <w:qFormat/>
    <w:rPr>
      <w:rFonts w:cs="Courier New"/>
    </w:rPr>
  </w:style>
  <w:style w:type="character" w:customStyle="1" w:styleId="ListLabel823">
    <w:name w:val="ListLabel 823"/>
    <w:qFormat/>
    <w:rPr>
      <w:rFonts w:cs="Wingdings"/>
    </w:rPr>
  </w:style>
  <w:style w:type="character" w:customStyle="1" w:styleId="ListLabel824">
    <w:name w:val="ListLabel 824"/>
    <w:qFormat/>
    <w:rPr>
      <w:rFonts w:cs="Symbol"/>
    </w:rPr>
  </w:style>
  <w:style w:type="character" w:customStyle="1" w:styleId="ListLabel825">
    <w:name w:val="ListLabel 825"/>
    <w:qFormat/>
    <w:rPr>
      <w:rFonts w:cs="Courier New"/>
    </w:rPr>
  </w:style>
  <w:style w:type="character" w:customStyle="1" w:styleId="ListLabel826">
    <w:name w:val="ListLabel 826"/>
    <w:qFormat/>
    <w:rPr>
      <w:rFonts w:cs="Wingdings"/>
    </w:rPr>
  </w:style>
  <w:style w:type="character" w:customStyle="1" w:styleId="ListLabel827">
    <w:name w:val="ListLabel 827"/>
    <w:qFormat/>
    <w:rPr>
      <w:rFonts w:cs="Symbol"/>
    </w:rPr>
  </w:style>
  <w:style w:type="character" w:customStyle="1" w:styleId="ListLabel828">
    <w:name w:val="ListLabel 828"/>
    <w:qFormat/>
    <w:rPr>
      <w:rFonts w:cs="Courier New"/>
    </w:rPr>
  </w:style>
  <w:style w:type="character" w:customStyle="1" w:styleId="ListLabel829">
    <w:name w:val="ListLabel 829"/>
    <w:qFormat/>
    <w:rPr>
      <w:rFonts w:cs="Wingdings"/>
    </w:rPr>
  </w:style>
  <w:style w:type="character" w:customStyle="1" w:styleId="ListLabel830">
    <w:name w:val="ListLabel 830"/>
    <w:qFormat/>
    <w:rPr>
      <w:rFonts w:cs="Symbol"/>
    </w:rPr>
  </w:style>
  <w:style w:type="character" w:customStyle="1" w:styleId="ListLabel831">
    <w:name w:val="ListLabel 831"/>
    <w:qFormat/>
    <w:rPr>
      <w:rFonts w:cs="Courier New"/>
    </w:rPr>
  </w:style>
  <w:style w:type="character" w:customStyle="1" w:styleId="ListLabel832">
    <w:name w:val="ListLabel 832"/>
    <w:qFormat/>
    <w:rPr>
      <w:rFonts w:cs="Wingdings"/>
    </w:rPr>
  </w:style>
  <w:style w:type="character" w:customStyle="1" w:styleId="ListLabel833">
    <w:name w:val="ListLabel 833"/>
    <w:qFormat/>
    <w:rPr>
      <w:rFonts w:cs="Symbol"/>
    </w:rPr>
  </w:style>
  <w:style w:type="character" w:customStyle="1" w:styleId="ListLabel834">
    <w:name w:val="ListLabel 834"/>
    <w:qFormat/>
    <w:rPr>
      <w:rFonts w:cs="Courier New"/>
    </w:rPr>
  </w:style>
  <w:style w:type="character" w:customStyle="1" w:styleId="ListLabel835">
    <w:name w:val="ListLabel 835"/>
    <w:qFormat/>
    <w:rPr>
      <w:rFonts w:cs="Wingdings"/>
    </w:rPr>
  </w:style>
  <w:style w:type="character" w:customStyle="1" w:styleId="ListLabel836">
    <w:name w:val="ListLabel 836"/>
    <w:qFormat/>
    <w:rPr>
      <w:rFonts w:cs="Symbol"/>
    </w:rPr>
  </w:style>
  <w:style w:type="character" w:customStyle="1" w:styleId="ListLabel837">
    <w:name w:val="ListLabel 837"/>
    <w:qFormat/>
    <w:rPr>
      <w:rFonts w:cs="Courier New"/>
    </w:rPr>
  </w:style>
  <w:style w:type="character" w:customStyle="1" w:styleId="ListLabel838">
    <w:name w:val="ListLabel 838"/>
    <w:qFormat/>
    <w:rPr>
      <w:rFonts w:cs="Wingdings"/>
    </w:rPr>
  </w:style>
  <w:style w:type="character" w:customStyle="1" w:styleId="ListLabel839">
    <w:name w:val="ListLabel 839"/>
    <w:qFormat/>
    <w:rPr>
      <w:rFonts w:cs="Symbol"/>
    </w:rPr>
  </w:style>
  <w:style w:type="character" w:customStyle="1" w:styleId="ListLabel840">
    <w:name w:val="ListLabel 840"/>
    <w:qFormat/>
    <w:rPr>
      <w:rFonts w:cs="Courier New"/>
    </w:rPr>
  </w:style>
  <w:style w:type="character" w:customStyle="1" w:styleId="ListLabel841">
    <w:name w:val="ListLabel 841"/>
    <w:qFormat/>
    <w:rPr>
      <w:rFonts w:cs="Wingdings"/>
    </w:rPr>
  </w:style>
  <w:style w:type="character" w:customStyle="1" w:styleId="ListLabel842">
    <w:name w:val="ListLabel 842"/>
    <w:qFormat/>
    <w:rPr>
      <w:rFonts w:cs="Symbol"/>
    </w:rPr>
  </w:style>
  <w:style w:type="character" w:customStyle="1" w:styleId="ListLabel843">
    <w:name w:val="ListLabel 843"/>
    <w:qFormat/>
    <w:rPr>
      <w:rFonts w:cs="Courier New"/>
    </w:rPr>
  </w:style>
  <w:style w:type="character" w:customStyle="1" w:styleId="ListLabel844">
    <w:name w:val="ListLabel 844"/>
    <w:qFormat/>
    <w:rPr>
      <w:rFonts w:cs="Wingdings"/>
    </w:rPr>
  </w:style>
  <w:style w:type="character" w:customStyle="1" w:styleId="ListLabel845">
    <w:name w:val="ListLabel 845"/>
    <w:qFormat/>
    <w:rPr>
      <w:rFonts w:cs="Symbol"/>
      <w:b/>
    </w:rPr>
  </w:style>
  <w:style w:type="character" w:customStyle="1" w:styleId="ListLabel846">
    <w:name w:val="ListLabel 846"/>
    <w:qFormat/>
    <w:rPr>
      <w:rFonts w:cs="Courier New"/>
    </w:rPr>
  </w:style>
  <w:style w:type="character" w:customStyle="1" w:styleId="ListLabel847">
    <w:name w:val="ListLabel 847"/>
    <w:qFormat/>
    <w:rPr>
      <w:rFonts w:cs="Wingdings"/>
    </w:rPr>
  </w:style>
  <w:style w:type="character" w:customStyle="1" w:styleId="ListLabel848">
    <w:name w:val="ListLabel 848"/>
    <w:qFormat/>
    <w:rPr>
      <w:rFonts w:cs="Symbol"/>
    </w:rPr>
  </w:style>
  <w:style w:type="character" w:customStyle="1" w:styleId="ListLabel849">
    <w:name w:val="ListLabel 849"/>
    <w:qFormat/>
    <w:rPr>
      <w:rFonts w:cs="Courier New"/>
    </w:rPr>
  </w:style>
  <w:style w:type="character" w:customStyle="1" w:styleId="ListLabel850">
    <w:name w:val="ListLabel 850"/>
    <w:qFormat/>
    <w:rPr>
      <w:rFonts w:cs="Wingdings"/>
    </w:rPr>
  </w:style>
  <w:style w:type="character" w:customStyle="1" w:styleId="ListLabel851">
    <w:name w:val="ListLabel 851"/>
    <w:qFormat/>
    <w:rPr>
      <w:rFonts w:cs="Symbol"/>
    </w:rPr>
  </w:style>
  <w:style w:type="character" w:customStyle="1" w:styleId="ListLabel852">
    <w:name w:val="ListLabel 852"/>
    <w:qFormat/>
    <w:rPr>
      <w:rFonts w:cs="Courier New"/>
    </w:rPr>
  </w:style>
  <w:style w:type="character" w:customStyle="1" w:styleId="ListLabel853">
    <w:name w:val="ListLabel 853"/>
    <w:qFormat/>
    <w:rPr>
      <w:rFonts w:cs="Wingdings"/>
    </w:rPr>
  </w:style>
  <w:style w:type="character" w:customStyle="1" w:styleId="ListLabel854">
    <w:name w:val="ListLabel 854"/>
    <w:qFormat/>
    <w:rPr>
      <w:rFonts w:cs="Symbol"/>
    </w:rPr>
  </w:style>
  <w:style w:type="character" w:customStyle="1" w:styleId="ListLabel855">
    <w:name w:val="ListLabel 855"/>
    <w:qFormat/>
    <w:rPr>
      <w:rFonts w:cs="Courier New"/>
    </w:rPr>
  </w:style>
  <w:style w:type="character" w:customStyle="1" w:styleId="ListLabel856">
    <w:name w:val="ListLabel 856"/>
    <w:qFormat/>
    <w:rPr>
      <w:rFonts w:cs="Wingdings"/>
    </w:rPr>
  </w:style>
  <w:style w:type="character" w:customStyle="1" w:styleId="ListLabel857">
    <w:name w:val="ListLabel 857"/>
    <w:qFormat/>
    <w:rPr>
      <w:rFonts w:cs="Symbol"/>
    </w:rPr>
  </w:style>
  <w:style w:type="character" w:customStyle="1" w:styleId="ListLabel858">
    <w:name w:val="ListLabel 858"/>
    <w:qFormat/>
    <w:rPr>
      <w:rFonts w:cs="Courier New"/>
    </w:rPr>
  </w:style>
  <w:style w:type="character" w:customStyle="1" w:styleId="ListLabel859">
    <w:name w:val="ListLabel 859"/>
    <w:qFormat/>
    <w:rPr>
      <w:rFonts w:cs="Wingdings"/>
    </w:rPr>
  </w:style>
  <w:style w:type="character" w:customStyle="1" w:styleId="ListLabel860">
    <w:name w:val="ListLabel 860"/>
    <w:qFormat/>
    <w:rPr>
      <w:rFonts w:cs="Symbol"/>
    </w:rPr>
  </w:style>
  <w:style w:type="character" w:customStyle="1" w:styleId="ListLabel861">
    <w:name w:val="ListLabel 861"/>
    <w:qFormat/>
    <w:rPr>
      <w:rFonts w:cs="Courier New"/>
    </w:rPr>
  </w:style>
  <w:style w:type="character" w:customStyle="1" w:styleId="ListLabel862">
    <w:name w:val="ListLabel 862"/>
    <w:qFormat/>
    <w:rPr>
      <w:rFonts w:cs="Wingdings"/>
    </w:rPr>
  </w:style>
  <w:style w:type="character" w:customStyle="1" w:styleId="ListLabel863">
    <w:name w:val="ListLabel 863"/>
    <w:qFormat/>
    <w:rPr>
      <w:rFonts w:cs="Symbol"/>
      <w:b/>
    </w:rPr>
  </w:style>
  <w:style w:type="character" w:customStyle="1" w:styleId="ListLabel864">
    <w:name w:val="ListLabel 864"/>
    <w:qFormat/>
    <w:rPr>
      <w:rFonts w:cs="Courier New"/>
    </w:rPr>
  </w:style>
  <w:style w:type="character" w:customStyle="1" w:styleId="ListLabel865">
    <w:name w:val="ListLabel 865"/>
    <w:qFormat/>
    <w:rPr>
      <w:rFonts w:cs="Wingdings"/>
    </w:rPr>
  </w:style>
  <w:style w:type="character" w:customStyle="1" w:styleId="ListLabel866">
    <w:name w:val="ListLabel 866"/>
    <w:qFormat/>
    <w:rPr>
      <w:rFonts w:cs="Symbol"/>
    </w:rPr>
  </w:style>
  <w:style w:type="character" w:customStyle="1" w:styleId="ListLabel867">
    <w:name w:val="ListLabel 867"/>
    <w:qFormat/>
    <w:rPr>
      <w:rFonts w:cs="Courier New"/>
    </w:rPr>
  </w:style>
  <w:style w:type="character" w:customStyle="1" w:styleId="ListLabel868">
    <w:name w:val="ListLabel 868"/>
    <w:qFormat/>
    <w:rPr>
      <w:rFonts w:cs="Wingdings"/>
    </w:rPr>
  </w:style>
  <w:style w:type="character" w:customStyle="1" w:styleId="ListLabel869">
    <w:name w:val="ListLabel 869"/>
    <w:qFormat/>
    <w:rPr>
      <w:rFonts w:cs="Symbol"/>
    </w:rPr>
  </w:style>
  <w:style w:type="character" w:customStyle="1" w:styleId="ListLabel870">
    <w:name w:val="ListLabel 870"/>
    <w:qFormat/>
    <w:rPr>
      <w:rFonts w:cs="Courier New"/>
    </w:rPr>
  </w:style>
  <w:style w:type="character" w:customStyle="1" w:styleId="ListLabel871">
    <w:name w:val="ListLabel 871"/>
    <w:qFormat/>
    <w:rPr>
      <w:rFonts w:cs="Wingdings"/>
    </w:rPr>
  </w:style>
  <w:style w:type="character" w:customStyle="1" w:styleId="ListLabel872">
    <w:name w:val="ListLabel 872"/>
    <w:qFormat/>
    <w:rPr>
      <w:rFonts w:cs="Times New Roman"/>
      <w:b w:val="0"/>
    </w:rPr>
  </w:style>
  <w:style w:type="character" w:customStyle="1" w:styleId="ListLabel873">
    <w:name w:val="ListLabel 873"/>
    <w:qFormat/>
    <w:rPr>
      <w:rFonts w:cs="Times New Roman"/>
    </w:rPr>
  </w:style>
  <w:style w:type="character" w:customStyle="1" w:styleId="ListLabel874">
    <w:name w:val="ListLabel 874"/>
    <w:qFormat/>
    <w:rPr>
      <w:rFonts w:cs="Times New Roman"/>
    </w:rPr>
  </w:style>
  <w:style w:type="character" w:customStyle="1" w:styleId="ListLabel875">
    <w:name w:val="ListLabel 875"/>
    <w:qFormat/>
    <w:rPr>
      <w:rFonts w:cs="Times New Roman"/>
    </w:rPr>
  </w:style>
  <w:style w:type="character" w:customStyle="1" w:styleId="ListLabel876">
    <w:name w:val="ListLabel 876"/>
    <w:qFormat/>
    <w:rPr>
      <w:rFonts w:cs="Times New Roman"/>
    </w:rPr>
  </w:style>
  <w:style w:type="character" w:customStyle="1" w:styleId="ListLabel877">
    <w:name w:val="ListLabel 877"/>
    <w:qFormat/>
    <w:rPr>
      <w:rFonts w:cs="Times New Roman"/>
    </w:rPr>
  </w:style>
  <w:style w:type="character" w:customStyle="1" w:styleId="ListLabel878">
    <w:name w:val="ListLabel 878"/>
    <w:qFormat/>
    <w:rPr>
      <w:rFonts w:cs="Times New Roman"/>
    </w:rPr>
  </w:style>
  <w:style w:type="character" w:customStyle="1" w:styleId="ListLabel879">
    <w:name w:val="ListLabel 879"/>
    <w:qFormat/>
    <w:rPr>
      <w:rFonts w:cs="Times New Roman"/>
    </w:rPr>
  </w:style>
  <w:style w:type="character" w:customStyle="1" w:styleId="ListLabel880">
    <w:name w:val="ListLabel 880"/>
    <w:qFormat/>
    <w:rPr>
      <w:rFonts w:cs="Times New Roman"/>
    </w:rPr>
  </w:style>
  <w:style w:type="character" w:customStyle="1" w:styleId="ListLabel881">
    <w:name w:val="ListLabel 881"/>
    <w:qFormat/>
    <w:rPr>
      <w:rFonts w:cs="Calibri"/>
    </w:rPr>
  </w:style>
  <w:style w:type="character" w:customStyle="1" w:styleId="ListLabel882">
    <w:name w:val="ListLabel 882"/>
    <w:qFormat/>
    <w:rPr>
      <w:rFonts w:cs="Courier New"/>
    </w:rPr>
  </w:style>
  <w:style w:type="character" w:customStyle="1" w:styleId="ListLabel883">
    <w:name w:val="ListLabel 883"/>
    <w:qFormat/>
    <w:rPr>
      <w:rFonts w:cs="Wingdings"/>
    </w:rPr>
  </w:style>
  <w:style w:type="character" w:customStyle="1" w:styleId="ListLabel884">
    <w:name w:val="ListLabel 884"/>
    <w:qFormat/>
    <w:rPr>
      <w:rFonts w:cs="Symbol"/>
    </w:rPr>
  </w:style>
  <w:style w:type="character" w:customStyle="1" w:styleId="ListLabel885">
    <w:name w:val="ListLabel 885"/>
    <w:qFormat/>
    <w:rPr>
      <w:rFonts w:cs="Courier New"/>
    </w:rPr>
  </w:style>
  <w:style w:type="character" w:customStyle="1" w:styleId="ListLabel886">
    <w:name w:val="ListLabel 886"/>
    <w:qFormat/>
    <w:rPr>
      <w:rFonts w:cs="Wingdings"/>
    </w:rPr>
  </w:style>
  <w:style w:type="character" w:customStyle="1" w:styleId="ListLabel887">
    <w:name w:val="ListLabel 887"/>
    <w:qFormat/>
    <w:rPr>
      <w:rFonts w:cs="Symbol"/>
    </w:rPr>
  </w:style>
  <w:style w:type="character" w:customStyle="1" w:styleId="ListLabel888">
    <w:name w:val="ListLabel 888"/>
    <w:qFormat/>
    <w:rPr>
      <w:rFonts w:cs="Courier New"/>
    </w:rPr>
  </w:style>
  <w:style w:type="character" w:customStyle="1" w:styleId="ListLabel889">
    <w:name w:val="ListLabel 889"/>
    <w:qFormat/>
    <w:rPr>
      <w:rFonts w:cs="Wingdings"/>
    </w:rPr>
  </w:style>
  <w:style w:type="character" w:customStyle="1" w:styleId="ListLabel890">
    <w:name w:val="ListLabel 890"/>
    <w:qFormat/>
    <w:rPr>
      <w:rFonts w:cs="Calibri"/>
    </w:rPr>
  </w:style>
  <w:style w:type="character" w:customStyle="1" w:styleId="ListLabel891">
    <w:name w:val="ListLabel 891"/>
    <w:qFormat/>
    <w:rPr>
      <w:rFonts w:cs="Courier New"/>
    </w:rPr>
  </w:style>
  <w:style w:type="character" w:customStyle="1" w:styleId="ListLabel892">
    <w:name w:val="ListLabel 892"/>
    <w:qFormat/>
    <w:rPr>
      <w:rFonts w:cs="Wingdings"/>
    </w:rPr>
  </w:style>
  <w:style w:type="character" w:customStyle="1" w:styleId="ListLabel893">
    <w:name w:val="ListLabel 893"/>
    <w:qFormat/>
    <w:rPr>
      <w:rFonts w:cs="Symbol"/>
    </w:rPr>
  </w:style>
  <w:style w:type="character" w:customStyle="1" w:styleId="ListLabel894">
    <w:name w:val="ListLabel 894"/>
    <w:qFormat/>
    <w:rPr>
      <w:rFonts w:cs="Courier New"/>
    </w:rPr>
  </w:style>
  <w:style w:type="character" w:customStyle="1" w:styleId="ListLabel895">
    <w:name w:val="ListLabel 895"/>
    <w:qFormat/>
    <w:rPr>
      <w:rFonts w:cs="Wingdings"/>
    </w:rPr>
  </w:style>
  <w:style w:type="character" w:customStyle="1" w:styleId="ListLabel896">
    <w:name w:val="ListLabel 896"/>
    <w:qFormat/>
    <w:rPr>
      <w:rFonts w:cs="Symbol"/>
    </w:rPr>
  </w:style>
  <w:style w:type="character" w:customStyle="1" w:styleId="ListLabel897">
    <w:name w:val="ListLabel 897"/>
    <w:qFormat/>
    <w:rPr>
      <w:rFonts w:cs="Courier New"/>
    </w:rPr>
  </w:style>
  <w:style w:type="character" w:customStyle="1" w:styleId="ListLabel898">
    <w:name w:val="ListLabel 898"/>
    <w:qFormat/>
    <w:rPr>
      <w:rFonts w:cs="Wingdings"/>
    </w:rPr>
  </w:style>
  <w:style w:type="character" w:customStyle="1" w:styleId="ListLabel899">
    <w:name w:val="ListLabel 899"/>
    <w:qFormat/>
    <w:rPr>
      <w:rFonts w:cs="Times New Roman"/>
      <w:sz w:val="20"/>
    </w:rPr>
  </w:style>
  <w:style w:type="character" w:customStyle="1" w:styleId="ListLabel900">
    <w:name w:val="ListLabel 900"/>
    <w:qFormat/>
    <w:rPr>
      <w:rFonts w:cs="Times New Roman"/>
    </w:rPr>
  </w:style>
  <w:style w:type="character" w:customStyle="1" w:styleId="ListLabel901">
    <w:name w:val="ListLabel 901"/>
    <w:qFormat/>
    <w:rPr>
      <w:rFonts w:cs="Times New Roman"/>
    </w:rPr>
  </w:style>
  <w:style w:type="character" w:customStyle="1" w:styleId="ListLabel902">
    <w:name w:val="ListLabel 902"/>
    <w:qFormat/>
    <w:rPr>
      <w:rFonts w:cs="Times New Roman"/>
    </w:rPr>
  </w:style>
  <w:style w:type="character" w:customStyle="1" w:styleId="ListLabel903">
    <w:name w:val="ListLabel 903"/>
    <w:qFormat/>
    <w:rPr>
      <w:rFonts w:cs="Times New Roman"/>
    </w:rPr>
  </w:style>
  <w:style w:type="character" w:customStyle="1" w:styleId="ListLabel904">
    <w:name w:val="ListLabel 904"/>
    <w:qFormat/>
    <w:rPr>
      <w:rFonts w:cs="Times New Roman"/>
    </w:rPr>
  </w:style>
  <w:style w:type="character" w:customStyle="1" w:styleId="ListLabel905">
    <w:name w:val="ListLabel 905"/>
    <w:qFormat/>
    <w:rPr>
      <w:rFonts w:cs="Times New Roman"/>
    </w:rPr>
  </w:style>
  <w:style w:type="character" w:customStyle="1" w:styleId="ListLabel906">
    <w:name w:val="ListLabel 906"/>
    <w:qFormat/>
    <w:rPr>
      <w:rFonts w:cs="Times New Roman"/>
    </w:rPr>
  </w:style>
  <w:style w:type="character" w:customStyle="1" w:styleId="ListLabel907">
    <w:name w:val="ListLabel 907"/>
    <w:qFormat/>
    <w:rPr>
      <w:rFonts w:cs="Times New Roman"/>
    </w:rPr>
  </w:style>
  <w:style w:type="character" w:customStyle="1" w:styleId="ListLabel908">
    <w:name w:val="ListLabel 908"/>
    <w:qFormat/>
    <w:rPr>
      <w:rFonts w:cs="Symbol"/>
      <w:b/>
      <w:sz w:val="22"/>
    </w:rPr>
  </w:style>
  <w:style w:type="character" w:customStyle="1" w:styleId="ListLabel909">
    <w:name w:val="ListLabel 909"/>
    <w:qFormat/>
    <w:rPr>
      <w:rFonts w:cs="Courier New"/>
    </w:rPr>
  </w:style>
  <w:style w:type="character" w:customStyle="1" w:styleId="ListLabel910">
    <w:name w:val="ListLabel 910"/>
    <w:qFormat/>
    <w:rPr>
      <w:rFonts w:cs="Wingdings"/>
    </w:rPr>
  </w:style>
  <w:style w:type="character" w:customStyle="1" w:styleId="ListLabel911">
    <w:name w:val="ListLabel 911"/>
    <w:qFormat/>
    <w:rPr>
      <w:rFonts w:cs="Symbol"/>
    </w:rPr>
  </w:style>
  <w:style w:type="character" w:customStyle="1" w:styleId="ListLabel912">
    <w:name w:val="ListLabel 912"/>
    <w:qFormat/>
    <w:rPr>
      <w:rFonts w:cs="Courier New"/>
    </w:rPr>
  </w:style>
  <w:style w:type="character" w:customStyle="1" w:styleId="ListLabel913">
    <w:name w:val="ListLabel 913"/>
    <w:qFormat/>
    <w:rPr>
      <w:rFonts w:cs="Wingdings"/>
    </w:rPr>
  </w:style>
  <w:style w:type="character" w:customStyle="1" w:styleId="ListLabel914">
    <w:name w:val="ListLabel 914"/>
    <w:qFormat/>
    <w:rPr>
      <w:rFonts w:cs="Symbol"/>
    </w:rPr>
  </w:style>
  <w:style w:type="character" w:customStyle="1" w:styleId="ListLabel915">
    <w:name w:val="ListLabel 915"/>
    <w:qFormat/>
    <w:rPr>
      <w:rFonts w:cs="Courier New"/>
    </w:rPr>
  </w:style>
  <w:style w:type="character" w:customStyle="1" w:styleId="ListLabel916">
    <w:name w:val="ListLabel 916"/>
    <w:qFormat/>
    <w:rPr>
      <w:rFonts w:cs="Wingdings"/>
    </w:rPr>
  </w:style>
  <w:style w:type="character" w:customStyle="1" w:styleId="ListLabel917">
    <w:name w:val="ListLabel 917"/>
    <w:qFormat/>
    <w:rPr>
      <w:rFonts w:cs="Times New Roman"/>
      <w:sz w:val="20"/>
    </w:rPr>
  </w:style>
  <w:style w:type="character" w:customStyle="1" w:styleId="ListLabel918">
    <w:name w:val="ListLabel 918"/>
    <w:qFormat/>
    <w:rPr>
      <w:rFonts w:cs="Times New Roman"/>
    </w:rPr>
  </w:style>
  <w:style w:type="character" w:customStyle="1" w:styleId="ListLabel919">
    <w:name w:val="ListLabel 919"/>
    <w:qFormat/>
    <w:rPr>
      <w:rFonts w:cs="Times New Roman"/>
    </w:rPr>
  </w:style>
  <w:style w:type="character" w:customStyle="1" w:styleId="ListLabel920">
    <w:name w:val="ListLabel 920"/>
    <w:qFormat/>
    <w:rPr>
      <w:rFonts w:cs="Times New Roman"/>
    </w:rPr>
  </w:style>
  <w:style w:type="character" w:customStyle="1" w:styleId="ListLabel921">
    <w:name w:val="ListLabel 921"/>
    <w:qFormat/>
    <w:rPr>
      <w:rFonts w:cs="Times New Roman"/>
    </w:rPr>
  </w:style>
  <w:style w:type="character" w:customStyle="1" w:styleId="ListLabel922">
    <w:name w:val="ListLabel 922"/>
    <w:qFormat/>
    <w:rPr>
      <w:rFonts w:cs="Times New Roman"/>
    </w:rPr>
  </w:style>
  <w:style w:type="character" w:customStyle="1" w:styleId="ListLabel923">
    <w:name w:val="ListLabel 923"/>
    <w:qFormat/>
    <w:rPr>
      <w:rFonts w:cs="Times New Roman"/>
    </w:rPr>
  </w:style>
  <w:style w:type="character" w:customStyle="1" w:styleId="ListLabel924">
    <w:name w:val="ListLabel 924"/>
    <w:qFormat/>
    <w:rPr>
      <w:rFonts w:cs="Times New Roman"/>
    </w:rPr>
  </w:style>
  <w:style w:type="character" w:customStyle="1" w:styleId="ListLabel925">
    <w:name w:val="ListLabel 925"/>
    <w:qFormat/>
    <w:rPr>
      <w:rFonts w:cs="Times New Roman"/>
    </w:rPr>
  </w:style>
  <w:style w:type="character" w:customStyle="1" w:styleId="ListLabel926">
    <w:name w:val="ListLabel 926"/>
    <w:qFormat/>
    <w:rPr>
      <w:rFonts w:cs="Symbol"/>
    </w:rPr>
  </w:style>
  <w:style w:type="character" w:customStyle="1" w:styleId="ListLabel927">
    <w:name w:val="ListLabel 927"/>
    <w:qFormat/>
    <w:rPr>
      <w:rFonts w:cs="Courier New"/>
    </w:rPr>
  </w:style>
  <w:style w:type="character" w:customStyle="1" w:styleId="ListLabel928">
    <w:name w:val="ListLabel 928"/>
    <w:qFormat/>
    <w:rPr>
      <w:rFonts w:cs="Wingdings"/>
    </w:rPr>
  </w:style>
  <w:style w:type="character" w:customStyle="1" w:styleId="ListLabel929">
    <w:name w:val="ListLabel 929"/>
    <w:qFormat/>
    <w:rPr>
      <w:rFonts w:cs="Symbol"/>
    </w:rPr>
  </w:style>
  <w:style w:type="character" w:customStyle="1" w:styleId="ListLabel930">
    <w:name w:val="ListLabel 930"/>
    <w:qFormat/>
    <w:rPr>
      <w:rFonts w:cs="Courier New"/>
    </w:rPr>
  </w:style>
  <w:style w:type="character" w:customStyle="1" w:styleId="ListLabel931">
    <w:name w:val="ListLabel 931"/>
    <w:qFormat/>
    <w:rPr>
      <w:rFonts w:cs="Wingdings"/>
    </w:rPr>
  </w:style>
  <w:style w:type="character" w:customStyle="1" w:styleId="ListLabel932">
    <w:name w:val="ListLabel 932"/>
    <w:qFormat/>
    <w:rPr>
      <w:rFonts w:cs="Symbol"/>
    </w:rPr>
  </w:style>
  <w:style w:type="character" w:customStyle="1" w:styleId="ListLabel933">
    <w:name w:val="ListLabel 933"/>
    <w:qFormat/>
    <w:rPr>
      <w:rFonts w:cs="Courier New"/>
    </w:rPr>
  </w:style>
  <w:style w:type="character" w:customStyle="1" w:styleId="ListLabel934">
    <w:name w:val="ListLabel 934"/>
    <w:qFormat/>
    <w:rPr>
      <w:rFonts w:cs="Wingdings"/>
    </w:rPr>
  </w:style>
  <w:style w:type="character" w:customStyle="1" w:styleId="ListLabel935">
    <w:name w:val="ListLabel 935"/>
    <w:qFormat/>
    <w:rPr>
      <w:rFonts w:cs="Calibri"/>
      <w:sz w:val="24"/>
    </w:rPr>
  </w:style>
  <w:style w:type="character" w:customStyle="1" w:styleId="ListLabel936">
    <w:name w:val="ListLabel 936"/>
    <w:qFormat/>
    <w:rPr>
      <w:rFonts w:cs="Courier New"/>
    </w:rPr>
  </w:style>
  <w:style w:type="character" w:customStyle="1" w:styleId="ListLabel937">
    <w:name w:val="ListLabel 937"/>
    <w:qFormat/>
    <w:rPr>
      <w:rFonts w:cs="Wingdings"/>
    </w:rPr>
  </w:style>
  <w:style w:type="character" w:customStyle="1" w:styleId="ListLabel938">
    <w:name w:val="ListLabel 938"/>
    <w:qFormat/>
    <w:rPr>
      <w:rFonts w:cs="Symbol"/>
    </w:rPr>
  </w:style>
  <w:style w:type="character" w:customStyle="1" w:styleId="ListLabel939">
    <w:name w:val="ListLabel 939"/>
    <w:qFormat/>
    <w:rPr>
      <w:rFonts w:cs="Courier New"/>
    </w:rPr>
  </w:style>
  <w:style w:type="character" w:customStyle="1" w:styleId="ListLabel940">
    <w:name w:val="ListLabel 940"/>
    <w:qFormat/>
    <w:rPr>
      <w:rFonts w:cs="Wingdings"/>
    </w:rPr>
  </w:style>
  <w:style w:type="character" w:customStyle="1" w:styleId="ListLabel941">
    <w:name w:val="ListLabel 941"/>
    <w:qFormat/>
    <w:rPr>
      <w:rFonts w:cs="Symbol"/>
    </w:rPr>
  </w:style>
  <w:style w:type="character" w:customStyle="1" w:styleId="ListLabel942">
    <w:name w:val="ListLabel 942"/>
    <w:qFormat/>
    <w:rPr>
      <w:rFonts w:cs="Courier New"/>
    </w:rPr>
  </w:style>
  <w:style w:type="character" w:customStyle="1" w:styleId="ListLabel943">
    <w:name w:val="ListLabel 943"/>
    <w:qFormat/>
    <w:rPr>
      <w:rFonts w:cs="Wingdings"/>
    </w:rPr>
  </w:style>
  <w:style w:type="character" w:customStyle="1" w:styleId="ListLabel944">
    <w:name w:val="ListLabel 944"/>
    <w:qFormat/>
    <w:rPr>
      <w:rFonts w:cs="Times New Roman"/>
      <w:b/>
    </w:rPr>
  </w:style>
  <w:style w:type="character" w:customStyle="1" w:styleId="ListLabel945">
    <w:name w:val="ListLabel 945"/>
    <w:qFormat/>
    <w:rPr>
      <w:rFonts w:cs="Courier New"/>
    </w:rPr>
  </w:style>
  <w:style w:type="character" w:customStyle="1" w:styleId="ListLabel946">
    <w:name w:val="ListLabel 946"/>
    <w:qFormat/>
    <w:rPr>
      <w:rFonts w:cs="Wingdings"/>
    </w:rPr>
  </w:style>
  <w:style w:type="character" w:customStyle="1" w:styleId="ListLabel947">
    <w:name w:val="ListLabel 947"/>
    <w:qFormat/>
    <w:rPr>
      <w:rFonts w:cs="Symbol"/>
    </w:rPr>
  </w:style>
  <w:style w:type="character" w:customStyle="1" w:styleId="ListLabel948">
    <w:name w:val="ListLabel 948"/>
    <w:qFormat/>
    <w:rPr>
      <w:rFonts w:cs="Courier New"/>
    </w:rPr>
  </w:style>
  <w:style w:type="character" w:customStyle="1" w:styleId="ListLabel949">
    <w:name w:val="ListLabel 949"/>
    <w:qFormat/>
    <w:rPr>
      <w:rFonts w:cs="Wingdings"/>
    </w:rPr>
  </w:style>
  <w:style w:type="character" w:customStyle="1" w:styleId="ListLabel950">
    <w:name w:val="ListLabel 950"/>
    <w:qFormat/>
    <w:rPr>
      <w:rFonts w:cs="Symbol"/>
    </w:rPr>
  </w:style>
  <w:style w:type="character" w:customStyle="1" w:styleId="ListLabel951">
    <w:name w:val="ListLabel 951"/>
    <w:qFormat/>
    <w:rPr>
      <w:rFonts w:cs="Courier New"/>
    </w:rPr>
  </w:style>
  <w:style w:type="character" w:customStyle="1" w:styleId="ListLabel952">
    <w:name w:val="ListLabel 952"/>
    <w:qFormat/>
    <w:rPr>
      <w:rFonts w:cs="Wingdings"/>
    </w:rPr>
  </w:style>
  <w:style w:type="character" w:customStyle="1" w:styleId="ListLabel953">
    <w:name w:val="ListLabel 953"/>
    <w:qFormat/>
    <w:rPr>
      <w:rFonts w:cs="Times New Roman"/>
    </w:rPr>
  </w:style>
  <w:style w:type="character" w:customStyle="1" w:styleId="ListLabel954">
    <w:name w:val="ListLabel 954"/>
    <w:qFormat/>
    <w:rPr>
      <w:rFonts w:cs="Courier New"/>
    </w:rPr>
  </w:style>
  <w:style w:type="character" w:customStyle="1" w:styleId="ListLabel955">
    <w:name w:val="ListLabel 955"/>
    <w:qFormat/>
    <w:rPr>
      <w:rFonts w:cs="Wingdings"/>
    </w:rPr>
  </w:style>
  <w:style w:type="character" w:customStyle="1" w:styleId="ListLabel956">
    <w:name w:val="ListLabel 956"/>
    <w:qFormat/>
    <w:rPr>
      <w:rFonts w:cs="Symbol"/>
    </w:rPr>
  </w:style>
  <w:style w:type="character" w:customStyle="1" w:styleId="ListLabel957">
    <w:name w:val="ListLabel 957"/>
    <w:qFormat/>
    <w:rPr>
      <w:rFonts w:cs="Courier New"/>
    </w:rPr>
  </w:style>
  <w:style w:type="character" w:customStyle="1" w:styleId="ListLabel958">
    <w:name w:val="ListLabel 958"/>
    <w:qFormat/>
    <w:rPr>
      <w:rFonts w:cs="Wingdings"/>
    </w:rPr>
  </w:style>
  <w:style w:type="character" w:customStyle="1" w:styleId="ListLabel959">
    <w:name w:val="ListLabel 959"/>
    <w:qFormat/>
    <w:rPr>
      <w:rFonts w:cs="Symbol"/>
    </w:rPr>
  </w:style>
  <w:style w:type="character" w:customStyle="1" w:styleId="ListLabel960">
    <w:name w:val="ListLabel 960"/>
    <w:qFormat/>
    <w:rPr>
      <w:rFonts w:cs="Courier New"/>
    </w:rPr>
  </w:style>
  <w:style w:type="character" w:customStyle="1" w:styleId="ListLabel961">
    <w:name w:val="ListLabel 961"/>
    <w:qFormat/>
    <w:rPr>
      <w:rFonts w:cs="Wingdings"/>
    </w:rPr>
  </w:style>
  <w:style w:type="character" w:customStyle="1" w:styleId="ListLabel962">
    <w:name w:val="ListLabel 962"/>
    <w:qFormat/>
    <w:rPr>
      <w:rFonts w:cs="Calibri"/>
      <w:sz w:val="24"/>
    </w:rPr>
  </w:style>
  <w:style w:type="character" w:customStyle="1" w:styleId="ListLabel963">
    <w:name w:val="ListLabel 963"/>
    <w:qFormat/>
    <w:rPr>
      <w:rFonts w:cs="Courier New"/>
    </w:rPr>
  </w:style>
  <w:style w:type="character" w:customStyle="1" w:styleId="ListLabel964">
    <w:name w:val="ListLabel 964"/>
    <w:qFormat/>
    <w:rPr>
      <w:rFonts w:cs="Wingdings"/>
    </w:rPr>
  </w:style>
  <w:style w:type="character" w:customStyle="1" w:styleId="ListLabel965">
    <w:name w:val="ListLabel 965"/>
    <w:qFormat/>
    <w:rPr>
      <w:rFonts w:cs="Symbol"/>
    </w:rPr>
  </w:style>
  <w:style w:type="character" w:customStyle="1" w:styleId="ListLabel966">
    <w:name w:val="ListLabel 966"/>
    <w:qFormat/>
    <w:rPr>
      <w:rFonts w:cs="Courier New"/>
    </w:rPr>
  </w:style>
  <w:style w:type="character" w:customStyle="1" w:styleId="ListLabel967">
    <w:name w:val="ListLabel 967"/>
    <w:qFormat/>
    <w:rPr>
      <w:rFonts w:cs="Wingdings"/>
    </w:rPr>
  </w:style>
  <w:style w:type="character" w:customStyle="1" w:styleId="ListLabel968">
    <w:name w:val="ListLabel 968"/>
    <w:qFormat/>
    <w:rPr>
      <w:rFonts w:cs="Symbol"/>
    </w:rPr>
  </w:style>
  <w:style w:type="character" w:customStyle="1" w:styleId="ListLabel969">
    <w:name w:val="ListLabel 969"/>
    <w:qFormat/>
    <w:rPr>
      <w:rFonts w:cs="Courier New"/>
    </w:rPr>
  </w:style>
  <w:style w:type="character" w:customStyle="1" w:styleId="ListLabel970">
    <w:name w:val="ListLabel 970"/>
    <w:qFormat/>
    <w:rPr>
      <w:rFonts w:cs="Wingdings"/>
    </w:rPr>
  </w:style>
  <w:style w:type="character" w:customStyle="1" w:styleId="ListLabel971">
    <w:name w:val="ListLabel 971"/>
    <w:qFormat/>
    <w:rPr>
      <w:rFonts w:cs="Calibri"/>
    </w:rPr>
  </w:style>
  <w:style w:type="character" w:customStyle="1" w:styleId="ListLabel972">
    <w:name w:val="ListLabel 972"/>
    <w:qFormat/>
    <w:rPr>
      <w:rFonts w:cs="Courier New"/>
    </w:rPr>
  </w:style>
  <w:style w:type="character" w:customStyle="1" w:styleId="ListLabel973">
    <w:name w:val="ListLabel 973"/>
    <w:qFormat/>
    <w:rPr>
      <w:rFonts w:cs="Wingdings"/>
    </w:rPr>
  </w:style>
  <w:style w:type="character" w:customStyle="1" w:styleId="ListLabel974">
    <w:name w:val="ListLabel 974"/>
    <w:qFormat/>
    <w:rPr>
      <w:rFonts w:cs="Symbol"/>
    </w:rPr>
  </w:style>
  <w:style w:type="character" w:customStyle="1" w:styleId="ListLabel975">
    <w:name w:val="ListLabel 975"/>
    <w:qFormat/>
    <w:rPr>
      <w:rFonts w:cs="Courier New"/>
    </w:rPr>
  </w:style>
  <w:style w:type="character" w:customStyle="1" w:styleId="ListLabel976">
    <w:name w:val="ListLabel 976"/>
    <w:qFormat/>
    <w:rPr>
      <w:rFonts w:cs="Wingdings"/>
    </w:rPr>
  </w:style>
  <w:style w:type="character" w:customStyle="1" w:styleId="ListLabel977">
    <w:name w:val="ListLabel 977"/>
    <w:qFormat/>
    <w:rPr>
      <w:rFonts w:cs="Symbol"/>
    </w:rPr>
  </w:style>
  <w:style w:type="character" w:customStyle="1" w:styleId="ListLabel978">
    <w:name w:val="ListLabel 978"/>
    <w:qFormat/>
    <w:rPr>
      <w:rFonts w:cs="Courier New"/>
    </w:rPr>
  </w:style>
  <w:style w:type="character" w:customStyle="1" w:styleId="ListLabel979">
    <w:name w:val="ListLabel 979"/>
    <w:qFormat/>
    <w:rPr>
      <w:rFonts w:cs="Wingdings"/>
    </w:rPr>
  </w:style>
  <w:style w:type="character" w:customStyle="1" w:styleId="ListLabel980">
    <w:name w:val="ListLabel 980"/>
    <w:qFormat/>
    <w:rPr>
      <w:rFonts w:cs="Calibri"/>
    </w:rPr>
  </w:style>
  <w:style w:type="character" w:customStyle="1" w:styleId="ListLabel981">
    <w:name w:val="ListLabel 981"/>
    <w:qFormat/>
    <w:rPr>
      <w:rFonts w:cs="Courier New"/>
    </w:rPr>
  </w:style>
  <w:style w:type="character" w:customStyle="1" w:styleId="ListLabel982">
    <w:name w:val="ListLabel 982"/>
    <w:qFormat/>
    <w:rPr>
      <w:rFonts w:cs="Wingdings"/>
    </w:rPr>
  </w:style>
  <w:style w:type="character" w:customStyle="1" w:styleId="ListLabel983">
    <w:name w:val="ListLabel 983"/>
    <w:qFormat/>
    <w:rPr>
      <w:rFonts w:cs="Symbol"/>
    </w:rPr>
  </w:style>
  <w:style w:type="character" w:customStyle="1" w:styleId="ListLabel984">
    <w:name w:val="ListLabel 984"/>
    <w:qFormat/>
    <w:rPr>
      <w:rFonts w:cs="Courier New"/>
    </w:rPr>
  </w:style>
  <w:style w:type="character" w:customStyle="1" w:styleId="ListLabel985">
    <w:name w:val="ListLabel 985"/>
    <w:qFormat/>
    <w:rPr>
      <w:rFonts w:cs="Wingdings"/>
    </w:rPr>
  </w:style>
  <w:style w:type="character" w:customStyle="1" w:styleId="ListLabel986">
    <w:name w:val="ListLabel 986"/>
    <w:qFormat/>
    <w:rPr>
      <w:rFonts w:cs="Symbol"/>
    </w:rPr>
  </w:style>
  <w:style w:type="character" w:customStyle="1" w:styleId="ListLabel987">
    <w:name w:val="ListLabel 987"/>
    <w:qFormat/>
    <w:rPr>
      <w:rFonts w:cs="Courier New"/>
    </w:rPr>
  </w:style>
  <w:style w:type="character" w:customStyle="1" w:styleId="ListLabel988">
    <w:name w:val="ListLabel 988"/>
    <w:qFormat/>
    <w:rPr>
      <w:rFonts w:cs="Wingdings"/>
    </w:rPr>
  </w:style>
  <w:style w:type="character" w:customStyle="1" w:styleId="ListLabel989">
    <w:name w:val="ListLabel 989"/>
    <w:qFormat/>
    <w:rPr>
      <w:rFonts w:cs="Symbol"/>
      <w:b/>
      <w:sz w:val="24"/>
    </w:rPr>
  </w:style>
  <w:style w:type="character" w:customStyle="1" w:styleId="ListLabel990">
    <w:name w:val="ListLabel 990"/>
    <w:qFormat/>
    <w:rPr>
      <w:rFonts w:cs="Courier New"/>
    </w:rPr>
  </w:style>
  <w:style w:type="character" w:customStyle="1" w:styleId="ListLabel991">
    <w:name w:val="ListLabel 991"/>
    <w:qFormat/>
    <w:rPr>
      <w:rFonts w:cs="Wingdings"/>
    </w:rPr>
  </w:style>
  <w:style w:type="character" w:customStyle="1" w:styleId="ListLabel992">
    <w:name w:val="ListLabel 992"/>
    <w:qFormat/>
    <w:rPr>
      <w:rFonts w:cs="Symbol"/>
    </w:rPr>
  </w:style>
  <w:style w:type="character" w:customStyle="1" w:styleId="ListLabel993">
    <w:name w:val="ListLabel 993"/>
    <w:qFormat/>
    <w:rPr>
      <w:rFonts w:cs="Courier New"/>
    </w:rPr>
  </w:style>
  <w:style w:type="character" w:customStyle="1" w:styleId="ListLabel994">
    <w:name w:val="ListLabel 994"/>
    <w:qFormat/>
    <w:rPr>
      <w:rFonts w:cs="Wingdings"/>
    </w:rPr>
  </w:style>
  <w:style w:type="character" w:customStyle="1" w:styleId="ListLabel995">
    <w:name w:val="ListLabel 995"/>
    <w:qFormat/>
    <w:rPr>
      <w:rFonts w:cs="Symbol"/>
    </w:rPr>
  </w:style>
  <w:style w:type="character" w:customStyle="1" w:styleId="ListLabel996">
    <w:name w:val="ListLabel 996"/>
    <w:qFormat/>
    <w:rPr>
      <w:rFonts w:cs="Courier New"/>
    </w:rPr>
  </w:style>
  <w:style w:type="character" w:customStyle="1" w:styleId="ListLabel997">
    <w:name w:val="ListLabel 997"/>
    <w:qFormat/>
    <w:rPr>
      <w:rFonts w:cs="Wingdings"/>
    </w:rPr>
  </w:style>
  <w:style w:type="character" w:customStyle="1" w:styleId="ListLabel998">
    <w:name w:val="ListLabel 998"/>
    <w:qFormat/>
    <w:rPr>
      <w:rFonts w:cs="Symbol"/>
    </w:rPr>
  </w:style>
  <w:style w:type="character" w:customStyle="1" w:styleId="ListLabel999">
    <w:name w:val="ListLabel 999"/>
    <w:qFormat/>
    <w:rPr>
      <w:rFonts w:cs="Courier New"/>
    </w:rPr>
  </w:style>
  <w:style w:type="character" w:customStyle="1" w:styleId="ListLabel1000">
    <w:name w:val="ListLabel 1000"/>
    <w:qFormat/>
    <w:rPr>
      <w:rFonts w:cs="Wingdings"/>
    </w:rPr>
  </w:style>
  <w:style w:type="character" w:customStyle="1" w:styleId="ListLabel1001">
    <w:name w:val="ListLabel 1001"/>
    <w:qFormat/>
    <w:rPr>
      <w:rFonts w:cs="Symbol"/>
    </w:rPr>
  </w:style>
  <w:style w:type="character" w:customStyle="1" w:styleId="ListLabel1002">
    <w:name w:val="ListLabel 1002"/>
    <w:qFormat/>
    <w:rPr>
      <w:rFonts w:cs="Courier New"/>
    </w:rPr>
  </w:style>
  <w:style w:type="character" w:customStyle="1" w:styleId="ListLabel1003">
    <w:name w:val="ListLabel 1003"/>
    <w:qFormat/>
    <w:rPr>
      <w:rFonts w:cs="Wingdings"/>
    </w:rPr>
  </w:style>
  <w:style w:type="character" w:customStyle="1" w:styleId="ListLabel1004">
    <w:name w:val="ListLabel 1004"/>
    <w:qFormat/>
    <w:rPr>
      <w:rFonts w:cs="Symbol"/>
    </w:rPr>
  </w:style>
  <w:style w:type="character" w:customStyle="1" w:styleId="ListLabel1005">
    <w:name w:val="ListLabel 1005"/>
    <w:qFormat/>
    <w:rPr>
      <w:rFonts w:cs="Courier New"/>
    </w:rPr>
  </w:style>
  <w:style w:type="character" w:customStyle="1" w:styleId="ListLabel1006">
    <w:name w:val="ListLabel 1006"/>
    <w:qFormat/>
    <w:rPr>
      <w:rFonts w:cs="Wingdings"/>
    </w:rPr>
  </w:style>
  <w:style w:type="character" w:customStyle="1" w:styleId="ListLabel1007">
    <w:name w:val="ListLabel 1007"/>
    <w:qFormat/>
    <w:rPr>
      <w:rFonts w:cs="Symbol"/>
      <w:b/>
      <w:sz w:val="24"/>
    </w:rPr>
  </w:style>
  <w:style w:type="character" w:customStyle="1" w:styleId="ListLabel1008">
    <w:name w:val="ListLabel 1008"/>
    <w:qFormat/>
    <w:rPr>
      <w:rFonts w:cs="Courier New"/>
    </w:rPr>
  </w:style>
  <w:style w:type="character" w:customStyle="1" w:styleId="ListLabel1009">
    <w:name w:val="ListLabel 1009"/>
    <w:qFormat/>
    <w:rPr>
      <w:rFonts w:cs="Wingdings"/>
    </w:rPr>
  </w:style>
  <w:style w:type="character" w:customStyle="1" w:styleId="ListLabel1010">
    <w:name w:val="ListLabel 1010"/>
    <w:qFormat/>
    <w:rPr>
      <w:rFonts w:cs="Symbol"/>
    </w:rPr>
  </w:style>
  <w:style w:type="character" w:customStyle="1" w:styleId="ListLabel1011">
    <w:name w:val="ListLabel 1011"/>
    <w:qFormat/>
    <w:rPr>
      <w:rFonts w:cs="Courier New"/>
    </w:rPr>
  </w:style>
  <w:style w:type="character" w:customStyle="1" w:styleId="ListLabel1012">
    <w:name w:val="ListLabel 1012"/>
    <w:qFormat/>
    <w:rPr>
      <w:rFonts w:cs="Wingdings"/>
    </w:rPr>
  </w:style>
  <w:style w:type="character" w:customStyle="1" w:styleId="ListLabel1013">
    <w:name w:val="ListLabel 1013"/>
    <w:qFormat/>
    <w:rPr>
      <w:rFonts w:cs="Symbol"/>
    </w:rPr>
  </w:style>
  <w:style w:type="character" w:customStyle="1" w:styleId="ListLabel1014">
    <w:name w:val="ListLabel 1014"/>
    <w:qFormat/>
    <w:rPr>
      <w:rFonts w:cs="Courier New"/>
    </w:rPr>
  </w:style>
  <w:style w:type="character" w:customStyle="1" w:styleId="ListLabel1015">
    <w:name w:val="ListLabel 1015"/>
    <w:qFormat/>
    <w:rPr>
      <w:rFonts w:cs="Wingdings"/>
    </w:rPr>
  </w:style>
  <w:style w:type="character" w:customStyle="1" w:styleId="ListLabel1016">
    <w:name w:val="ListLabel 1016"/>
    <w:qFormat/>
    <w:rPr>
      <w:rFonts w:cs="Calibri"/>
    </w:rPr>
  </w:style>
  <w:style w:type="character" w:customStyle="1" w:styleId="ListLabel1017">
    <w:name w:val="ListLabel 1017"/>
    <w:qFormat/>
    <w:rPr>
      <w:rFonts w:cs="Courier New"/>
    </w:rPr>
  </w:style>
  <w:style w:type="character" w:customStyle="1" w:styleId="ListLabel1018">
    <w:name w:val="ListLabel 1018"/>
    <w:qFormat/>
    <w:rPr>
      <w:rFonts w:cs="Wingdings"/>
    </w:rPr>
  </w:style>
  <w:style w:type="character" w:customStyle="1" w:styleId="ListLabel1019">
    <w:name w:val="ListLabel 1019"/>
    <w:qFormat/>
    <w:rPr>
      <w:rFonts w:cs="Symbol"/>
    </w:rPr>
  </w:style>
  <w:style w:type="character" w:customStyle="1" w:styleId="ListLabel1020">
    <w:name w:val="ListLabel 1020"/>
    <w:qFormat/>
    <w:rPr>
      <w:rFonts w:cs="Courier New"/>
    </w:rPr>
  </w:style>
  <w:style w:type="character" w:customStyle="1" w:styleId="ListLabel1021">
    <w:name w:val="ListLabel 1021"/>
    <w:qFormat/>
    <w:rPr>
      <w:rFonts w:cs="Wingdings"/>
    </w:rPr>
  </w:style>
  <w:style w:type="character" w:customStyle="1" w:styleId="ListLabel1022">
    <w:name w:val="ListLabel 1022"/>
    <w:qFormat/>
    <w:rPr>
      <w:rFonts w:cs="Symbol"/>
    </w:rPr>
  </w:style>
  <w:style w:type="character" w:customStyle="1" w:styleId="ListLabel1023">
    <w:name w:val="ListLabel 1023"/>
    <w:qFormat/>
    <w:rPr>
      <w:rFonts w:cs="Courier New"/>
    </w:rPr>
  </w:style>
  <w:style w:type="character" w:customStyle="1" w:styleId="ListLabel1024">
    <w:name w:val="ListLabel 1024"/>
    <w:qFormat/>
    <w:rPr>
      <w:rFonts w:cs="Wingdings"/>
    </w:rPr>
  </w:style>
  <w:style w:type="character" w:customStyle="1" w:styleId="ListLabel1025">
    <w:name w:val="ListLabel 1025"/>
    <w:qFormat/>
    <w:rPr>
      <w:rFonts w:cs="Times New Roman"/>
      <w:b/>
    </w:rPr>
  </w:style>
  <w:style w:type="character" w:customStyle="1" w:styleId="ListLabel1026">
    <w:name w:val="ListLabel 1026"/>
    <w:qFormat/>
    <w:rPr>
      <w:rFonts w:cs="Times New Roman"/>
    </w:rPr>
  </w:style>
  <w:style w:type="character" w:customStyle="1" w:styleId="ListLabel1027">
    <w:name w:val="ListLabel 1027"/>
    <w:qFormat/>
    <w:rPr>
      <w:rFonts w:cs="Times New Roman"/>
    </w:rPr>
  </w:style>
  <w:style w:type="character" w:customStyle="1" w:styleId="ListLabel1028">
    <w:name w:val="ListLabel 1028"/>
    <w:qFormat/>
    <w:rPr>
      <w:rFonts w:cs="Times New Roman"/>
    </w:rPr>
  </w:style>
  <w:style w:type="character" w:customStyle="1" w:styleId="ListLabel1029">
    <w:name w:val="ListLabel 1029"/>
    <w:qFormat/>
    <w:rPr>
      <w:rFonts w:cs="Times New Roman"/>
    </w:rPr>
  </w:style>
  <w:style w:type="character" w:customStyle="1" w:styleId="ListLabel1030">
    <w:name w:val="ListLabel 1030"/>
    <w:qFormat/>
    <w:rPr>
      <w:rFonts w:cs="Times New Roman"/>
    </w:rPr>
  </w:style>
  <w:style w:type="character" w:customStyle="1" w:styleId="ListLabel1031">
    <w:name w:val="ListLabel 1031"/>
    <w:qFormat/>
    <w:rPr>
      <w:rFonts w:cs="Times New Roman"/>
    </w:rPr>
  </w:style>
  <w:style w:type="character" w:customStyle="1" w:styleId="ListLabel1032">
    <w:name w:val="ListLabel 1032"/>
    <w:qFormat/>
    <w:rPr>
      <w:rFonts w:cs="Times New Roman"/>
    </w:rPr>
  </w:style>
  <w:style w:type="character" w:customStyle="1" w:styleId="ListLabel1033">
    <w:name w:val="ListLabel 1033"/>
    <w:qFormat/>
    <w:rPr>
      <w:rFonts w:cs="Times New Roman"/>
    </w:rPr>
  </w:style>
  <w:style w:type="character" w:customStyle="1" w:styleId="ListLabel1034">
    <w:name w:val="ListLabel 1034"/>
    <w:qFormat/>
    <w:rPr>
      <w:rFonts w:cs="Times New Roman"/>
    </w:rPr>
  </w:style>
  <w:style w:type="character" w:customStyle="1" w:styleId="ListLabel1035">
    <w:name w:val="ListLabel 1035"/>
    <w:qFormat/>
    <w:rPr>
      <w:rFonts w:cs="Times New Roman"/>
    </w:rPr>
  </w:style>
  <w:style w:type="character" w:customStyle="1" w:styleId="ListLabel1036">
    <w:name w:val="ListLabel 1036"/>
    <w:qFormat/>
    <w:rPr>
      <w:rFonts w:cs="Times New Roman"/>
    </w:rPr>
  </w:style>
  <w:style w:type="character" w:customStyle="1" w:styleId="ListLabel1037">
    <w:name w:val="ListLabel 1037"/>
    <w:qFormat/>
    <w:rPr>
      <w:rFonts w:cs="Times New Roman"/>
    </w:rPr>
  </w:style>
  <w:style w:type="character" w:customStyle="1" w:styleId="ListLabel1038">
    <w:name w:val="ListLabel 1038"/>
    <w:qFormat/>
    <w:rPr>
      <w:rFonts w:cs="Times New Roman"/>
    </w:rPr>
  </w:style>
  <w:style w:type="character" w:customStyle="1" w:styleId="ListLabel1039">
    <w:name w:val="ListLabel 1039"/>
    <w:qFormat/>
    <w:rPr>
      <w:rFonts w:cs="Times New Roman"/>
    </w:rPr>
  </w:style>
  <w:style w:type="character" w:customStyle="1" w:styleId="ListLabel1040">
    <w:name w:val="ListLabel 1040"/>
    <w:qFormat/>
    <w:rPr>
      <w:rFonts w:cs="Times New Roman"/>
    </w:rPr>
  </w:style>
  <w:style w:type="character" w:customStyle="1" w:styleId="ListLabel1041">
    <w:name w:val="ListLabel 1041"/>
    <w:qFormat/>
    <w:rPr>
      <w:rFonts w:cs="Times New Roman"/>
    </w:rPr>
  </w:style>
  <w:style w:type="character" w:customStyle="1" w:styleId="ListLabel1042">
    <w:name w:val="ListLabel 1042"/>
    <w:qFormat/>
    <w:rPr>
      <w:rFonts w:cs="Times New Roman"/>
    </w:rPr>
  </w:style>
  <w:style w:type="character" w:customStyle="1" w:styleId="ListLabel1043">
    <w:name w:val="ListLabel 1043"/>
    <w:qFormat/>
    <w:rPr>
      <w:rFonts w:cs="Times New Roman"/>
      <w:sz w:val="20"/>
    </w:rPr>
  </w:style>
  <w:style w:type="character" w:customStyle="1" w:styleId="ListLabel1044">
    <w:name w:val="ListLabel 1044"/>
    <w:qFormat/>
    <w:rPr>
      <w:rFonts w:cs="Times New Roman"/>
    </w:rPr>
  </w:style>
  <w:style w:type="character" w:customStyle="1" w:styleId="ListLabel1045">
    <w:name w:val="ListLabel 1045"/>
    <w:qFormat/>
    <w:rPr>
      <w:rFonts w:cs="Times New Roman"/>
    </w:rPr>
  </w:style>
  <w:style w:type="character" w:customStyle="1" w:styleId="ListLabel1046">
    <w:name w:val="ListLabel 1046"/>
    <w:qFormat/>
    <w:rPr>
      <w:rFonts w:cs="Times New Roman"/>
    </w:rPr>
  </w:style>
  <w:style w:type="character" w:customStyle="1" w:styleId="ListLabel1047">
    <w:name w:val="ListLabel 1047"/>
    <w:qFormat/>
    <w:rPr>
      <w:rFonts w:cs="Times New Roman"/>
    </w:rPr>
  </w:style>
  <w:style w:type="character" w:customStyle="1" w:styleId="ListLabel1048">
    <w:name w:val="ListLabel 1048"/>
    <w:qFormat/>
    <w:rPr>
      <w:rFonts w:cs="Times New Roman"/>
    </w:rPr>
  </w:style>
  <w:style w:type="character" w:customStyle="1" w:styleId="ListLabel1049">
    <w:name w:val="ListLabel 1049"/>
    <w:qFormat/>
    <w:rPr>
      <w:rFonts w:cs="Times New Roman"/>
    </w:rPr>
  </w:style>
  <w:style w:type="character" w:customStyle="1" w:styleId="ListLabel1050">
    <w:name w:val="ListLabel 1050"/>
    <w:qFormat/>
    <w:rPr>
      <w:rFonts w:cs="Times New Roman"/>
    </w:rPr>
  </w:style>
  <w:style w:type="character" w:customStyle="1" w:styleId="ListLabel1051">
    <w:name w:val="ListLabel 1051"/>
    <w:qFormat/>
    <w:rPr>
      <w:rFonts w:cs="Times New Roman"/>
    </w:rPr>
  </w:style>
  <w:style w:type="character" w:customStyle="1" w:styleId="ListLabel1052">
    <w:name w:val="ListLabel 1052"/>
    <w:qFormat/>
    <w:rPr>
      <w:rFonts w:cs="Symbol"/>
      <w:b/>
    </w:rPr>
  </w:style>
  <w:style w:type="character" w:customStyle="1" w:styleId="ListLabel1053">
    <w:name w:val="ListLabel 1053"/>
    <w:qFormat/>
    <w:rPr>
      <w:rFonts w:cs="Courier New"/>
    </w:rPr>
  </w:style>
  <w:style w:type="character" w:customStyle="1" w:styleId="ListLabel1054">
    <w:name w:val="ListLabel 1054"/>
    <w:qFormat/>
    <w:rPr>
      <w:rFonts w:cs="Wingdings"/>
    </w:rPr>
  </w:style>
  <w:style w:type="character" w:customStyle="1" w:styleId="ListLabel1055">
    <w:name w:val="ListLabel 1055"/>
    <w:qFormat/>
    <w:rPr>
      <w:rFonts w:cs="Symbol"/>
    </w:rPr>
  </w:style>
  <w:style w:type="character" w:customStyle="1" w:styleId="ListLabel1056">
    <w:name w:val="ListLabel 1056"/>
    <w:qFormat/>
    <w:rPr>
      <w:rFonts w:cs="Courier New"/>
    </w:rPr>
  </w:style>
  <w:style w:type="character" w:customStyle="1" w:styleId="ListLabel1057">
    <w:name w:val="ListLabel 1057"/>
    <w:qFormat/>
    <w:rPr>
      <w:rFonts w:cs="Wingdings"/>
    </w:rPr>
  </w:style>
  <w:style w:type="character" w:customStyle="1" w:styleId="ListLabel1058">
    <w:name w:val="ListLabel 1058"/>
    <w:qFormat/>
    <w:rPr>
      <w:rFonts w:cs="Symbol"/>
    </w:rPr>
  </w:style>
  <w:style w:type="character" w:customStyle="1" w:styleId="ListLabel1059">
    <w:name w:val="ListLabel 1059"/>
    <w:qFormat/>
    <w:rPr>
      <w:rFonts w:cs="Courier New"/>
    </w:rPr>
  </w:style>
  <w:style w:type="character" w:customStyle="1" w:styleId="ListLabel1060">
    <w:name w:val="ListLabel 1060"/>
    <w:qFormat/>
    <w:rPr>
      <w:rFonts w:cs="Wingdings"/>
    </w:rPr>
  </w:style>
  <w:style w:type="character" w:customStyle="1" w:styleId="ListLabel1061">
    <w:name w:val="ListLabel 1061"/>
    <w:qFormat/>
    <w:rPr>
      <w:rFonts w:cs="Calibri"/>
    </w:rPr>
  </w:style>
  <w:style w:type="character" w:customStyle="1" w:styleId="ListLabel1062">
    <w:name w:val="ListLabel 1062"/>
    <w:qFormat/>
    <w:rPr>
      <w:rFonts w:cs="Courier New"/>
    </w:rPr>
  </w:style>
  <w:style w:type="character" w:customStyle="1" w:styleId="ListLabel1063">
    <w:name w:val="ListLabel 1063"/>
    <w:qFormat/>
    <w:rPr>
      <w:rFonts w:cs="Wingdings"/>
    </w:rPr>
  </w:style>
  <w:style w:type="character" w:customStyle="1" w:styleId="ListLabel1064">
    <w:name w:val="ListLabel 1064"/>
    <w:qFormat/>
    <w:rPr>
      <w:rFonts w:cs="Symbol"/>
    </w:rPr>
  </w:style>
  <w:style w:type="character" w:customStyle="1" w:styleId="ListLabel1065">
    <w:name w:val="ListLabel 1065"/>
    <w:qFormat/>
    <w:rPr>
      <w:rFonts w:cs="Courier New"/>
    </w:rPr>
  </w:style>
  <w:style w:type="character" w:customStyle="1" w:styleId="ListLabel1066">
    <w:name w:val="ListLabel 1066"/>
    <w:qFormat/>
    <w:rPr>
      <w:rFonts w:cs="Wingdings"/>
    </w:rPr>
  </w:style>
  <w:style w:type="character" w:customStyle="1" w:styleId="ListLabel1067">
    <w:name w:val="ListLabel 1067"/>
    <w:qFormat/>
    <w:rPr>
      <w:rFonts w:cs="Symbol"/>
    </w:rPr>
  </w:style>
  <w:style w:type="character" w:customStyle="1" w:styleId="ListLabel1068">
    <w:name w:val="ListLabel 1068"/>
    <w:qFormat/>
    <w:rPr>
      <w:rFonts w:cs="Courier New"/>
    </w:rPr>
  </w:style>
  <w:style w:type="character" w:customStyle="1" w:styleId="ListLabel1069">
    <w:name w:val="ListLabel 1069"/>
    <w:qFormat/>
    <w:rPr>
      <w:rFonts w:cs="Wingdings"/>
    </w:rPr>
  </w:style>
  <w:style w:type="character" w:customStyle="1" w:styleId="ListLabel1070">
    <w:name w:val="ListLabel 1070"/>
    <w:qFormat/>
    <w:rPr>
      <w:rFonts w:cs="Calibri"/>
    </w:rPr>
  </w:style>
  <w:style w:type="character" w:customStyle="1" w:styleId="ListLabel1071">
    <w:name w:val="ListLabel 1071"/>
    <w:qFormat/>
    <w:rPr>
      <w:rFonts w:cs="Courier New"/>
    </w:rPr>
  </w:style>
  <w:style w:type="character" w:customStyle="1" w:styleId="ListLabel1072">
    <w:name w:val="ListLabel 1072"/>
    <w:qFormat/>
    <w:rPr>
      <w:rFonts w:cs="Wingdings"/>
    </w:rPr>
  </w:style>
  <w:style w:type="character" w:customStyle="1" w:styleId="ListLabel1073">
    <w:name w:val="ListLabel 1073"/>
    <w:qFormat/>
    <w:rPr>
      <w:rFonts w:cs="Symbol"/>
    </w:rPr>
  </w:style>
  <w:style w:type="character" w:customStyle="1" w:styleId="ListLabel1074">
    <w:name w:val="ListLabel 1074"/>
    <w:qFormat/>
    <w:rPr>
      <w:rFonts w:cs="Courier New"/>
    </w:rPr>
  </w:style>
  <w:style w:type="character" w:customStyle="1" w:styleId="ListLabel1075">
    <w:name w:val="ListLabel 1075"/>
    <w:qFormat/>
    <w:rPr>
      <w:rFonts w:cs="Wingdings"/>
    </w:rPr>
  </w:style>
  <w:style w:type="character" w:customStyle="1" w:styleId="ListLabel1076">
    <w:name w:val="ListLabel 1076"/>
    <w:qFormat/>
    <w:rPr>
      <w:rFonts w:cs="Symbol"/>
    </w:rPr>
  </w:style>
  <w:style w:type="character" w:customStyle="1" w:styleId="ListLabel1077">
    <w:name w:val="ListLabel 1077"/>
    <w:qFormat/>
    <w:rPr>
      <w:rFonts w:cs="Courier New"/>
    </w:rPr>
  </w:style>
  <w:style w:type="character" w:customStyle="1" w:styleId="ListLabel1078">
    <w:name w:val="ListLabel 1078"/>
    <w:qFormat/>
    <w:rPr>
      <w:rFonts w:cs="Wingdings"/>
    </w:rPr>
  </w:style>
  <w:style w:type="character" w:customStyle="1" w:styleId="ListLabel1079">
    <w:name w:val="ListLabel 1079"/>
    <w:qFormat/>
    <w:rPr>
      <w:rFonts w:cs="Symbol"/>
    </w:rPr>
  </w:style>
  <w:style w:type="character" w:customStyle="1" w:styleId="ListLabel1080">
    <w:name w:val="ListLabel 1080"/>
    <w:qFormat/>
    <w:rPr>
      <w:rFonts w:cs="Courier New"/>
    </w:rPr>
  </w:style>
  <w:style w:type="character" w:customStyle="1" w:styleId="ListLabel1081">
    <w:name w:val="ListLabel 1081"/>
    <w:qFormat/>
    <w:rPr>
      <w:rFonts w:cs="Wingdings"/>
    </w:rPr>
  </w:style>
  <w:style w:type="character" w:customStyle="1" w:styleId="ListLabel1082">
    <w:name w:val="ListLabel 1082"/>
    <w:qFormat/>
    <w:rPr>
      <w:rFonts w:cs="Symbol"/>
    </w:rPr>
  </w:style>
  <w:style w:type="character" w:customStyle="1" w:styleId="ListLabel1083">
    <w:name w:val="ListLabel 1083"/>
    <w:qFormat/>
    <w:rPr>
      <w:rFonts w:cs="Courier New"/>
    </w:rPr>
  </w:style>
  <w:style w:type="character" w:customStyle="1" w:styleId="ListLabel1084">
    <w:name w:val="ListLabel 1084"/>
    <w:qFormat/>
    <w:rPr>
      <w:rFonts w:cs="Wingdings"/>
    </w:rPr>
  </w:style>
  <w:style w:type="character" w:customStyle="1" w:styleId="ListLabel1085">
    <w:name w:val="ListLabel 1085"/>
    <w:qFormat/>
    <w:rPr>
      <w:rFonts w:cs="Symbol"/>
    </w:rPr>
  </w:style>
  <w:style w:type="character" w:customStyle="1" w:styleId="ListLabel1086">
    <w:name w:val="ListLabel 1086"/>
    <w:qFormat/>
    <w:rPr>
      <w:rFonts w:cs="Courier New"/>
    </w:rPr>
  </w:style>
  <w:style w:type="character" w:customStyle="1" w:styleId="ListLabel1087">
    <w:name w:val="ListLabel 1087"/>
    <w:qFormat/>
    <w:rPr>
      <w:rFonts w:cs="Wingdings"/>
    </w:rPr>
  </w:style>
  <w:style w:type="character" w:customStyle="1" w:styleId="ListLabel1088">
    <w:name w:val="ListLabel 1088"/>
    <w:qFormat/>
    <w:rPr>
      <w:rFonts w:cs="Calibri"/>
    </w:rPr>
  </w:style>
  <w:style w:type="character" w:customStyle="1" w:styleId="ListLabel1089">
    <w:name w:val="ListLabel 1089"/>
    <w:qFormat/>
    <w:rPr>
      <w:rFonts w:cs="Courier New"/>
    </w:rPr>
  </w:style>
  <w:style w:type="character" w:customStyle="1" w:styleId="ListLabel1090">
    <w:name w:val="ListLabel 1090"/>
    <w:qFormat/>
    <w:rPr>
      <w:rFonts w:cs="Wingdings"/>
    </w:rPr>
  </w:style>
  <w:style w:type="character" w:customStyle="1" w:styleId="ListLabel1091">
    <w:name w:val="ListLabel 1091"/>
    <w:qFormat/>
    <w:rPr>
      <w:rFonts w:cs="Symbol"/>
    </w:rPr>
  </w:style>
  <w:style w:type="character" w:customStyle="1" w:styleId="ListLabel1092">
    <w:name w:val="ListLabel 1092"/>
    <w:qFormat/>
    <w:rPr>
      <w:rFonts w:cs="Courier New"/>
    </w:rPr>
  </w:style>
  <w:style w:type="character" w:customStyle="1" w:styleId="ListLabel1093">
    <w:name w:val="ListLabel 1093"/>
    <w:qFormat/>
    <w:rPr>
      <w:rFonts w:cs="Wingdings"/>
    </w:rPr>
  </w:style>
  <w:style w:type="character" w:customStyle="1" w:styleId="ListLabel1094">
    <w:name w:val="ListLabel 1094"/>
    <w:qFormat/>
    <w:rPr>
      <w:rFonts w:cs="Symbol"/>
    </w:rPr>
  </w:style>
  <w:style w:type="character" w:customStyle="1" w:styleId="ListLabel1095">
    <w:name w:val="ListLabel 1095"/>
    <w:qFormat/>
    <w:rPr>
      <w:rFonts w:cs="Courier New"/>
    </w:rPr>
  </w:style>
  <w:style w:type="character" w:customStyle="1" w:styleId="ListLabel1096">
    <w:name w:val="ListLabel 1096"/>
    <w:qFormat/>
    <w:rPr>
      <w:rFonts w:cs="Wingdings"/>
    </w:rPr>
  </w:style>
  <w:style w:type="character" w:customStyle="1" w:styleId="ListLabel1097">
    <w:name w:val="ListLabel 1097"/>
    <w:qFormat/>
    <w:rPr>
      <w:rFonts w:cs="Calibri"/>
      <w:sz w:val="24"/>
    </w:rPr>
  </w:style>
  <w:style w:type="character" w:customStyle="1" w:styleId="ListLabel1098">
    <w:name w:val="ListLabel 1098"/>
    <w:qFormat/>
    <w:rPr>
      <w:rFonts w:cs="Courier New"/>
    </w:rPr>
  </w:style>
  <w:style w:type="character" w:customStyle="1" w:styleId="ListLabel1099">
    <w:name w:val="ListLabel 1099"/>
    <w:qFormat/>
    <w:rPr>
      <w:rFonts w:cs="Wingdings"/>
    </w:rPr>
  </w:style>
  <w:style w:type="character" w:customStyle="1" w:styleId="ListLabel1100">
    <w:name w:val="ListLabel 1100"/>
    <w:qFormat/>
    <w:rPr>
      <w:rFonts w:cs="Symbol"/>
    </w:rPr>
  </w:style>
  <w:style w:type="character" w:customStyle="1" w:styleId="ListLabel1101">
    <w:name w:val="ListLabel 1101"/>
    <w:qFormat/>
    <w:rPr>
      <w:rFonts w:cs="Courier New"/>
    </w:rPr>
  </w:style>
  <w:style w:type="character" w:customStyle="1" w:styleId="ListLabel1102">
    <w:name w:val="ListLabel 1102"/>
    <w:qFormat/>
    <w:rPr>
      <w:rFonts w:cs="Wingdings"/>
    </w:rPr>
  </w:style>
  <w:style w:type="character" w:customStyle="1" w:styleId="ListLabel1103">
    <w:name w:val="ListLabel 1103"/>
    <w:qFormat/>
    <w:rPr>
      <w:rFonts w:cs="Symbol"/>
    </w:rPr>
  </w:style>
  <w:style w:type="character" w:customStyle="1" w:styleId="ListLabel1104">
    <w:name w:val="ListLabel 1104"/>
    <w:qFormat/>
    <w:rPr>
      <w:rFonts w:cs="Courier New"/>
    </w:rPr>
  </w:style>
  <w:style w:type="character" w:customStyle="1" w:styleId="ListLabel1105">
    <w:name w:val="ListLabel 1105"/>
    <w:qFormat/>
    <w:rPr>
      <w:rFonts w:cs="Wingdings"/>
    </w:rPr>
  </w:style>
  <w:style w:type="character" w:customStyle="1" w:styleId="ListLabel1106">
    <w:name w:val="ListLabel 1106"/>
    <w:qFormat/>
    <w:rPr>
      <w:rFonts w:cs="Symbol"/>
      <w:b/>
      <w:sz w:val="22"/>
    </w:rPr>
  </w:style>
  <w:style w:type="character" w:customStyle="1" w:styleId="ListLabel1107">
    <w:name w:val="ListLabel 1107"/>
    <w:qFormat/>
    <w:rPr>
      <w:rFonts w:cs="Courier New"/>
    </w:rPr>
  </w:style>
  <w:style w:type="character" w:customStyle="1" w:styleId="ListLabel1108">
    <w:name w:val="ListLabel 1108"/>
    <w:qFormat/>
    <w:rPr>
      <w:rFonts w:cs="Wingdings"/>
    </w:rPr>
  </w:style>
  <w:style w:type="character" w:customStyle="1" w:styleId="ListLabel1109">
    <w:name w:val="ListLabel 1109"/>
    <w:qFormat/>
    <w:rPr>
      <w:rFonts w:cs="Symbol"/>
    </w:rPr>
  </w:style>
  <w:style w:type="character" w:customStyle="1" w:styleId="ListLabel1110">
    <w:name w:val="ListLabel 1110"/>
    <w:qFormat/>
    <w:rPr>
      <w:rFonts w:cs="Courier New"/>
    </w:rPr>
  </w:style>
  <w:style w:type="character" w:customStyle="1" w:styleId="ListLabel1111">
    <w:name w:val="ListLabel 1111"/>
    <w:qFormat/>
    <w:rPr>
      <w:rFonts w:cs="Wingdings"/>
    </w:rPr>
  </w:style>
  <w:style w:type="character" w:customStyle="1" w:styleId="ListLabel1112">
    <w:name w:val="ListLabel 1112"/>
    <w:qFormat/>
    <w:rPr>
      <w:rFonts w:cs="Symbol"/>
    </w:rPr>
  </w:style>
  <w:style w:type="character" w:customStyle="1" w:styleId="ListLabel1113">
    <w:name w:val="ListLabel 1113"/>
    <w:qFormat/>
    <w:rPr>
      <w:rFonts w:cs="Courier New"/>
    </w:rPr>
  </w:style>
  <w:style w:type="character" w:customStyle="1" w:styleId="ListLabel1114">
    <w:name w:val="ListLabel 1114"/>
    <w:qFormat/>
    <w:rPr>
      <w:rFonts w:cs="Wingdings"/>
    </w:rPr>
  </w:style>
  <w:style w:type="character" w:customStyle="1" w:styleId="ListLabel1115">
    <w:name w:val="ListLabel 1115"/>
    <w:qFormat/>
    <w:rPr>
      <w:rFonts w:cs="Symbol"/>
      <w:b/>
    </w:rPr>
  </w:style>
  <w:style w:type="character" w:customStyle="1" w:styleId="ListLabel1116">
    <w:name w:val="ListLabel 1116"/>
    <w:qFormat/>
    <w:rPr>
      <w:rFonts w:cs="Courier New"/>
    </w:rPr>
  </w:style>
  <w:style w:type="character" w:customStyle="1" w:styleId="ListLabel1117">
    <w:name w:val="ListLabel 1117"/>
    <w:qFormat/>
    <w:rPr>
      <w:rFonts w:cs="Wingdings"/>
    </w:rPr>
  </w:style>
  <w:style w:type="character" w:customStyle="1" w:styleId="ListLabel1118">
    <w:name w:val="ListLabel 1118"/>
    <w:qFormat/>
    <w:rPr>
      <w:rFonts w:cs="Symbol"/>
    </w:rPr>
  </w:style>
  <w:style w:type="character" w:customStyle="1" w:styleId="ListLabel1119">
    <w:name w:val="ListLabel 1119"/>
    <w:qFormat/>
    <w:rPr>
      <w:rFonts w:cs="Courier New"/>
    </w:rPr>
  </w:style>
  <w:style w:type="character" w:customStyle="1" w:styleId="ListLabel1120">
    <w:name w:val="ListLabel 1120"/>
    <w:qFormat/>
    <w:rPr>
      <w:rFonts w:cs="Wingdings"/>
    </w:rPr>
  </w:style>
  <w:style w:type="character" w:customStyle="1" w:styleId="ListLabel1121">
    <w:name w:val="ListLabel 1121"/>
    <w:qFormat/>
    <w:rPr>
      <w:rFonts w:cs="Symbol"/>
    </w:rPr>
  </w:style>
  <w:style w:type="character" w:customStyle="1" w:styleId="ListLabel1122">
    <w:name w:val="ListLabel 1122"/>
    <w:qFormat/>
    <w:rPr>
      <w:rFonts w:cs="Courier New"/>
    </w:rPr>
  </w:style>
  <w:style w:type="character" w:customStyle="1" w:styleId="ListLabel1123">
    <w:name w:val="ListLabel 1123"/>
    <w:qFormat/>
    <w:rPr>
      <w:rFonts w:cs="Wingdings"/>
    </w:rPr>
  </w:style>
  <w:style w:type="character" w:customStyle="1" w:styleId="ListLabel1124">
    <w:name w:val="ListLabel 1124"/>
    <w:qFormat/>
    <w:rPr>
      <w:rFonts w:cs="Symbol"/>
      <w:b/>
    </w:rPr>
  </w:style>
  <w:style w:type="character" w:customStyle="1" w:styleId="ListLabel1125">
    <w:name w:val="ListLabel 1125"/>
    <w:qFormat/>
    <w:rPr>
      <w:rFonts w:cs="Courier New"/>
    </w:rPr>
  </w:style>
  <w:style w:type="character" w:customStyle="1" w:styleId="ListLabel1126">
    <w:name w:val="ListLabel 1126"/>
    <w:qFormat/>
    <w:rPr>
      <w:rFonts w:cs="Wingdings"/>
    </w:rPr>
  </w:style>
  <w:style w:type="character" w:customStyle="1" w:styleId="ListLabel1127">
    <w:name w:val="ListLabel 1127"/>
    <w:qFormat/>
    <w:rPr>
      <w:rFonts w:cs="Symbol"/>
    </w:rPr>
  </w:style>
  <w:style w:type="character" w:customStyle="1" w:styleId="ListLabel1128">
    <w:name w:val="ListLabel 1128"/>
    <w:qFormat/>
    <w:rPr>
      <w:rFonts w:cs="Courier New"/>
    </w:rPr>
  </w:style>
  <w:style w:type="character" w:customStyle="1" w:styleId="ListLabel1129">
    <w:name w:val="ListLabel 1129"/>
    <w:qFormat/>
    <w:rPr>
      <w:rFonts w:cs="Wingdings"/>
    </w:rPr>
  </w:style>
  <w:style w:type="character" w:customStyle="1" w:styleId="ListLabel1130">
    <w:name w:val="ListLabel 1130"/>
    <w:qFormat/>
    <w:rPr>
      <w:rFonts w:cs="Symbol"/>
    </w:rPr>
  </w:style>
  <w:style w:type="character" w:customStyle="1" w:styleId="ListLabel1131">
    <w:name w:val="ListLabel 1131"/>
    <w:qFormat/>
    <w:rPr>
      <w:rFonts w:cs="Courier New"/>
    </w:rPr>
  </w:style>
  <w:style w:type="character" w:customStyle="1" w:styleId="ListLabel1132">
    <w:name w:val="ListLabel 1132"/>
    <w:qFormat/>
    <w:rPr>
      <w:rFonts w:cs="Wingdings"/>
    </w:rPr>
  </w:style>
  <w:style w:type="character" w:customStyle="1" w:styleId="ListLabel1133">
    <w:name w:val="ListLabel 1133"/>
    <w:qFormat/>
    <w:rPr>
      <w:rFonts w:cs="Symbol"/>
      <w:b/>
      <w:sz w:val="24"/>
    </w:rPr>
  </w:style>
  <w:style w:type="character" w:customStyle="1" w:styleId="ListLabel1134">
    <w:name w:val="ListLabel 1134"/>
    <w:qFormat/>
    <w:rPr>
      <w:rFonts w:cs="Courier New"/>
    </w:rPr>
  </w:style>
  <w:style w:type="character" w:customStyle="1" w:styleId="ListLabel1135">
    <w:name w:val="ListLabel 1135"/>
    <w:qFormat/>
    <w:rPr>
      <w:rFonts w:cs="Wingdings"/>
    </w:rPr>
  </w:style>
  <w:style w:type="character" w:customStyle="1" w:styleId="ListLabel1136">
    <w:name w:val="ListLabel 1136"/>
    <w:qFormat/>
    <w:rPr>
      <w:rFonts w:cs="Symbol"/>
    </w:rPr>
  </w:style>
  <w:style w:type="character" w:customStyle="1" w:styleId="ListLabel1137">
    <w:name w:val="ListLabel 1137"/>
    <w:qFormat/>
    <w:rPr>
      <w:rFonts w:cs="Courier New"/>
    </w:rPr>
  </w:style>
  <w:style w:type="character" w:customStyle="1" w:styleId="ListLabel1138">
    <w:name w:val="ListLabel 1138"/>
    <w:qFormat/>
    <w:rPr>
      <w:rFonts w:cs="Wingdings"/>
    </w:rPr>
  </w:style>
  <w:style w:type="character" w:customStyle="1" w:styleId="ListLabel1139">
    <w:name w:val="ListLabel 1139"/>
    <w:qFormat/>
    <w:rPr>
      <w:rFonts w:cs="Symbol"/>
    </w:rPr>
  </w:style>
  <w:style w:type="character" w:customStyle="1" w:styleId="ListLabel1140">
    <w:name w:val="ListLabel 1140"/>
    <w:qFormat/>
    <w:rPr>
      <w:rFonts w:cs="Courier New"/>
    </w:rPr>
  </w:style>
  <w:style w:type="character" w:customStyle="1" w:styleId="ListLabel1141">
    <w:name w:val="ListLabel 1141"/>
    <w:qFormat/>
    <w:rPr>
      <w:rFonts w:cs="Wingdings"/>
    </w:rPr>
  </w:style>
  <w:style w:type="character" w:customStyle="1" w:styleId="ListLabel1142">
    <w:name w:val="ListLabel 1142"/>
    <w:qFormat/>
    <w:rPr>
      <w:rFonts w:cs="Calibri"/>
      <w:sz w:val="24"/>
    </w:rPr>
  </w:style>
  <w:style w:type="character" w:customStyle="1" w:styleId="ListLabel1143">
    <w:name w:val="ListLabel 1143"/>
    <w:qFormat/>
    <w:rPr>
      <w:rFonts w:cs="Courier New"/>
    </w:rPr>
  </w:style>
  <w:style w:type="character" w:customStyle="1" w:styleId="ListLabel1144">
    <w:name w:val="ListLabel 1144"/>
    <w:qFormat/>
    <w:rPr>
      <w:rFonts w:cs="Wingdings"/>
    </w:rPr>
  </w:style>
  <w:style w:type="character" w:customStyle="1" w:styleId="ListLabel1145">
    <w:name w:val="ListLabel 1145"/>
    <w:qFormat/>
    <w:rPr>
      <w:rFonts w:cs="Symbol"/>
    </w:rPr>
  </w:style>
  <w:style w:type="character" w:customStyle="1" w:styleId="ListLabel1146">
    <w:name w:val="ListLabel 1146"/>
    <w:qFormat/>
    <w:rPr>
      <w:rFonts w:cs="Courier New"/>
    </w:rPr>
  </w:style>
  <w:style w:type="character" w:customStyle="1" w:styleId="ListLabel1147">
    <w:name w:val="ListLabel 1147"/>
    <w:qFormat/>
    <w:rPr>
      <w:rFonts w:cs="Wingdings"/>
    </w:rPr>
  </w:style>
  <w:style w:type="character" w:customStyle="1" w:styleId="ListLabel1148">
    <w:name w:val="ListLabel 1148"/>
    <w:qFormat/>
    <w:rPr>
      <w:rFonts w:cs="Symbol"/>
    </w:rPr>
  </w:style>
  <w:style w:type="character" w:customStyle="1" w:styleId="ListLabel1149">
    <w:name w:val="ListLabel 1149"/>
    <w:qFormat/>
    <w:rPr>
      <w:rFonts w:cs="Courier New"/>
    </w:rPr>
  </w:style>
  <w:style w:type="character" w:customStyle="1" w:styleId="ListLabel1150">
    <w:name w:val="ListLabel 1150"/>
    <w:qFormat/>
    <w:rPr>
      <w:rFonts w:cs="Wingdings"/>
    </w:rPr>
  </w:style>
  <w:style w:type="character" w:customStyle="1" w:styleId="ListLabel1151">
    <w:name w:val="ListLabel 1151"/>
    <w:qFormat/>
    <w:rPr>
      <w:rFonts w:cs="Calibri"/>
    </w:rPr>
  </w:style>
  <w:style w:type="character" w:customStyle="1" w:styleId="ListLabel1152">
    <w:name w:val="ListLabel 1152"/>
    <w:qFormat/>
    <w:rPr>
      <w:rFonts w:cs="Courier New"/>
    </w:rPr>
  </w:style>
  <w:style w:type="character" w:customStyle="1" w:styleId="ListLabel1153">
    <w:name w:val="ListLabel 1153"/>
    <w:qFormat/>
    <w:rPr>
      <w:rFonts w:cs="Wingdings"/>
    </w:rPr>
  </w:style>
  <w:style w:type="character" w:customStyle="1" w:styleId="ListLabel1154">
    <w:name w:val="ListLabel 1154"/>
    <w:qFormat/>
    <w:rPr>
      <w:rFonts w:cs="Symbol"/>
    </w:rPr>
  </w:style>
  <w:style w:type="character" w:customStyle="1" w:styleId="ListLabel1155">
    <w:name w:val="ListLabel 1155"/>
    <w:qFormat/>
    <w:rPr>
      <w:rFonts w:cs="Courier New"/>
    </w:rPr>
  </w:style>
  <w:style w:type="character" w:customStyle="1" w:styleId="ListLabel1156">
    <w:name w:val="ListLabel 1156"/>
    <w:qFormat/>
    <w:rPr>
      <w:rFonts w:cs="Wingdings"/>
    </w:rPr>
  </w:style>
  <w:style w:type="character" w:customStyle="1" w:styleId="ListLabel1157">
    <w:name w:val="ListLabel 1157"/>
    <w:qFormat/>
    <w:rPr>
      <w:rFonts w:cs="Symbol"/>
    </w:rPr>
  </w:style>
  <w:style w:type="character" w:customStyle="1" w:styleId="ListLabel1158">
    <w:name w:val="ListLabel 1158"/>
    <w:qFormat/>
    <w:rPr>
      <w:rFonts w:cs="Courier New"/>
    </w:rPr>
  </w:style>
  <w:style w:type="character" w:customStyle="1" w:styleId="ListLabel1159">
    <w:name w:val="ListLabel 1159"/>
    <w:qFormat/>
    <w:rPr>
      <w:rFonts w:cs="Wingdings"/>
    </w:rPr>
  </w:style>
  <w:style w:type="character" w:customStyle="1" w:styleId="ListLabel1160">
    <w:name w:val="ListLabel 1160"/>
    <w:qFormat/>
    <w:rPr>
      <w:rFonts w:cs="Times New Roman"/>
    </w:rPr>
  </w:style>
  <w:style w:type="character" w:customStyle="1" w:styleId="ListLabel1161">
    <w:name w:val="ListLabel 1161"/>
    <w:qFormat/>
    <w:rPr>
      <w:rFonts w:cs="Times New Roman"/>
    </w:rPr>
  </w:style>
  <w:style w:type="character" w:customStyle="1" w:styleId="ListLabel1162">
    <w:name w:val="ListLabel 1162"/>
    <w:qFormat/>
    <w:rPr>
      <w:rFonts w:cs="Times New Roman"/>
    </w:rPr>
  </w:style>
  <w:style w:type="character" w:customStyle="1" w:styleId="ListLabel1163">
    <w:name w:val="ListLabel 1163"/>
    <w:qFormat/>
    <w:rPr>
      <w:rFonts w:cs="Times New Roman"/>
    </w:rPr>
  </w:style>
  <w:style w:type="character" w:customStyle="1" w:styleId="ListLabel1164">
    <w:name w:val="ListLabel 1164"/>
    <w:qFormat/>
    <w:rPr>
      <w:rFonts w:cs="Times New Roman"/>
    </w:rPr>
  </w:style>
  <w:style w:type="character" w:customStyle="1" w:styleId="ListLabel1165">
    <w:name w:val="ListLabel 1165"/>
    <w:qFormat/>
    <w:rPr>
      <w:rFonts w:cs="Times New Roman"/>
    </w:rPr>
  </w:style>
  <w:style w:type="character" w:customStyle="1" w:styleId="ListLabel1166">
    <w:name w:val="ListLabel 1166"/>
    <w:qFormat/>
    <w:rPr>
      <w:rFonts w:cs="Times New Roman"/>
    </w:rPr>
  </w:style>
  <w:style w:type="character" w:customStyle="1" w:styleId="ListLabel1167">
    <w:name w:val="ListLabel 1167"/>
    <w:qFormat/>
    <w:rPr>
      <w:rFonts w:cs="Times New Roman"/>
    </w:rPr>
  </w:style>
  <w:style w:type="character" w:customStyle="1" w:styleId="ListLabel1168">
    <w:name w:val="ListLabel 1168"/>
    <w:qFormat/>
    <w:rPr>
      <w:rFonts w:cs="Times New Roman"/>
    </w:rPr>
  </w:style>
  <w:style w:type="character" w:customStyle="1" w:styleId="ListLabel1169">
    <w:name w:val="ListLabel 1169"/>
    <w:qFormat/>
    <w:rPr>
      <w:rFonts w:cs="Times New Roman"/>
    </w:rPr>
  </w:style>
  <w:style w:type="character" w:customStyle="1" w:styleId="ListLabel1170">
    <w:name w:val="ListLabel 1170"/>
    <w:qFormat/>
    <w:rPr>
      <w:rFonts w:cs="Times New Roman"/>
    </w:rPr>
  </w:style>
  <w:style w:type="character" w:customStyle="1" w:styleId="ListLabel1171">
    <w:name w:val="ListLabel 1171"/>
    <w:qFormat/>
    <w:rPr>
      <w:rFonts w:cs="Times New Roman"/>
    </w:rPr>
  </w:style>
  <w:style w:type="character" w:customStyle="1" w:styleId="ListLabel1172">
    <w:name w:val="ListLabel 1172"/>
    <w:qFormat/>
    <w:rPr>
      <w:rFonts w:cs="Times New Roman"/>
    </w:rPr>
  </w:style>
  <w:style w:type="character" w:customStyle="1" w:styleId="ListLabel1173">
    <w:name w:val="ListLabel 1173"/>
    <w:qFormat/>
    <w:rPr>
      <w:rFonts w:cs="Times New Roman"/>
    </w:rPr>
  </w:style>
  <w:style w:type="character" w:customStyle="1" w:styleId="ListLabel1174">
    <w:name w:val="ListLabel 1174"/>
    <w:qFormat/>
    <w:rPr>
      <w:rFonts w:cs="Times New Roman"/>
    </w:rPr>
  </w:style>
  <w:style w:type="character" w:customStyle="1" w:styleId="ListLabel1175">
    <w:name w:val="ListLabel 1175"/>
    <w:qFormat/>
    <w:rPr>
      <w:rFonts w:cs="Times New Roman"/>
    </w:rPr>
  </w:style>
  <w:style w:type="character" w:customStyle="1" w:styleId="ListLabel1176">
    <w:name w:val="ListLabel 1176"/>
    <w:qFormat/>
    <w:rPr>
      <w:rFonts w:cs="Times New Roman"/>
    </w:rPr>
  </w:style>
  <w:style w:type="character" w:customStyle="1" w:styleId="ListLabel1177">
    <w:name w:val="ListLabel 1177"/>
    <w:qFormat/>
    <w:rPr>
      <w:rFonts w:cs="Times New Roman"/>
    </w:rPr>
  </w:style>
  <w:style w:type="character" w:customStyle="1" w:styleId="ListLabel1178">
    <w:name w:val="ListLabel 1178"/>
    <w:qFormat/>
    <w:rPr>
      <w:rFonts w:cs="Calibri"/>
      <w:b/>
    </w:rPr>
  </w:style>
  <w:style w:type="character" w:customStyle="1" w:styleId="ListLabel1179">
    <w:name w:val="ListLabel 1179"/>
    <w:qFormat/>
    <w:rPr>
      <w:rFonts w:cs="Courier New"/>
    </w:rPr>
  </w:style>
  <w:style w:type="character" w:customStyle="1" w:styleId="ListLabel1180">
    <w:name w:val="ListLabel 1180"/>
    <w:qFormat/>
    <w:rPr>
      <w:rFonts w:cs="Wingdings"/>
    </w:rPr>
  </w:style>
  <w:style w:type="character" w:customStyle="1" w:styleId="ListLabel1181">
    <w:name w:val="ListLabel 1181"/>
    <w:qFormat/>
    <w:rPr>
      <w:rFonts w:cs="Symbol"/>
    </w:rPr>
  </w:style>
  <w:style w:type="character" w:customStyle="1" w:styleId="ListLabel1182">
    <w:name w:val="ListLabel 1182"/>
    <w:qFormat/>
    <w:rPr>
      <w:rFonts w:cs="Courier New"/>
    </w:rPr>
  </w:style>
  <w:style w:type="character" w:customStyle="1" w:styleId="ListLabel1183">
    <w:name w:val="ListLabel 1183"/>
    <w:qFormat/>
    <w:rPr>
      <w:rFonts w:cs="Wingdings"/>
    </w:rPr>
  </w:style>
  <w:style w:type="character" w:customStyle="1" w:styleId="ListLabel1184">
    <w:name w:val="ListLabel 1184"/>
    <w:qFormat/>
    <w:rPr>
      <w:rFonts w:cs="Symbol"/>
    </w:rPr>
  </w:style>
  <w:style w:type="character" w:customStyle="1" w:styleId="ListLabel1185">
    <w:name w:val="ListLabel 1185"/>
    <w:qFormat/>
    <w:rPr>
      <w:rFonts w:cs="Courier New"/>
    </w:rPr>
  </w:style>
  <w:style w:type="character" w:customStyle="1" w:styleId="ListLabel1186">
    <w:name w:val="ListLabel 1186"/>
    <w:qFormat/>
    <w:rPr>
      <w:rFonts w:cs="Wingdings"/>
    </w:rPr>
  </w:style>
  <w:style w:type="character" w:customStyle="1" w:styleId="ListLabel1187">
    <w:name w:val="ListLabel 1187"/>
    <w:qFormat/>
    <w:rPr>
      <w:rFonts w:cs="Calibri"/>
    </w:rPr>
  </w:style>
  <w:style w:type="character" w:customStyle="1" w:styleId="ListLabel1188">
    <w:name w:val="ListLabel 1188"/>
    <w:qFormat/>
    <w:rPr>
      <w:rFonts w:cs="Courier New"/>
    </w:rPr>
  </w:style>
  <w:style w:type="character" w:customStyle="1" w:styleId="ListLabel1189">
    <w:name w:val="ListLabel 1189"/>
    <w:qFormat/>
    <w:rPr>
      <w:rFonts w:cs="Wingdings"/>
    </w:rPr>
  </w:style>
  <w:style w:type="character" w:customStyle="1" w:styleId="ListLabel1190">
    <w:name w:val="ListLabel 1190"/>
    <w:qFormat/>
    <w:rPr>
      <w:rFonts w:cs="Symbol"/>
    </w:rPr>
  </w:style>
  <w:style w:type="character" w:customStyle="1" w:styleId="ListLabel1191">
    <w:name w:val="ListLabel 1191"/>
    <w:qFormat/>
    <w:rPr>
      <w:rFonts w:cs="Courier New"/>
    </w:rPr>
  </w:style>
  <w:style w:type="character" w:customStyle="1" w:styleId="ListLabel1192">
    <w:name w:val="ListLabel 1192"/>
    <w:qFormat/>
    <w:rPr>
      <w:rFonts w:cs="Wingdings"/>
    </w:rPr>
  </w:style>
  <w:style w:type="character" w:customStyle="1" w:styleId="ListLabel1193">
    <w:name w:val="ListLabel 1193"/>
    <w:qFormat/>
    <w:rPr>
      <w:rFonts w:cs="Symbol"/>
    </w:rPr>
  </w:style>
  <w:style w:type="character" w:customStyle="1" w:styleId="ListLabel1194">
    <w:name w:val="ListLabel 1194"/>
    <w:qFormat/>
    <w:rPr>
      <w:rFonts w:cs="Courier New"/>
    </w:rPr>
  </w:style>
  <w:style w:type="character" w:customStyle="1" w:styleId="ListLabel1195">
    <w:name w:val="ListLabel 1195"/>
    <w:qFormat/>
    <w:rPr>
      <w:rFonts w:cs="Wingdings"/>
    </w:rPr>
  </w:style>
  <w:style w:type="character" w:customStyle="1" w:styleId="ListLabel1196">
    <w:name w:val="ListLabel 1196"/>
    <w:qFormat/>
    <w:rPr>
      <w:rFonts w:cs="Symbol"/>
    </w:rPr>
  </w:style>
  <w:style w:type="character" w:customStyle="1" w:styleId="ListLabel1197">
    <w:name w:val="ListLabel 1197"/>
    <w:qFormat/>
    <w:rPr>
      <w:rFonts w:cs="Courier New"/>
    </w:rPr>
  </w:style>
  <w:style w:type="character" w:customStyle="1" w:styleId="ListLabel1198">
    <w:name w:val="ListLabel 1198"/>
    <w:qFormat/>
    <w:rPr>
      <w:rFonts w:cs="Wingdings"/>
    </w:rPr>
  </w:style>
  <w:style w:type="character" w:customStyle="1" w:styleId="ListLabel1199">
    <w:name w:val="ListLabel 1199"/>
    <w:qFormat/>
    <w:rPr>
      <w:rFonts w:cs="Symbol"/>
    </w:rPr>
  </w:style>
  <w:style w:type="character" w:customStyle="1" w:styleId="ListLabel1200">
    <w:name w:val="ListLabel 1200"/>
    <w:qFormat/>
    <w:rPr>
      <w:rFonts w:cs="Courier New"/>
    </w:rPr>
  </w:style>
  <w:style w:type="character" w:customStyle="1" w:styleId="ListLabel1201">
    <w:name w:val="ListLabel 1201"/>
    <w:qFormat/>
    <w:rPr>
      <w:rFonts w:cs="Wingdings"/>
    </w:rPr>
  </w:style>
  <w:style w:type="character" w:customStyle="1" w:styleId="ListLabel1202">
    <w:name w:val="ListLabel 1202"/>
    <w:qFormat/>
    <w:rPr>
      <w:rFonts w:cs="Symbol"/>
    </w:rPr>
  </w:style>
  <w:style w:type="character" w:customStyle="1" w:styleId="ListLabel1203">
    <w:name w:val="ListLabel 1203"/>
    <w:qFormat/>
    <w:rPr>
      <w:rFonts w:cs="Courier New"/>
    </w:rPr>
  </w:style>
  <w:style w:type="character" w:customStyle="1" w:styleId="ListLabel1204">
    <w:name w:val="ListLabel 1204"/>
    <w:qFormat/>
    <w:rPr>
      <w:rFonts w:cs="Wingdings"/>
    </w:rPr>
  </w:style>
  <w:style w:type="character" w:customStyle="1" w:styleId="ListLabel1205">
    <w:name w:val="ListLabel 1205"/>
    <w:qFormat/>
    <w:rPr>
      <w:rFonts w:cs="Calibri"/>
    </w:rPr>
  </w:style>
  <w:style w:type="character" w:customStyle="1" w:styleId="ListLabel1206">
    <w:name w:val="ListLabel 1206"/>
    <w:qFormat/>
    <w:rPr>
      <w:rFonts w:cs="Courier New"/>
    </w:rPr>
  </w:style>
  <w:style w:type="character" w:customStyle="1" w:styleId="ListLabel1207">
    <w:name w:val="ListLabel 1207"/>
    <w:qFormat/>
    <w:rPr>
      <w:rFonts w:cs="Wingdings"/>
    </w:rPr>
  </w:style>
  <w:style w:type="character" w:customStyle="1" w:styleId="ListLabel1208">
    <w:name w:val="ListLabel 1208"/>
    <w:qFormat/>
    <w:rPr>
      <w:rFonts w:cs="Symbol"/>
    </w:rPr>
  </w:style>
  <w:style w:type="character" w:customStyle="1" w:styleId="ListLabel1209">
    <w:name w:val="ListLabel 1209"/>
    <w:qFormat/>
    <w:rPr>
      <w:rFonts w:cs="Courier New"/>
    </w:rPr>
  </w:style>
  <w:style w:type="character" w:customStyle="1" w:styleId="ListLabel1210">
    <w:name w:val="ListLabel 1210"/>
    <w:qFormat/>
    <w:rPr>
      <w:rFonts w:cs="Wingdings"/>
    </w:rPr>
  </w:style>
  <w:style w:type="character" w:customStyle="1" w:styleId="ListLabel1211">
    <w:name w:val="ListLabel 1211"/>
    <w:qFormat/>
    <w:rPr>
      <w:rFonts w:cs="Symbol"/>
    </w:rPr>
  </w:style>
  <w:style w:type="character" w:customStyle="1" w:styleId="ListLabel1212">
    <w:name w:val="ListLabel 1212"/>
    <w:qFormat/>
    <w:rPr>
      <w:rFonts w:cs="Courier New"/>
    </w:rPr>
  </w:style>
  <w:style w:type="character" w:customStyle="1" w:styleId="ListLabel1213">
    <w:name w:val="ListLabel 1213"/>
    <w:qFormat/>
    <w:rPr>
      <w:rFonts w:cs="Wingdings"/>
    </w:rPr>
  </w:style>
  <w:style w:type="character" w:customStyle="1" w:styleId="ListLabel1214">
    <w:name w:val="ListLabel 1214"/>
    <w:qFormat/>
    <w:rPr>
      <w:rFonts w:cs="Symbol"/>
    </w:rPr>
  </w:style>
  <w:style w:type="character" w:customStyle="1" w:styleId="ListLabel1215">
    <w:name w:val="ListLabel 1215"/>
    <w:qFormat/>
    <w:rPr>
      <w:rFonts w:cs="Courier New"/>
    </w:rPr>
  </w:style>
  <w:style w:type="character" w:customStyle="1" w:styleId="ListLabel1216">
    <w:name w:val="ListLabel 1216"/>
    <w:qFormat/>
    <w:rPr>
      <w:rFonts w:cs="Wingdings"/>
    </w:rPr>
  </w:style>
  <w:style w:type="character" w:customStyle="1" w:styleId="ListLabel1217">
    <w:name w:val="ListLabel 1217"/>
    <w:qFormat/>
    <w:rPr>
      <w:rFonts w:cs="Symbol"/>
    </w:rPr>
  </w:style>
  <w:style w:type="character" w:customStyle="1" w:styleId="ListLabel1218">
    <w:name w:val="ListLabel 1218"/>
    <w:qFormat/>
    <w:rPr>
      <w:rFonts w:cs="Courier New"/>
    </w:rPr>
  </w:style>
  <w:style w:type="character" w:customStyle="1" w:styleId="ListLabel1219">
    <w:name w:val="ListLabel 1219"/>
    <w:qFormat/>
    <w:rPr>
      <w:rFonts w:cs="Wingdings"/>
    </w:rPr>
  </w:style>
  <w:style w:type="character" w:customStyle="1" w:styleId="ListLabel1220">
    <w:name w:val="ListLabel 1220"/>
    <w:qFormat/>
    <w:rPr>
      <w:rFonts w:cs="Symbol"/>
    </w:rPr>
  </w:style>
  <w:style w:type="character" w:customStyle="1" w:styleId="ListLabel1221">
    <w:name w:val="ListLabel 1221"/>
    <w:qFormat/>
    <w:rPr>
      <w:rFonts w:cs="Courier New"/>
    </w:rPr>
  </w:style>
  <w:style w:type="character" w:customStyle="1" w:styleId="ListLabel1222">
    <w:name w:val="ListLabel 1222"/>
    <w:qFormat/>
    <w:rPr>
      <w:rFonts w:cs="Wingdings"/>
    </w:rPr>
  </w:style>
  <w:style w:type="character" w:customStyle="1" w:styleId="ListLabel1223">
    <w:name w:val="ListLabel 1223"/>
    <w:qFormat/>
    <w:rPr>
      <w:rFonts w:cs="Calibri"/>
    </w:rPr>
  </w:style>
  <w:style w:type="character" w:customStyle="1" w:styleId="ListLabel1224">
    <w:name w:val="ListLabel 1224"/>
    <w:qFormat/>
    <w:rPr>
      <w:rFonts w:cs="Courier New"/>
    </w:rPr>
  </w:style>
  <w:style w:type="character" w:customStyle="1" w:styleId="ListLabel1225">
    <w:name w:val="ListLabel 1225"/>
    <w:qFormat/>
    <w:rPr>
      <w:rFonts w:cs="Wingdings"/>
    </w:rPr>
  </w:style>
  <w:style w:type="character" w:customStyle="1" w:styleId="ListLabel1226">
    <w:name w:val="ListLabel 1226"/>
    <w:qFormat/>
    <w:rPr>
      <w:rFonts w:cs="Symbol"/>
    </w:rPr>
  </w:style>
  <w:style w:type="character" w:customStyle="1" w:styleId="ListLabel1227">
    <w:name w:val="ListLabel 1227"/>
    <w:qFormat/>
    <w:rPr>
      <w:rFonts w:cs="Courier New"/>
    </w:rPr>
  </w:style>
  <w:style w:type="character" w:customStyle="1" w:styleId="ListLabel1228">
    <w:name w:val="ListLabel 1228"/>
    <w:qFormat/>
    <w:rPr>
      <w:rFonts w:cs="Wingdings"/>
    </w:rPr>
  </w:style>
  <w:style w:type="character" w:customStyle="1" w:styleId="ListLabel1229">
    <w:name w:val="ListLabel 1229"/>
    <w:qFormat/>
    <w:rPr>
      <w:rFonts w:cs="Symbol"/>
    </w:rPr>
  </w:style>
  <w:style w:type="character" w:customStyle="1" w:styleId="ListLabel1230">
    <w:name w:val="ListLabel 1230"/>
    <w:qFormat/>
    <w:rPr>
      <w:rFonts w:cs="Courier New"/>
    </w:rPr>
  </w:style>
  <w:style w:type="character" w:customStyle="1" w:styleId="ListLabel1231">
    <w:name w:val="ListLabel 1231"/>
    <w:qFormat/>
    <w:rPr>
      <w:rFonts w:cs="Wingdings"/>
    </w:rPr>
  </w:style>
  <w:style w:type="character" w:customStyle="1" w:styleId="ListLabel1232">
    <w:name w:val="ListLabel 1232"/>
    <w:qFormat/>
    <w:rPr>
      <w:rFonts w:cs="Times New Roman"/>
      <w:b/>
      <w:sz w:val="20"/>
    </w:rPr>
  </w:style>
  <w:style w:type="character" w:customStyle="1" w:styleId="ListLabel1233">
    <w:name w:val="ListLabel 1233"/>
    <w:qFormat/>
    <w:rPr>
      <w:rFonts w:cs="Times New Roman"/>
    </w:rPr>
  </w:style>
  <w:style w:type="character" w:customStyle="1" w:styleId="ListLabel1234">
    <w:name w:val="ListLabel 1234"/>
    <w:qFormat/>
    <w:rPr>
      <w:rFonts w:cs="Times New Roman"/>
    </w:rPr>
  </w:style>
  <w:style w:type="character" w:customStyle="1" w:styleId="ListLabel1235">
    <w:name w:val="ListLabel 1235"/>
    <w:qFormat/>
    <w:rPr>
      <w:rFonts w:cs="Times New Roman"/>
    </w:rPr>
  </w:style>
  <w:style w:type="character" w:customStyle="1" w:styleId="ListLabel1236">
    <w:name w:val="ListLabel 1236"/>
    <w:qFormat/>
    <w:rPr>
      <w:rFonts w:cs="Times New Roman"/>
    </w:rPr>
  </w:style>
  <w:style w:type="character" w:customStyle="1" w:styleId="ListLabel1237">
    <w:name w:val="ListLabel 1237"/>
    <w:qFormat/>
    <w:rPr>
      <w:rFonts w:cs="Times New Roman"/>
    </w:rPr>
  </w:style>
  <w:style w:type="character" w:customStyle="1" w:styleId="ListLabel1238">
    <w:name w:val="ListLabel 1238"/>
    <w:qFormat/>
    <w:rPr>
      <w:rFonts w:cs="Times New Roman"/>
    </w:rPr>
  </w:style>
  <w:style w:type="character" w:customStyle="1" w:styleId="ListLabel1239">
    <w:name w:val="ListLabel 1239"/>
    <w:qFormat/>
    <w:rPr>
      <w:rFonts w:cs="Times New Roman"/>
    </w:rPr>
  </w:style>
  <w:style w:type="character" w:customStyle="1" w:styleId="ListLabel1240">
    <w:name w:val="ListLabel 1240"/>
    <w:qFormat/>
    <w:rPr>
      <w:rFonts w:cs="Times New Roman"/>
    </w:rPr>
  </w:style>
  <w:style w:type="character" w:customStyle="1" w:styleId="ListLabel1241">
    <w:name w:val="ListLabel 1241"/>
    <w:qFormat/>
    <w:rPr>
      <w:rFonts w:cs="Calibri"/>
    </w:rPr>
  </w:style>
  <w:style w:type="character" w:customStyle="1" w:styleId="ListLabel1242">
    <w:name w:val="ListLabel 1242"/>
    <w:qFormat/>
    <w:rPr>
      <w:rFonts w:cs="Courier New"/>
    </w:rPr>
  </w:style>
  <w:style w:type="character" w:customStyle="1" w:styleId="ListLabel1243">
    <w:name w:val="ListLabel 1243"/>
    <w:qFormat/>
    <w:rPr>
      <w:rFonts w:cs="Wingdings"/>
    </w:rPr>
  </w:style>
  <w:style w:type="character" w:customStyle="1" w:styleId="ListLabel1244">
    <w:name w:val="ListLabel 1244"/>
    <w:qFormat/>
    <w:rPr>
      <w:rFonts w:cs="Symbol"/>
    </w:rPr>
  </w:style>
  <w:style w:type="character" w:customStyle="1" w:styleId="ListLabel1245">
    <w:name w:val="ListLabel 1245"/>
    <w:qFormat/>
    <w:rPr>
      <w:rFonts w:cs="Courier New"/>
    </w:rPr>
  </w:style>
  <w:style w:type="character" w:customStyle="1" w:styleId="ListLabel1246">
    <w:name w:val="ListLabel 1246"/>
    <w:qFormat/>
    <w:rPr>
      <w:rFonts w:cs="Wingdings"/>
    </w:rPr>
  </w:style>
  <w:style w:type="character" w:customStyle="1" w:styleId="ListLabel1247">
    <w:name w:val="ListLabel 1247"/>
    <w:qFormat/>
    <w:rPr>
      <w:rFonts w:cs="Symbol"/>
    </w:rPr>
  </w:style>
  <w:style w:type="character" w:customStyle="1" w:styleId="ListLabel1248">
    <w:name w:val="ListLabel 1248"/>
    <w:qFormat/>
    <w:rPr>
      <w:rFonts w:cs="Courier New"/>
    </w:rPr>
  </w:style>
  <w:style w:type="character" w:customStyle="1" w:styleId="ListLabel1249">
    <w:name w:val="ListLabel 1249"/>
    <w:qFormat/>
    <w:rPr>
      <w:rFonts w:cs="Wingdings"/>
    </w:rPr>
  </w:style>
  <w:style w:type="character" w:customStyle="1" w:styleId="ListLabel1250">
    <w:name w:val="ListLabel 1250"/>
    <w:qFormat/>
    <w:rPr>
      <w:rFonts w:cs="Calibri"/>
    </w:rPr>
  </w:style>
  <w:style w:type="character" w:customStyle="1" w:styleId="ListLabel1251">
    <w:name w:val="ListLabel 1251"/>
    <w:qFormat/>
    <w:rPr>
      <w:rFonts w:cs="Courier New"/>
    </w:rPr>
  </w:style>
  <w:style w:type="character" w:customStyle="1" w:styleId="ListLabel1252">
    <w:name w:val="ListLabel 1252"/>
    <w:qFormat/>
    <w:rPr>
      <w:rFonts w:cs="Wingdings"/>
    </w:rPr>
  </w:style>
  <w:style w:type="character" w:customStyle="1" w:styleId="ListLabel1253">
    <w:name w:val="ListLabel 1253"/>
    <w:qFormat/>
    <w:rPr>
      <w:rFonts w:cs="Symbol"/>
    </w:rPr>
  </w:style>
  <w:style w:type="character" w:customStyle="1" w:styleId="ListLabel1254">
    <w:name w:val="ListLabel 1254"/>
    <w:qFormat/>
    <w:rPr>
      <w:rFonts w:cs="Courier New"/>
    </w:rPr>
  </w:style>
  <w:style w:type="character" w:customStyle="1" w:styleId="ListLabel1255">
    <w:name w:val="ListLabel 1255"/>
    <w:qFormat/>
    <w:rPr>
      <w:rFonts w:cs="Wingdings"/>
    </w:rPr>
  </w:style>
  <w:style w:type="character" w:customStyle="1" w:styleId="ListLabel1256">
    <w:name w:val="ListLabel 1256"/>
    <w:qFormat/>
    <w:rPr>
      <w:rFonts w:cs="Symbol"/>
    </w:rPr>
  </w:style>
  <w:style w:type="character" w:customStyle="1" w:styleId="ListLabel1257">
    <w:name w:val="ListLabel 1257"/>
    <w:qFormat/>
    <w:rPr>
      <w:rFonts w:cs="Courier New"/>
    </w:rPr>
  </w:style>
  <w:style w:type="character" w:customStyle="1" w:styleId="ListLabel1258">
    <w:name w:val="ListLabel 1258"/>
    <w:qFormat/>
    <w:rPr>
      <w:rFonts w:cs="Wingdings"/>
    </w:rPr>
  </w:style>
  <w:style w:type="character" w:customStyle="1" w:styleId="ListLabel1259">
    <w:name w:val="ListLabel 1259"/>
    <w:qFormat/>
    <w:rPr>
      <w:rFonts w:cs="Calibri"/>
      <w:sz w:val="24"/>
    </w:rPr>
  </w:style>
  <w:style w:type="character" w:customStyle="1" w:styleId="ListLabel1260">
    <w:name w:val="ListLabel 1260"/>
    <w:qFormat/>
    <w:rPr>
      <w:rFonts w:cs="Courier New"/>
    </w:rPr>
  </w:style>
  <w:style w:type="character" w:customStyle="1" w:styleId="ListLabel1261">
    <w:name w:val="ListLabel 1261"/>
    <w:qFormat/>
    <w:rPr>
      <w:rFonts w:cs="Wingdings"/>
    </w:rPr>
  </w:style>
  <w:style w:type="character" w:customStyle="1" w:styleId="ListLabel1262">
    <w:name w:val="ListLabel 1262"/>
    <w:qFormat/>
    <w:rPr>
      <w:rFonts w:cs="Symbol"/>
    </w:rPr>
  </w:style>
  <w:style w:type="character" w:customStyle="1" w:styleId="ListLabel1263">
    <w:name w:val="ListLabel 1263"/>
    <w:qFormat/>
    <w:rPr>
      <w:rFonts w:cs="Courier New"/>
    </w:rPr>
  </w:style>
  <w:style w:type="character" w:customStyle="1" w:styleId="ListLabel1264">
    <w:name w:val="ListLabel 1264"/>
    <w:qFormat/>
    <w:rPr>
      <w:rFonts w:cs="Wingdings"/>
    </w:rPr>
  </w:style>
  <w:style w:type="character" w:customStyle="1" w:styleId="ListLabel1265">
    <w:name w:val="ListLabel 1265"/>
    <w:qFormat/>
    <w:rPr>
      <w:rFonts w:cs="Symbol"/>
    </w:rPr>
  </w:style>
  <w:style w:type="character" w:customStyle="1" w:styleId="ListLabel1266">
    <w:name w:val="ListLabel 1266"/>
    <w:qFormat/>
    <w:rPr>
      <w:rFonts w:cs="Courier New"/>
    </w:rPr>
  </w:style>
  <w:style w:type="character" w:customStyle="1" w:styleId="ListLabel1267">
    <w:name w:val="ListLabel 1267"/>
    <w:qFormat/>
    <w:rPr>
      <w:rFonts w:cs="Wingdings"/>
    </w:rPr>
  </w:style>
  <w:style w:type="character" w:customStyle="1" w:styleId="ListLabel1268">
    <w:name w:val="ListLabel 1268"/>
    <w:qFormat/>
    <w:rPr>
      <w:rFonts w:cs="Calibri"/>
    </w:rPr>
  </w:style>
  <w:style w:type="character" w:customStyle="1" w:styleId="ListLabel1269">
    <w:name w:val="ListLabel 1269"/>
    <w:qFormat/>
    <w:rPr>
      <w:rFonts w:cs="Courier New"/>
    </w:rPr>
  </w:style>
  <w:style w:type="character" w:customStyle="1" w:styleId="ListLabel1270">
    <w:name w:val="ListLabel 1270"/>
    <w:qFormat/>
    <w:rPr>
      <w:rFonts w:cs="Wingdings"/>
    </w:rPr>
  </w:style>
  <w:style w:type="character" w:customStyle="1" w:styleId="ListLabel1271">
    <w:name w:val="ListLabel 1271"/>
    <w:qFormat/>
    <w:rPr>
      <w:rFonts w:cs="Symbol"/>
    </w:rPr>
  </w:style>
  <w:style w:type="character" w:customStyle="1" w:styleId="ListLabel1272">
    <w:name w:val="ListLabel 1272"/>
    <w:qFormat/>
    <w:rPr>
      <w:rFonts w:cs="Courier New"/>
    </w:rPr>
  </w:style>
  <w:style w:type="character" w:customStyle="1" w:styleId="ListLabel1273">
    <w:name w:val="ListLabel 1273"/>
    <w:qFormat/>
    <w:rPr>
      <w:rFonts w:cs="Wingdings"/>
    </w:rPr>
  </w:style>
  <w:style w:type="character" w:customStyle="1" w:styleId="ListLabel1274">
    <w:name w:val="ListLabel 1274"/>
    <w:qFormat/>
    <w:rPr>
      <w:rFonts w:cs="Symbol"/>
    </w:rPr>
  </w:style>
  <w:style w:type="character" w:customStyle="1" w:styleId="ListLabel1275">
    <w:name w:val="ListLabel 1275"/>
    <w:qFormat/>
    <w:rPr>
      <w:rFonts w:cs="Courier New"/>
    </w:rPr>
  </w:style>
  <w:style w:type="character" w:customStyle="1" w:styleId="ListLabel1276">
    <w:name w:val="ListLabel 1276"/>
    <w:qFormat/>
    <w:rPr>
      <w:rFonts w:cs="Wingdings"/>
    </w:rPr>
  </w:style>
  <w:style w:type="character" w:customStyle="1" w:styleId="ListLabel1277">
    <w:name w:val="ListLabel 1277"/>
    <w:qFormat/>
    <w:rPr>
      <w:rFonts w:cs="Calibri"/>
      <w:sz w:val="24"/>
    </w:rPr>
  </w:style>
  <w:style w:type="character" w:customStyle="1" w:styleId="ListLabel1278">
    <w:name w:val="ListLabel 1278"/>
    <w:qFormat/>
    <w:rPr>
      <w:rFonts w:cs="Courier New"/>
    </w:rPr>
  </w:style>
  <w:style w:type="character" w:customStyle="1" w:styleId="ListLabel1279">
    <w:name w:val="ListLabel 1279"/>
    <w:qFormat/>
    <w:rPr>
      <w:rFonts w:cs="Wingdings"/>
    </w:rPr>
  </w:style>
  <w:style w:type="character" w:customStyle="1" w:styleId="ListLabel1280">
    <w:name w:val="ListLabel 1280"/>
    <w:qFormat/>
    <w:rPr>
      <w:rFonts w:cs="Symbol"/>
    </w:rPr>
  </w:style>
  <w:style w:type="character" w:customStyle="1" w:styleId="ListLabel1281">
    <w:name w:val="ListLabel 1281"/>
    <w:qFormat/>
    <w:rPr>
      <w:rFonts w:cs="Courier New"/>
    </w:rPr>
  </w:style>
  <w:style w:type="character" w:customStyle="1" w:styleId="ListLabel1282">
    <w:name w:val="ListLabel 1282"/>
    <w:qFormat/>
    <w:rPr>
      <w:rFonts w:cs="Wingdings"/>
    </w:rPr>
  </w:style>
  <w:style w:type="character" w:customStyle="1" w:styleId="ListLabel1283">
    <w:name w:val="ListLabel 1283"/>
    <w:qFormat/>
    <w:rPr>
      <w:rFonts w:cs="Symbol"/>
    </w:rPr>
  </w:style>
  <w:style w:type="character" w:customStyle="1" w:styleId="ListLabel1284">
    <w:name w:val="ListLabel 1284"/>
    <w:qFormat/>
    <w:rPr>
      <w:rFonts w:cs="Courier New"/>
    </w:rPr>
  </w:style>
  <w:style w:type="character" w:customStyle="1" w:styleId="ListLabel1285">
    <w:name w:val="ListLabel 1285"/>
    <w:qFormat/>
    <w:rPr>
      <w:rFonts w:cs="Wingdings"/>
    </w:rPr>
  </w:style>
  <w:style w:type="character" w:customStyle="1" w:styleId="ListLabel1286">
    <w:name w:val="ListLabel 1286"/>
    <w:qFormat/>
    <w:rPr>
      <w:rFonts w:cs="Times New Roman"/>
      <w:b/>
      <w:sz w:val="24"/>
    </w:rPr>
  </w:style>
  <w:style w:type="character" w:customStyle="1" w:styleId="ListLabel1287">
    <w:name w:val="ListLabel 1287"/>
    <w:qFormat/>
    <w:rPr>
      <w:rFonts w:cs="Times New Roman"/>
    </w:rPr>
  </w:style>
  <w:style w:type="character" w:customStyle="1" w:styleId="ListLabel1288">
    <w:name w:val="ListLabel 1288"/>
    <w:qFormat/>
    <w:rPr>
      <w:rFonts w:cs="Times New Roman"/>
    </w:rPr>
  </w:style>
  <w:style w:type="character" w:customStyle="1" w:styleId="ListLabel1289">
    <w:name w:val="ListLabel 1289"/>
    <w:qFormat/>
    <w:rPr>
      <w:rFonts w:cs="Times New Roman"/>
    </w:rPr>
  </w:style>
  <w:style w:type="character" w:customStyle="1" w:styleId="ListLabel1290">
    <w:name w:val="ListLabel 1290"/>
    <w:qFormat/>
    <w:rPr>
      <w:rFonts w:cs="Times New Roman"/>
    </w:rPr>
  </w:style>
  <w:style w:type="character" w:customStyle="1" w:styleId="ListLabel1291">
    <w:name w:val="ListLabel 1291"/>
    <w:qFormat/>
    <w:rPr>
      <w:rFonts w:cs="Times New Roman"/>
    </w:rPr>
  </w:style>
  <w:style w:type="character" w:customStyle="1" w:styleId="ListLabel1292">
    <w:name w:val="ListLabel 1292"/>
    <w:qFormat/>
    <w:rPr>
      <w:rFonts w:cs="Times New Roman"/>
    </w:rPr>
  </w:style>
  <w:style w:type="character" w:customStyle="1" w:styleId="ListLabel1293">
    <w:name w:val="ListLabel 1293"/>
    <w:qFormat/>
    <w:rPr>
      <w:rFonts w:cs="Times New Roman"/>
    </w:rPr>
  </w:style>
  <w:style w:type="character" w:customStyle="1" w:styleId="ListLabel1294">
    <w:name w:val="ListLabel 1294"/>
    <w:qFormat/>
    <w:rPr>
      <w:rFonts w:cs="Times New Roman"/>
    </w:rPr>
  </w:style>
  <w:style w:type="character" w:customStyle="1" w:styleId="ListLabel1295">
    <w:name w:val="ListLabel 1295"/>
    <w:qFormat/>
    <w:rPr>
      <w:rFonts w:cs="Calibri"/>
      <w:sz w:val="24"/>
    </w:rPr>
  </w:style>
  <w:style w:type="character" w:customStyle="1" w:styleId="ListLabel1296">
    <w:name w:val="ListLabel 1296"/>
    <w:qFormat/>
    <w:rPr>
      <w:rFonts w:cs="Courier New"/>
    </w:rPr>
  </w:style>
  <w:style w:type="character" w:customStyle="1" w:styleId="ListLabel1297">
    <w:name w:val="ListLabel 1297"/>
    <w:qFormat/>
    <w:rPr>
      <w:rFonts w:cs="Wingdings"/>
    </w:rPr>
  </w:style>
  <w:style w:type="character" w:customStyle="1" w:styleId="ListLabel1298">
    <w:name w:val="ListLabel 1298"/>
    <w:qFormat/>
    <w:rPr>
      <w:rFonts w:cs="Symbol"/>
    </w:rPr>
  </w:style>
  <w:style w:type="character" w:customStyle="1" w:styleId="ListLabel1299">
    <w:name w:val="ListLabel 1299"/>
    <w:qFormat/>
    <w:rPr>
      <w:rFonts w:cs="Courier New"/>
    </w:rPr>
  </w:style>
  <w:style w:type="character" w:customStyle="1" w:styleId="ListLabel1300">
    <w:name w:val="ListLabel 1300"/>
    <w:qFormat/>
    <w:rPr>
      <w:rFonts w:cs="Wingdings"/>
    </w:rPr>
  </w:style>
  <w:style w:type="character" w:customStyle="1" w:styleId="ListLabel1301">
    <w:name w:val="ListLabel 1301"/>
    <w:qFormat/>
    <w:rPr>
      <w:rFonts w:cs="Symbol"/>
    </w:rPr>
  </w:style>
  <w:style w:type="character" w:customStyle="1" w:styleId="ListLabel1302">
    <w:name w:val="ListLabel 1302"/>
    <w:qFormat/>
    <w:rPr>
      <w:rFonts w:cs="Courier New"/>
    </w:rPr>
  </w:style>
  <w:style w:type="character" w:customStyle="1" w:styleId="ListLabel1303">
    <w:name w:val="ListLabel 1303"/>
    <w:qFormat/>
    <w:rPr>
      <w:rFonts w:cs="Wingdings"/>
    </w:rPr>
  </w:style>
  <w:style w:type="character" w:customStyle="1" w:styleId="ListLabel1304">
    <w:name w:val="ListLabel 1304"/>
    <w:qFormat/>
    <w:rPr>
      <w:rFonts w:cs="Times New Roman"/>
      <w:sz w:val="24"/>
    </w:rPr>
  </w:style>
  <w:style w:type="character" w:customStyle="1" w:styleId="ListLabel1305">
    <w:name w:val="ListLabel 1305"/>
    <w:qFormat/>
    <w:rPr>
      <w:rFonts w:cs="Times New Roman"/>
    </w:rPr>
  </w:style>
  <w:style w:type="character" w:customStyle="1" w:styleId="ListLabel1306">
    <w:name w:val="ListLabel 1306"/>
    <w:qFormat/>
    <w:rPr>
      <w:rFonts w:cs="Times New Roman"/>
    </w:rPr>
  </w:style>
  <w:style w:type="character" w:customStyle="1" w:styleId="ListLabel1307">
    <w:name w:val="ListLabel 1307"/>
    <w:qFormat/>
    <w:rPr>
      <w:rFonts w:cs="Times New Roman"/>
    </w:rPr>
  </w:style>
  <w:style w:type="character" w:customStyle="1" w:styleId="ListLabel1308">
    <w:name w:val="ListLabel 1308"/>
    <w:qFormat/>
    <w:rPr>
      <w:rFonts w:cs="Times New Roman"/>
    </w:rPr>
  </w:style>
  <w:style w:type="character" w:customStyle="1" w:styleId="ListLabel1309">
    <w:name w:val="ListLabel 1309"/>
    <w:qFormat/>
    <w:rPr>
      <w:rFonts w:cs="Times New Roman"/>
    </w:rPr>
  </w:style>
  <w:style w:type="character" w:customStyle="1" w:styleId="ListLabel1310">
    <w:name w:val="ListLabel 1310"/>
    <w:qFormat/>
    <w:rPr>
      <w:rFonts w:cs="Times New Roman"/>
    </w:rPr>
  </w:style>
  <w:style w:type="character" w:customStyle="1" w:styleId="ListLabel1311">
    <w:name w:val="ListLabel 1311"/>
    <w:qFormat/>
    <w:rPr>
      <w:rFonts w:cs="Times New Roman"/>
    </w:rPr>
  </w:style>
  <w:style w:type="character" w:customStyle="1" w:styleId="ListLabel1312">
    <w:name w:val="ListLabel 1312"/>
    <w:qFormat/>
    <w:rPr>
      <w:rFonts w:cs="Times New Roman"/>
    </w:rPr>
  </w:style>
  <w:style w:type="character" w:customStyle="1" w:styleId="ListLabel1313">
    <w:name w:val="ListLabel 1313"/>
    <w:qFormat/>
    <w:rPr>
      <w:rFonts w:cs="Calibri"/>
      <w:sz w:val="24"/>
    </w:rPr>
  </w:style>
  <w:style w:type="character" w:customStyle="1" w:styleId="ListLabel1314">
    <w:name w:val="ListLabel 1314"/>
    <w:qFormat/>
    <w:rPr>
      <w:rFonts w:cs="Courier New"/>
    </w:rPr>
  </w:style>
  <w:style w:type="character" w:customStyle="1" w:styleId="ListLabel1315">
    <w:name w:val="ListLabel 1315"/>
    <w:qFormat/>
    <w:rPr>
      <w:rFonts w:cs="Wingdings"/>
    </w:rPr>
  </w:style>
  <w:style w:type="character" w:customStyle="1" w:styleId="ListLabel1316">
    <w:name w:val="ListLabel 1316"/>
    <w:qFormat/>
    <w:rPr>
      <w:rFonts w:cs="Symbol"/>
    </w:rPr>
  </w:style>
  <w:style w:type="character" w:customStyle="1" w:styleId="ListLabel1317">
    <w:name w:val="ListLabel 1317"/>
    <w:qFormat/>
    <w:rPr>
      <w:rFonts w:cs="Courier New"/>
    </w:rPr>
  </w:style>
  <w:style w:type="character" w:customStyle="1" w:styleId="ListLabel1318">
    <w:name w:val="ListLabel 1318"/>
    <w:qFormat/>
    <w:rPr>
      <w:rFonts w:cs="Wingdings"/>
    </w:rPr>
  </w:style>
  <w:style w:type="character" w:customStyle="1" w:styleId="ListLabel1319">
    <w:name w:val="ListLabel 1319"/>
    <w:qFormat/>
    <w:rPr>
      <w:rFonts w:cs="Symbol"/>
    </w:rPr>
  </w:style>
  <w:style w:type="character" w:customStyle="1" w:styleId="ListLabel1320">
    <w:name w:val="ListLabel 1320"/>
    <w:qFormat/>
    <w:rPr>
      <w:rFonts w:cs="Courier New"/>
    </w:rPr>
  </w:style>
  <w:style w:type="character" w:customStyle="1" w:styleId="ListLabel1321">
    <w:name w:val="ListLabel 1321"/>
    <w:qFormat/>
    <w:rPr>
      <w:rFonts w:cs="Wingdings"/>
    </w:rPr>
  </w:style>
  <w:style w:type="character" w:customStyle="1" w:styleId="ListLabel1322">
    <w:name w:val="ListLabel 1322"/>
    <w:qFormat/>
    <w:rPr>
      <w:rFonts w:cs="Calibri"/>
      <w:sz w:val="24"/>
    </w:rPr>
  </w:style>
  <w:style w:type="character" w:customStyle="1" w:styleId="ListLabel1323">
    <w:name w:val="ListLabel 1323"/>
    <w:qFormat/>
    <w:rPr>
      <w:rFonts w:cs="Courier New"/>
    </w:rPr>
  </w:style>
  <w:style w:type="character" w:customStyle="1" w:styleId="ListLabel1324">
    <w:name w:val="ListLabel 1324"/>
    <w:qFormat/>
    <w:rPr>
      <w:rFonts w:cs="Wingdings"/>
    </w:rPr>
  </w:style>
  <w:style w:type="character" w:customStyle="1" w:styleId="ListLabel1325">
    <w:name w:val="ListLabel 1325"/>
    <w:qFormat/>
    <w:rPr>
      <w:rFonts w:cs="Symbol"/>
    </w:rPr>
  </w:style>
  <w:style w:type="character" w:customStyle="1" w:styleId="ListLabel1326">
    <w:name w:val="ListLabel 1326"/>
    <w:qFormat/>
    <w:rPr>
      <w:rFonts w:cs="Courier New"/>
    </w:rPr>
  </w:style>
  <w:style w:type="character" w:customStyle="1" w:styleId="ListLabel1327">
    <w:name w:val="ListLabel 1327"/>
    <w:qFormat/>
    <w:rPr>
      <w:rFonts w:cs="Wingdings"/>
    </w:rPr>
  </w:style>
  <w:style w:type="character" w:customStyle="1" w:styleId="ListLabel1328">
    <w:name w:val="ListLabel 1328"/>
    <w:qFormat/>
    <w:rPr>
      <w:rFonts w:cs="Symbol"/>
    </w:rPr>
  </w:style>
  <w:style w:type="character" w:customStyle="1" w:styleId="ListLabel1329">
    <w:name w:val="ListLabel 1329"/>
    <w:qFormat/>
    <w:rPr>
      <w:rFonts w:cs="Courier New"/>
    </w:rPr>
  </w:style>
  <w:style w:type="character" w:customStyle="1" w:styleId="ListLabel1330">
    <w:name w:val="ListLabel 1330"/>
    <w:qFormat/>
    <w:rPr>
      <w:rFonts w:cs="Wingdings"/>
    </w:rPr>
  </w:style>
  <w:style w:type="character" w:customStyle="1" w:styleId="ListLabel1331">
    <w:name w:val="ListLabel 1331"/>
    <w:qFormat/>
    <w:rPr>
      <w:rFonts w:cs="Calibri"/>
      <w:sz w:val="24"/>
    </w:rPr>
  </w:style>
  <w:style w:type="character" w:customStyle="1" w:styleId="ListLabel1332">
    <w:name w:val="ListLabel 1332"/>
    <w:qFormat/>
    <w:rPr>
      <w:rFonts w:cs="Courier New"/>
    </w:rPr>
  </w:style>
  <w:style w:type="character" w:customStyle="1" w:styleId="ListLabel1333">
    <w:name w:val="ListLabel 1333"/>
    <w:qFormat/>
    <w:rPr>
      <w:rFonts w:cs="Wingdings"/>
    </w:rPr>
  </w:style>
  <w:style w:type="character" w:customStyle="1" w:styleId="ListLabel1334">
    <w:name w:val="ListLabel 1334"/>
    <w:qFormat/>
    <w:rPr>
      <w:rFonts w:cs="Symbol"/>
    </w:rPr>
  </w:style>
  <w:style w:type="character" w:customStyle="1" w:styleId="ListLabel1335">
    <w:name w:val="ListLabel 1335"/>
    <w:qFormat/>
    <w:rPr>
      <w:rFonts w:cs="Courier New"/>
    </w:rPr>
  </w:style>
  <w:style w:type="character" w:customStyle="1" w:styleId="ListLabel1336">
    <w:name w:val="ListLabel 1336"/>
    <w:qFormat/>
    <w:rPr>
      <w:rFonts w:cs="Wingdings"/>
    </w:rPr>
  </w:style>
  <w:style w:type="character" w:customStyle="1" w:styleId="ListLabel1337">
    <w:name w:val="ListLabel 1337"/>
    <w:qFormat/>
    <w:rPr>
      <w:rFonts w:cs="Symbol"/>
    </w:rPr>
  </w:style>
  <w:style w:type="character" w:customStyle="1" w:styleId="ListLabel1338">
    <w:name w:val="ListLabel 1338"/>
    <w:qFormat/>
    <w:rPr>
      <w:rFonts w:cs="Courier New"/>
    </w:rPr>
  </w:style>
  <w:style w:type="character" w:customStyle="1" w:styleId="ListLabel1339">
    <w:name w:val="ListLabel 1339"/>
    <w:qFormat/>
    <w:rPr>
      <w:rFonts w:cs="Wingdings"/>
    </w:rPr>
  </w:style>
  <w:style w:type="character" w:customStyle="1" w:styleId="ListLabel1340">
    <w:name w:val="ListLabel 1340"/>
    <w:qFormat/>
    <w:rPr>
      <w:rFonts w:cs="Calibri"/>
      <w:sz w:val="24"/>
    </w:rPr>
  </w:style>
  <w:style w:type="character" w:customStyle="1" w:styleId="ListLabel1341">
    <w:name w:val="ListLabel 1341"/>
    <w:qFormat/>
    <w:rPr>
      <w:rFonts w:cs="Courier New"/>
    </w:rPr>
  </w:style>
  <w:style w:type="character" w:customStyle="1" w:styleId="ListLabel1342">
    <w:name w:val="ListLabel 1342"/>
    <w:qFormat/>
    <w:rPr>
      <w:rFonts w:cs="Wingdings"/>
    </w:rPr>
  </w:style>
  <w:style w:type="character" w:customStyle="1" w:styleId="ListLabel1343">
    <w:name w:val="ListLabel 1343"/>
    <w:qFormat/>
    <w:rPr>
      <w:rFonts w:cs="Symbol"/>
    </w:rPr>
  </w:style>
  <w:style w:type="character" w:customStyle="1" w:styleId="ListLabel1344">
    <w:name w:val="ListLabel 1344"/>
    <w:qFormat/>
    <w:rPr>
      <w:rFonts w:cs="Courier New"/>
    </w:rPr>
  </w:style>
  <w:style w:type="character" w:customStyle="1" w:styleId="ListLabel1345">
    <w:name w:val="ListLabel 1345"/>
    <w:qFormat/>
    <w:rPr>
      <w:rFonts w:cs="Wingdings"/>
    </w:rPr>
  </w:style>
  <w:style w:type="character" w:customStyle="1" w:styleId="ListLabel1346">
    <w:name w:val="ListLabel 1346"/>
    <w:qFormat/>
    <w:rPr>
      <w:rFonts w:cs="Symbol"/>
    </w:rPr>
  </w:style>
  <w:style w:type="character" w:customStyle="1" w:styleId="ListLabel1347">
    <w:name w:val="ListLabel 1347"/>
    <w:qFormat/>
    <w:rPr>
      <w:rFonts w:cs="Courier New"/>
    </w:rPr>
  </w:style>
  <w:style w:type="character" w:customStyle="1" w:styleId="ListLabel1348">
    <w:name w:val="ListLabel 1348"/>
    <w:qFormat/>
    <w:rPr>
      <w:rFonts w:cs="Wingdings"/>
    </w:rPr>
  </w:style>
  <w:style w:type="character" w:customStyle="1" w:styleId="ListLabel1349">
    <w:name w:val="ListLabel 1349"/>
    <w:qFormat/>
    <w:rPr>
      <w:rFonts w:cs="Calibri"/>
      <w:sz w:val="24"/>
    </w:rPr>
  </w:style>
  <w:style w:type="character" w:customStyle="1" w:styleId="ListLabel1350">
    <w:name w:val="ListLabel 1350"/>
    <w:qFormat/>
    <w:rPr>
      <w:rFonts w:cs="Courier New"/>
    </w:rPr>
  </w:style>
  <w:style w:type="character" w:customStyle="1" w:styleId="ListLabel1351">
    <w:name w:val="ListLabel 1351"/>
    <w:qFormat/>
    <w:rPr>
      <w:rFonts w:cs="Wingdings"/>
    </w:rPr>
  </w:style>
  <w:style w:type="character" w:customStyle="1" w:styleId="ListLabel1352">
    <w:name w:val="ListLabel 1352"/>
    <w:qFormat/>
    <w:rPr>
      <w:rFonts w:cs="Symbol"/>
    </w:rPr>
  </w:style>
  <w:style w:type="character" w:customStyle="1" w:styleId="ListLabel1353">
    <w:name w:val="ListLabel 1353"/>
    <w:qFormat/>
    <w:rPr>
      <w:rFonts w:cs="Courier New"/>
    </w:rPr>
  </w:style>
  <w:style w:type="character" w:customStyle="1" w:styleId="ListLabel1354">
    <w:name w:val="ListLabel 1354"/>
    <w:qFormat/>
    <w:rPr>
      <w:rFonts w:cs="Wingdings"/>
    </w:rPr>
  </w:style>
  <w:style w:type="character" w:customStyle="1" w:styleId="ListLabel1355">
    <w:name w:val="ListLabel 1355"/>
    <w:qFormat/>
    <w:rPr>
      <w:rFonts w:cs="Symbol"/>
    </w:rPr>
  </w:style>
  <w:style w:type="character" w:customStyle="1" w:styleId="ListLabel1356">
    <w:name w:val="ListLabel 1356"/>
    <w:qFormat/>
    <w:rPr>
      <w:rFonts w:cs="Courier New"/>
    </w:rPr>
  </w:style>
  <w:style w:type="character" w:customStyle="1" w:styleId="ListLabel1357">
    <w:name w:val="ListLabel 1357"/>
    <w:qFormat/>
    <w:rPr>
      <w:rFonts w:cs="Wingdings"/>
    </w:rPr>
  </w:style>
  <w:style w:type="character" w:customStyle="1" w:styleId="ListLabel1358">
    <w:name w:val="ListLabel 1358"/>
    <w:qFormat/>
    <w:rPr>
      <w:rFonts w:cs="Calibri"/>
      <w:sz w:val="24"/>
    </w:rPr>
  </w:style>
  <w:style w:type="character" w:customStyle="1" w:styleId="ListLabel1359">
    <w:name w:val="ListLabel 1359"/>
    <w:qFormat/>
    <w:rPr>
      <w:rFonts w:cs="Courier New"/>
    </w:rPr>
  </w:style>
  <w:style w:type="character" w:customStyle="1" w:styleId="ListLabel1360">
    <w:name w:val="ListLabel 1360"/>
    <w:qFormat/>
    <w:rPr>
      <w:rFonts w:cs="Wingdings"/>
    </w:rPr>
  </w:style>
  <w:style w:type="character" w:customStyle="1" w:styleId="ListLabel1361">
    <w:name w:val="ListLabel 1361"/>
    <w:qFormat/>
    <w:rPr>
      <w:rFonts w:cs="Symbol"/>
    </w:rPr>
  </w:style>
  <w:style w:type="character" w:customStyle="1" w:styleId="ListLabel1362">
    <w:name w:val="ListLabel 1362"/>
    <w:qFormat/>
    <w:rPr>
      <w:rFonts w:cs="Courier New"/>
    </w:rPr>
  </w:style>
  <w:style w:type="character" w:customStyle="1" w:styleId="ListLabel1363">
    <w:name w:val="ListLabel 1363"/>
    <w:qFormat/>
    <w:rPr>
      <w:rFonts w:cs="Wingdings"/>
    </w:rPr>
  </w:style>
  <w:style w:type="character" w:customStyle="1" w:styleId="ListLabel1364">
    <w:name w:val="ListLabel 1364"/>
    <w:qFormat/>
    <w:rPr>
      <w:rFonts w:cs="Symbol"/>
    </w:rPr>
  </w:style>
  <w:style w:type="character" w:customStyle="1" w:styleId="ListLabel1365">
    <w:name w:val="ListLabel 1365"/>
    <w:qFormat/>
    <w:rPr>
      <w:rFonts w:cs="Courier New"/>
    </w:rPr>
  </w:style>
  <w:style w:type="character" w:customStyle="1" w:styleId="ListLabel1366">
    <w:name w:val="ListLabel 1366"/>
    <w:qFormat/>
    <w:rPr>
      <w:rFonts w:cs="Wingdings"/>
    </w:rPr>
  </w:style>
  <w:style w:type="character" w:customStyle="1" w:styleId="ListLabel1367">
    <w:name w:val="ListLabel 1367"/>
    <w:qFormat/>
    <w:rPr>
      <w:rFonts w:cs="Calibri"/>
      <w:sz w:val="24"/>
    </w:rPr>
  </w:style>
  <w:style w:type="character" w:customStyle="1" w:styleId="ListLabel1368">
    <w:name w:val="ListLabel 1368"/>
    <w:qFormat/>
    <w:rPr>
      <w:rFonts w:cs="Courier New"/>
    </w:rPr>
  </w:style>
  <w:style w:type="character" w:customStyle="1" w:styleId="ListLabel1369">
    <w:name w:val="ListLabel 1369"/>
    <w:qFormat/>
    <w:rPr>
      <w:rFonts w:cs="Wingdings"/>
    </w:rPr>
  </w:style>
  <w:style w:type="character" w:customStyle="1" w:styleId="ListLabel1370">
    <w:name w:val="ListLabel 1370"/>
    <w:qFormat/>
    <w:rPr>
      <w:rFonts w:cs="Symbol"/>
    </w:rPr>
  </w:style>
  <w:style w:type="character" w:customStyle="1" w:styleId="ListLabel1371">
    <w:name w:val="ListLabel 1371"/>
    <w:qFormat/>
    <w:rPr>
      <w:rFonts w:cs="Courier New"/>
    </w:rPr>
  </w:style>
  <w:style w:type="character" w:customStyle="1" w:styleId="ListLabel1372">
    <w:name w:val="ListLabel 1372"/>
    <w:qFormat/>
    <w:rPr>
      <w:rFonts w:cs="Wingdings"/>
    </w:rPr>
  </w:style>
  <w:style w:type="character" w:customStyle="1" w:styleId="ListLabel1373">
    <w:name w:val="ListLabel 1373"/>
    <w:qFormat/>
    <w:rPr>
      <w:rFonts w:cs="Symbol"/>
    </w:rPr>
  </w:style>
  <w:style w:type="character" w:customStyle="1" w:styleId="ListLabel1374">
    <w:name w:val="ListLabel 1374"/>
    <w:qFormat/>
    <w:rPr>
      <w:rFonts w:cs="Courier New"/>
    </w:rPr>
  </w:style>
  <w:style w:type="character" w:customStyle="1" w:styleId="ListLabel1375">
    <w:name w:val="ListLabel 1375"/>
    <w:qFormat/>
    <w:rPr>
      <w:rFonts w:cs="Wingdings"/>
    </w:rPr>
  </w:style>
  <w:style w:type="character" w:customStyle="1" w:styleId="ListLabel1376">
    <w:name w:val="ListLabel 1376"/>
    <w:qFormat/>
    <w:rPr>
      <w:rFonts w:cs="Calibri"/>
    </w:rPr>
  </w:style>
  <w:style w:type="character" w:customStyle="1" w:styleId="ListLabel1377">
    <w:name w:val="ListLabel 1377"/>
    <w:qFormat/>
    <w:rPr>
      <w:rFonts w:cs="Courier New"/>
    </w:rPr>
  </w:style>
  <w:style w:type="character" w:customStyle="1" w:styleId="ListLabel1378">
    <w:name w:val="ListLabel 1378"/>
    <w:qFormat/>
    <w:rPr>
      <w:rFonts w:cs="Wingdings"/>
    </w:rPr>
  </w:style>
  <w:style w:type="character" w:customStyle="1" w:styleId="ListLabel1379">
    <w:name w:val="ListLabel 1379"/>
    <w:qFormat/>
    <w:rPr>
      <w:rFonts w:cs="Symbol"/>
    </w:rPr>
  </w:style>
  <w:style w:type="character" w:customStyle="1" w:styleId="ListLabel1380">
    <w:name w:val="ListLabel 1380"/>
    <w:qFormat/>
    <w:rPr>
      <w:rFonts w:cs="Courier New"/>
    </w:rPr>
  </w:style>
  <w:style w:type="character" w:customStyle="1" w:styleId="ListLabel1381">
    <w:name w:val="ListLabel 1381"/>
    <w:qFormat/>
    <w:rPr>
      <w:rFonts w:cs="Wingdings"/>
    </w:rPr>
  </w:style>
  <w:style w:type="character" w:customStyle="1" w:styleId="ListLabel1382">
    <w:name w:val="ListLabel 1382"/>
    <w:qFormat/>
    <w:rPr>
      <w:rFonts w:cs="Symbol"/>
    </w:rPr>
  </w:style>
  <w:style w:type="character" w:customStyle="1" w:styleId="ListLabel1383">
    <w:name w:val="ListLabel 1383"/>
    <w:qFormat/>
    <w:rPr>
      <w:rFonts w:cs="Courier New"/>
    </w:rPr>
  </w:style>
  <w:style w:type="character" w:customStyle="1" w:styleId="ListLabel1384">
    <w:name w:val="ListLabel 1384"/>
    <w:qFormat/>
    <w:rPr>
      <w:rFonts w:cs="Wingdings"/>
    </w:rPr>
  </w:style>
  <w:style w:type="character" w:customStyle="1" w:styleId="ListLabel1385">
    <w:name w:val="ListLabel 1385"/>
    <w:qFormat/>
    <w:rPr>
      <w:rFonts w:cs="Times New Roman"/>
      <w:sz w:val="20"/>
    </w:rPr>
  </w:style>
  <w:style w:type="character" w:customStyle="1" w:styleId="ListLabel1386">
    <w:name w:val="ListLabel 1386"/>
    <w:qFormat/>
    <w:rPr>
      <w:rFonts w:cs="Times New Roman"/>
    </w:rPr>
  </w:style>
  <w:style w:type="character" w:customStyle="1" w:styleId="ListLabel1387">
    <w:name w:val="ListLabel 1387"/>
    <w:qFormat/>
    <w:rPr>
      <w:rFonts w:cs="Times New Roman"/>
    </w:rPr>
  </w:style>
  <w:style w:type="character" w:customStyle="1" w:styleId="ListLabel1388">
    <w:name w:val="ListLabel 1388"/>
    <w:qFormat/>
    <w:rPr>
      <w:rFonts w:cs="Times New Roman"/>
    </w:rPr>
  </w:style>
  <w:style w:type="character" w:customStyle="1" w:styleId="ListLabel1389">
    <w:name w:val="ListLabel 1389"/>
    <w:qFormat/>
    <w:rPr>
      <w:rFonts w:cs="Times New Roman"/>
    </w:rPr>
  </w:style>
  <w:style w:type="character" w:customStyle="1" w:styleId="ListLabel1390">
    <w:name w:val="ListLabel 1390"/>
    <w:qFormat/>
    <w:rPr>
      <w:rFonts w:cs="Times New Roman"/>
    </w:rPr>
  </w:style>
  <w:style w:type="character" w:customStyle="1" w:styleId="ListLabel1391">
    <w:name w:val="ListLabel 1391"/>
    <w:qFormat/>
    <w:rPr>
      <w:rFonts w:cs="Times New Roman"/>
    </w:rPr>
  </w:style>
  <w:style w:type="character" w:customStyle="1" w:styleId="ListLabel1392">
    <w:name w:val="ListLabel 1392"/>
    <w:qFormat/>
    <w:rPr>
      <w:rFonts w:cs="Times New Roman"/>
    </w:rPr>
  </w:style>
  <w:style w:type="character" w:customStyle="1" w:styleId="ListLabel1393">
    <w:name w:val="ListLabel 1393"/>
    <w:qFormat/>
    <w:rPr>
      <w:rFonts w:cs="Times New Roman"/>
    </w:rPr>
  </w:style>
  <w:style w:type="character" w:customStyle="1" w:styleId="ListLabel1394">
    <w:name w:val="ListLabel 1394"/>
    <w:qFormat/>
    <w:rPr>
      <w:rFonts w:cs="Calibri"/>
    </w:rPr>
  </w:style>
  <w:style w:type="character" w:customStyle="1" w:styleId="ListLabel1395">
    <w:name w:val="ListLabel 1395"/>
    <w:qFormat/>
    <w:rPr>
      <w:rFonts w:cs="Courier New"/>
    </w:rPr>
  </w:style>
  <w:style w:type="character" w:customStyle="1" w:styleId="ListLabel1396">
    <w:name w:val="ListLabel 1396"/>
    <w:qFormat/>
    <w:rPr>
      <w:rFonts w:cs="Wingdings"/>
    </w:rPr>
  </w:style>
  <w:style w:type="character" w:customStyle="1" w:styleId="ListLabel1397">
    <w:name w:val="ListLabel 1397"/>
    <w:qFormat/>
    <w:rPr>
      <w:rFonts w:cs="Symbol"/>
    </w:rPr>
  </w:style>
  <w:style w:type="character" w:customStyle="1" w:styleId="ListLabel1398">
    <w:name w:val="ListLabel 1398"/>
    <w:qFormat/>
    <w:rPr>
      <w:rFonts w:cs="Courier New"/>
    </w:rPr>
  </w:style>
  <w:style w:type="character" w:customStyle="1" w:styleId="ListLabel1399">
    <w:name w:val="ListLabel 1399"/>
    <w:qFormat/>
    <w:rPr>
      <w:rFonts w:cs="Wingdings"/>
    </w:rPr>
  </w:style>
  <w:style w:type="character" w:customStyle="1" w:styleId="ListLabel1400">
    <w:name w:val="ListLabel 1400"/>
    <w:qFormat/>
    <w:rPr>
      <w:rFonts w:cs="Symbol"/>
    </w:rPr>
  </w:style>
  <w:style w:type="character" w:customStyle="1" w:styleId="ListLabel1401">
    <w:name w:val="ListLabel 1401"/>
    <w:qFormat/>
    <w:rPr>
      <w:rFonts w:cs="Courier New"/>
    </w:rPr>
  </w:style>
  <w:style w:type="character" w:customStyle="1" w:styleId="ListLabel1402">
    <w:name w:val="ListLabel 1402"/>
    <w:qFormat/>
    <w:rPr>
      <w:rFonts w:cs="Wingdings"/>
    </w:rPr>
  </w:style>
  <w:style w:type="character" w:customStyle="1" w:styleId="ListLabel1403">
    <w:name w:val="ListLabel 1403"/>
    <w:qFormat/>
    <w:rPr>
      <w:rFonts w:cs="Calibri"/>
    </w:rPr>
  </w:style>
  <w:style w:type="character" w:customStyle="1" w:styleId="ListLabel1404">
    <w:name w:val="ListLabel 1404"/>
    <w:qFormat/>
    <w:rPr>
      <w:rFonts w:cs="Courier New"/>
    </w:rPr>
  </w:style>
  <w:style w:type="character" w:customStyle="1" w:styleId="ListLabel1405">
    <w:name w:val="ListLabel 1405"/>
    <w:qFormat/>
    <w:rPr>
      <w:rFonts w:cs="Wingdings"/>
    </w:rPr>
  </w:style>
  <w:style w:type="character" w:customStyle="1" w:styleId="ListLabel1406">
    <w:name w:val="ListLabel 1406"/>
    <w:qFormat/>
    <w:rPr>
      <w:rFonts w:cs="Symbol"/>
    </w:rPr>
  </w:style>
  <w:style w:type="character" w:customStyle="1" w:styleId="ListLabel1407">
    <w:name w:val="ListLabel 1407"/>
    <w:qFormat/>
    <w:rPr>
      <w:rFonts w:cs="Courier New"/>
    </w:rPr>
  </w:style>
  <w:style w:type="character" w:customStyle="1" w:styleId="ListLabel1408">
    <w:name w:val="ListLabel 1408"/>
    <w:qFormat/>
    <w:rPr>
      <w:rFonts w:cs="Wingdings"/>
    </w:rPr>
  </w:style>
  <w:style w:type="character" w:customStyle="1" w:styleId="ListLabel1409">
    <w:name w:val="ListLabel 1409"/>
    <w:qFormat/>
    <w:rPr>
      <w:rFonts w:cs="Symbol"/>
    </w:rPr>
  </w:style>
  <w:style w:type="character" w:customStyle="1" w:styleId="ListLabel1410">
    <w:name w:val="ListLabel 1410"/>
    <w:qFormat/>
    <w:rPr>
      <w:rFonts w:cs="Courier New"/>
    </w:rPr>
  </w:style>
  <w:style w:type="character" w:customStyle="1" w:styleId="ListLabel1411">
    <w:name w:val="ListLabel 1411"/>
    <w:qFormat/>
    <w:rPr>
      <w:rFonts w:cs="Wingdings"/>
    </w:rPr>
  </w:style>
  <w:style w:type="character" w:customStyle="1" w:styleId="ListLabel1412">
    <w:name w:val="ListLabel 1412"/>
    <w:qFormat/>
    <w:rPr>
      <w:rFonts w:cs="Symbol"/>
    </w:rPr>
  </w:style>
  <w:style w:type="character" w:customStyle="1" w:styleId="ListLabel1413">
    <w:name w:val="ListLabel 1413"/>
    <w:qFormat/>
    <w:rPr>
      <w:rFonts w:cs="Courier New"/>
    </w:rPr>
  </w:style>
  <w:style w:type="character" w:customStyle="1" w:styleId="ListLabel1414">
    <w:name w:val="ListLabel 1414"/>
    <w:qFormat/>
    <w:rPr>
      <w:rFonts w:cs="Wingdings"/>
    </w:rPr>
  </w:style>
  <w:style w:type="character" w:customStyle="1" w:styleId="ListLabel1415">
    <w:name w:val="ListLabel 1415"/>
    <w:qFormat/>
    <w:rPr>
      <w:rFonts w:cs="Symbol"/>
    </w:rPr>
  </w:style>
  <w:style w:type="character" w:customStyle="1" w:styleId="ListLabel1416">
    <w:name w:val="ListLabel 1416"/>
    <w:qFormat/>
    <w:rPr>
      <w:rFonts w:cs="Courier New"/>
    </w:rPr>
  </w:style>
  <w:style w:type="character" w:customStyle="1" w:styleId="ListLabel1417">
    <w:name w:val="ListLabel 1417"/>
    <w:qFormat/>
    <w:rPr>
      <w:rFonts w:cs="Wingdings"/>
    </w:rPr>
  </w:style>
  <w:style w:type="character" w:customStyle="1" w:styleId="ListLabel1418">
    <w:name w:val="ListLabel 1418"/>
    <w:qFormat/>
    <w:rPr>
      <w:rFonts w:cs="Symbol"/>
    </w:rPr>
  </w:style>
  <w:style w:type="character" w:customStyle="1" w:styleId="ListLabel1419">
    <w:name w:val="ListLabel 1419"/>
    <w:qFormat/>
    <w:rPr>
      <w:rFonts w:cs="Courier New"/>
    </w:rPr>
  </w:style>
  <w:style w:type="character" w:customStyle="1" w:styleId="ListLabel1420">
    <w:name w:val="ListLabel 1420"/>
    <w:qFormat/>
    <w:rPr>
      <w:rFonts w:cs="Wingdings"/>
    </w:rPr>
  </w:style>
  <w:style w:type="character" w:customStyle="1" w:styleId="ListLabel1421">
    <w:name w:val="ListLabel 1421"/>
    <w:qFormat/>
    <w:rPr>
      <w:rFonts w:cs="Symbol"/>
      <w:sz w:val="24"/>
    </w:rPr>
  </w:style>
  <w:style w:type="character" w:customStyle="1" w:styleId="ListLabel1422">
    <w:name w:val="ListLabel 1422"/>
    <w:qFormat/>
    <w:rPr>
      <w:rFonts w:cs="Courier New"/>
    </w:rPr>
  </w:style>
  <w:style w:type="character" w:customStyle="1" w:styleId="ListLabel1423">
    <w:name w:val="ListLabel 1423"/>
    <w:qFormat/>
    <w:rPr>
      <w:rFonts w:cs="Wingdings"/>
    </w:rPr>
  </w:style>
  <w:style w:type="character" w:customStyle="1" w:styleId="ListLabel1424">
    <w:name w:val="ListLabel 1424"/>
    <w:qFormat/>
    <w:rPr>
      <w:rFonts w:cs="Symbol"/>
    </w:rPr>
  </w:style>
  <w:style w:type="character" w:customStyle="1" w:styleId="ListLabel1425">
    <w:name w:val="ListLabel 1425"/>
    <w:qFormat/>
    <w:rPr>
      <w:rFonts w:cs="Courier New"/>
    </w:rPr>
  </w:style>
  <w:style w:type="character" w:customStyle="1" w:styleId="ListLabel1426">
    <w:name w:val="ListLabel 1426"/>
    <w:qFormat/>
    <w:rPr>
      <w:rFonts w:cs="Wingdings"/>
    </w:rPr>
  </w:style>
  <w:style w:type="character" w:customStyle="1" w:styleId="ListLabel1427">
    <w:name w:val="ListLabel 1427"/>
    <w:qFormat/>
    <w:rPr>
      <w:rFonts w:cs="Symbol"/>
    </w:rPr>
  </w:style>
  <w:style w:type="character" w:customStyle="1" w:styleId="ListLabel1428">
    <w:name w:val="ListLabel 1428"/>
    <w:qFormat/>
    <w:rPr>
      <w:rFonts w:cs="Courier New"/>
    </w:rPr>
  </w:style>
  <w:style w:type="character" w:customStyle="1" w:styleId="ListLabel1429">
    <w:name w:val="ListLabel 1429"/>
    <w:qFormat/>
    <w:rPr>
      <w:rFonts w:cs="Wingdings"/>
    </w:rPr>
  </w:style>
  <w:style w:type="character" w:customStyle="1" w:styleId="ListLabel1430">
    <w:name w:val="ListLabel 1430"/>
    <w:qFormat/>
    <w:rPr>
      <w:rFonts w:cs="Times New Roman"/>
      <w:sz w:val="20"/>
    </w:rPr>
  </w:style>
  <w:style w:type="character" w:customStyle="1" w:styleId="ListLabel1431">
    <w:name w:val="ListLabel 1431"/>
    <w:qFormat/>
    <w:rPr>
      <w:rFonts w:cs="Times New Roman"/>
    </w:rPr>
  </w:style>
  <w:style w:type="character" w:customStyle="1" w:styleId="ListLabel1432">
    <w:name w:val="ListLabel 1432"/>
    <w:qFormat/>
    <w:rPr>
      <w:rFonts w:cs="Times New Roman"/>
    </w:rPr>
  </w:style>
  <w:style w:type="character" w:customStyle="1" w:styleId="ListLabel1433">
    <w:name w:val="ListLabel 1433"/>
    <w:qFormat/>
    <w:rPr>
      <w:rFonts w:cs="Times New Roman"/>
    </w:rPr>
  </w:style>
  <w:style w:type="character" w:customStyle="1" w:styleId="ListLabel1434">
    <w:name w:val="ListLabel 1434"/>
    <w:qFormat/>
    <w:rPr>
      <w:rFonts w:cs="Times New Roman"/>
    </w:rPr>
  </w:style>
  <w:style w:type="character" w:customStyle="1" w:styleId="ListLabel1435">
    <w:name w:val="ListLabel 1435"/>
    <w:qFormat/>
    <w:rPr>
      <w:rFonts w:cs="Times New Roman"/>
    </w:rPr>
  </w:style>
  <w:style w:type="character" w:customStyle="1" w:styleId="ListLabel1436">
    <w:name w:val="ListLabel 1436"/>
    <w:qFormat/>
    <w:rPr>
      <w:rFonts w:cs="Times New Roman"/>
    </w:rPr>
  </w:style>
  <w:style w:type="character" w:customStyle="1" w:styleId="ListLabel1437">
    <w:name w:val="ListLabel 1437"/>
    <w:qFormat/>
    <w:rPr>
      <w:rFonts w:cs="Times New Roman"/>
    </w:rPr>
  </w:style>
  <w:style w:type="character" w:customStyle="1" w:styleId="ListLabel1438">
    <w:name w:val="ListLabel 1438"/>
    <w:qFormat/>
    <w:rPr>
      <w:rFonts w:cs="Times New Roman"/>
    </w:rPr>
  </w:style>
  <w:style w:type="character" w:customStyle="1" w:styleId="ListLabel1439">
    <w:name w:val="ListLabel 1439"/>
    <w:qFormat/>
    <w:rPr>
      <w:rFonts w:cs="Symbol"/>
      <w:sz w:val="20"/>
    </w:rPr>
  </w:style>
  <w:style w:type="character" w:customStyle="1" w:styleId="ListLabel1440">
    <w:name w:val="ListLabel 1440"/>
    <w:qFormat/>
    <w:rPr>
      <w:rFonts w:cs="Times New Roman"/>
    </w:rPr>
  </w:style>
  <w:style w:type="character" w:customStyle="1" w:styleId="ListLabel1441">
    <w:name w:val="ListLabel 1441"/>
    <w:qFormat/>
    <w:rPr>
      <w:rFonts w:cs="Calibri"/>
    </w:rPr>
  </w:style>
  <w:style w:type="character" w:customStyle="1" w:styleId="ListLabel1442">
    <w:name w:val="ListLabel 1442"/>
    <w:qFormat/>
    <w:rPr>
      <w:rFonts w:cs="Wingdings"/>
      <w:sz w:val="20"/>
    </w:rPr>
  </w:style>
  <w:style w:type="character" w:customStyle="1" w:styleId="ListLabel1443">
    <w:name w:val="ListLabel 1443"/>
    <w:qFormat/>
    <w:rPr>
      <w:rFonts w:cs="Wingdings"/>
      <w:sz w:val="20"/>
    </w:rPr>
  </w:style>
  <w:style w:type="character" w:customStyle="1" w:styleId="ListLabel1444">
    <w:name w:val="ListLabel 1444"/>
    <w:qFormat/>
    <w:rPr>
      <w:rFonts w:cs="Wingdings"/>
      <w:sz w:val="20"/>
    </w:rPr>
  </w:style>
  <w:style w:type="character" w:customStyle="1" w:styleId="ListLabel1445">
    <w:name w:val="ListLabel 1445"/>
    <w:qFormat/>
    <w:rPr>
      <w:rFonts w:cs="Wingdings"/>
      <w:sz w:val="20"/>
    </w:rPr>
  </w:style>
  <w:style w:type="character" w:customStyle="1" w:styleId="ListLabel1446">
    <w:name w:val="ListLabel 1446"/>
    <w:qFormat/>
    <w:rPr>
      <w:rFonts w:cs="Wingdings"/>
      <w:sz w:val="20"/>
    </w:rPr>
  </w:style>
  <w:style w:type="character" w:customStyle="1" w:styleId="ListLabel1447">
    <w:name w:val="ListLabel 1447"/>
    <w:qFormat/>
    <w:rPr>
      <w:rFonts w:cs="Wingdings"/>
      <w:sz w:val="20"/>
    </w:rPr>
  </w:style>
  <w:style w:type="character" w:customStyle="1" w:styleId="ListLabel1448">
    <w:name w:val="ListLabel 1448"/>
    <w:qFormat/>
    <w:rPr>
      <w:rFonts w:cs="Symbol"/>
    </w:rPr>
  </w:style>
  <w:style w:type="character" w:customStyle="1" w:styleId="ListLabel1449">
    <w:name w:val="ListLabel 1449"/>
    <w:qFormat/>
    <w:rPr>
      <w:rFonts w:cs="Courier New"/>
    </w:rPr>
  </w:style>
  <w:style w:type="character" w:customStyle="1" w:styleId="ListLabel1450">
    <w:name w:val="ListLabel 1450"/>
    <w:qFormat/>
    <w:rPr>
      <w:rFonts w:cs="Wingdings"/>
    </w:rPr>
  </w:style>
  <w:style w:type="character" w:customStyle="1" w:styleId="ListLabel1451">
    <w:name w:val="ListLabel 1451"/>
    <w:qFormat/>
    <w:rPr>
      <w:rFonts w:cs="Symbol"/>
    </w:rPr>
  </w:style>
  <w:style w:type="character" w:customStyle="1" w:styleId="ListLabel1452">
    <w:name w:val="ListLabel 1452"/>
    <w:qFormat/>
    <w:rPr>
      <w:rFonts w:cs="Courier New"/>
    </w:rPr>
  </w:style>
  <w:style w:type="character" w:customStyle="1" w:styleId="ListLabel1453">
    <w:name w:val="ListLabel 1453"/>
    <w:qFormat/>
    <w:rPr>
      <w:rFonts w:cs="Wingdings"/>
    </w:rPr>
  </w:style>
  <w:style w:type="character" w:customStyle="1" w:styleId="ListLabel1454">
    <w:name w:val="ListLabel 1454"/>
    <w:qFormat/>
    <w:rPr>
      <w:rFonts w:cs="Symbol"/>
    </w:rPr>
  </w:style>
  <w:style w:type="character" w:customStyle="1" w:styleId="ListLabel1455">
    <w:name w:val="ListLabel 1455"/>
    <w:qFormat/>
    <w:rPr>
      <w:rFonts w:cs="Courier New"/>
    </w:rPr>
  </w:style>
  <w:style w:type="character" w:customStyle="1" w:styleId="ListLabel1456">
    <w:name w:val="ListLabel 1456"/>
    <w:qFormat/>
    <w:rPr>
      <w:rFonts w:cs="Wingdings"/>
    </w:rPr>
  </w:style>
  <w:style w:type="character" w:customStyle="1" w:styleId="ListLabel1457">
    <w:name w:val="ListLabel 1457"/>
    <w:qFormat/>
    <w:rPr>
      <w:rFonts w:cs="Times New Roman"/>
      <w:sz w:val="20"/>
    </w:rPr>
  </w:style>
  <w:style w:type="character" w:customStyle="1" w:styleId="ListLabel1458">
    <w:name w:val="ListLabel 1458"/>
    <w:qFormat/>
    <w:rPr>
      <w:rFonts w:cs="Times New Roman"/>
    </w:rPr>
  </w:style>
  <w:style w:type="character" w:customStyle="1" w:styleId="ListLabel1459">
    <w:name w:val="ListLabel 1459"/>
    <w:qFormat/>
    <w:rPr>
      <w:rFonts w:cs="Times New Roman"/>
    </w:rPr>
  </w:style>
  <w:style w:type="character" w:customStyle="1" w:styleId="ListLabel1460">
    <w:name w:val="ListLabel 1460"/>
    <w:qFormat/>
    <w:rPr>
      <w:rFonts w:cs="Times New Roman"/>
    </w:rPr>
  </w:style>
  <w:style w:type="character" w:customStyle="1" w:styleId="ListLabel1461">
    <w:name w:val="ListLabel 1461"/>
    <w:qFormat/>
    <w:rPr>
      <w:rFonts w:cs="Times New Roman"/>
    </w:rPr>
  </w:style>
  <w:style w:type="character" w:customStyle="1" w:styleId="ListLabel1462">
    <w:name w:val="ListLabel 1462"/>
    <w:qFormat/>
    <w:rPr>
      <w:rFonts w:cs="Times New Roman"/>
    </w:rPr>
  </w:style>
  <w:style w:type="character" w:customStyle="1" w:styleId="ListLabel1463">
    <w:name w:val="ListLabel 1463"/>
    <w:qFormat/>
    <w:rPr>
      <w:rFonts w:cs="Times New Roman"/>
    </w:rPr>
  </w:style>
  <w:style w:type="character" w:customStyle="1" w:styleId="ListLabel1464">
    <w:name w:val="ListLabel 1464"/>
    <w:qFormat/>
    <w:rPr>
      <w:rFonts w:cs="Times New Roman"/>
    </w:rPr>
  </w:style>
  <w:style w:type="character" w:customStyle="1" w:styleId="ListLabel1465">
    <w:name w:val="ListLabel 1465"/>
    <w:qFormat/>
    <w:rPr>
      <w:rFonts w:cs="Times New Roman"/>
    </w:rPr>
  </w:style>
  <w:style w:type="character" w:customStyle="1" w:styleId="ListLabel1466">
    <w:name w:val="ListLabel 1466"/>
    <w:qFormat/>
    <w:rPr>
      <w:rFonts w:cs="Calibri"/>
    </w:rPr>
  </w:style>
  <w:style w:type="character" w:customStyle="1" w:styleId="ListLabel1467">
    <w:name w:val="ListLabel 1467"/>
    <w:qFormat/>
    <w:rPr>
      <w:rFonts w:cs="Courier New"/>
    </w:rPr>
  </w:style>
  <w:style w:type="character" w:customStyle="1" w:styleId="ListLabel1468">
    <w:name w:val="ListLabel 1468"/>
    <w:qFormat/>
    <w:rPr>
      <w:rFonts w:cs="Wingdings"/>
    </w:rPr>
  </w:style>
  <w:style w:type="character" w:customStyle="1" w:styleId="ListLabel1469">
    <w:name w:val="ListLabel 1469"/>
    <w:qFormat/>
    <w:rPr>
      <w:rFonts w:cs="Symbol"/>
    </w:rPr>
  </w:style>
  <w:style w:type="character" w:customStyle="1" w:styleId="ListLabel1470">
    <w:name w:val="ListLabel 1470"/>
    <w:qFormat/>
    <w:rPr>
      <w:rFonts w:cs="Courier New"/>
    </w:rPr>
  </w:style>
  <w:style w:type="character" w:customStyle="1" w:styleId="ListLabel1471">
    <w:name w:val="ListLabel 1471"/>
    <w:qFormat/>
    <w:rPr>
      <w:rFonts w:cs="Wingdings"/>
    </w:rPr>
  </w:style>
  <w:style w:type="character" w:customStyle="1" w:styleId="ListLabel1472">
    <w:name w:val="ListLabel 1472"/>
    <w:qFormat/>
    <w:rPr>
      <w:rFonts w:cs="Symbol"/>
    </w:rPr>
  </w:style>
  <w:style w:type="character" w:customStyle="1" w:styleId="ListLabel1473">
    <w:name w:val="ListLabel 1473"/>
    <w:qFormat/>
    <w:rPr>
      <w:rFonts w:cs="Courier New"/>
    </w:rPr>
  </w:style>
  <w:style w:type="character" w:customStyle="1" w:styleId="ListLabel1474">
    <w:name w:val="ListLabel 1474"/>
    <w:qFormat/>
    <w:rPr>
      <w:rFonts w:cs="Wingdings"/>
    </w:rPr>
  </w:style>
  <w:style w:type="character" w:customStyle="1" w:styleId="ListLabel1475">
    <w:name w:val="ListLabel 1475"/>
    <w:qFormat/>
    <w:rPr>
      <w:rFonts w:cs="Calibri"/>
      <w:sz w:val="24"/>
    </w:rPr>
  </w:style>
  <w:style w:type="character" w:customStyle="1" w:styleId="ListLabel1476">
    <w:name w:val="ListLabel 1476"/>
    <w:qFormat/>
    <w:rPr>
      <w:rFonts w:cs="Courier New"/>
    </w:rPr>
  </w:style>
  <w:style w:type="character" w:customStyle="1" w:styleId="ListLabel1477">
    <w:name w:val="ListLabel 1477"/>
    <w:qFormat/>
    <w:rPr>
      <w:rFonts w:cs="Wingdings"/>
    </w:rPr>
  </w:style>
  <w:style w:type="character" w:customStyle="1" w:styleId="ListLabel1478">
    <w:name w:val="ListLabel 1478"/>
    <w:qFormat/>
    <w:rPr>
      <w:rFonts w:cs="Symbol"/>
    </w:rPr>
  </w:style>
  <w:style w:type="character" w:customStyle="1" w:styleId="ListLabel1479">
    <w:name w:val="ListLabel 1479"/>
    <w:qFormat/>
    <w:rPr>
      <w:rFonts w:cs="Courier New"/>
    </w:rPr>
  </w:style>
  <w:style w:type="character" w:customStyle="1" w:styleId="ListLabel1480">
    <w:name w:val="ListLabel 1480"/>
    <w:qFormat/>
    <w:rPr>
      <w:rFonts w:cs="Wingdings"/>
    </w:rPr>
  </w:style>
  <w:style w:type="character" w:customStyle="1" w:styleId="ListLabel1481">
    <w:name w:val="ListLabel 1481"/>
    <w:qFormat/>
    <w:rPr>
      <w:rFonts w:cs="Symbol"/>
    </w:rPr>
  </w:style>
  <w:style w:type="character" w:customStyle="1" w:styleId="ListLabel1482">
    <w:name w:val="ListLabel 1482"/>
    <w:qFormat/>
    <w:rPr>
      <w:rFonts w:cs="Courier New"/>
    </w:rPr>
  </w:style>
  <w:style w:type="character" w:customStyle="1" w:styleId="ListLabel1483">
    <w:name w:val="ListLabel 1483"/>
    <w:qFormat/>
    <w:rPr>
      <w:rFonts w:cs="Wingdings"/>
    </w:rPr>
  </w:style>
  <w:style w:type="character" w:customStyle="1" w:styleId="ListLabel1484">
    <w:name w:val="ListLabel 1484"/>
    <w:qFormat/>
    <w:rPr>
      <w:rFonts w:cs="Calibri"/>
      <w:sz w:val="24"/>
    </w:rPr>
  </w:style>
  <w:style w:type="character" w:customStyle="1" w:styleId="ListLabel1485">
    <w:name w:val="ListLabel 1485"/>
    <w:qFormat/>
    <w:rPr>
      <w:rFonts w:cs="Courier New"/>
    </w:rPr>
  </w:style>
  <w:style w:type="character" w:customStyle="1" w:styleId="ListLabel1486">
    <w:name w:val="ListLabel 1486"/>
    <w:qFormat/>
    <w:rPr>
      <w:rFonts w:cs="Wingdings"/>
    </w:rPr>
  </w:style>
  <w:style w:type="character" w:customStyle="1" w:styleId="ListLabel1487">
    <w:name w:val="ListLabel 1487"/>
    <w:qFormat/>
    <w:rPr>
      <w:rFonts w:cs="Symbol"/>
    </w:rPr>
  </w:style>
  <w:style w:type="character" w:customStyle="1" w:styleId="ListLabel1488">
    <w:name w:val="ListLabel 1488"/>
    <w:qFormat/>
    <w:rPr>
      <w:rFonts w:cs="Courier New"/>
    </w:rPr>
  </w:style>
  <w:style w:type="character" w:customStyle="1" w:styleId="ListLabel1489">
    <w:name w:val="ListLabel 1489"/>
    <w:qFormat/>
    <w:rPr>
      <w:rFonts w:cs="Wingdings"/>
    </w:rPr>
  </w:style>
  <w:style w:type="character" w:customStyle="1" w:styleId="ListLabel1490">
    <w:name w:val="ListLabel 1490"/>
    <w:qFormat/>
    <w:rPr>
      <w:rFonts w:cs="Symbol"/>
    </w:rPr>
  </w:style>
  <w:style w:type="character" w:customStyle="1" w:styleId="ListLabel1491">
    <w:name w:val="ListLabel 1491"/>
    <w:qFormat/>
    <w:rPr>
      <w:rFonts w:cs="Courier New"/>
    </w:rPr>
  </w:style>
  <w:style w:type="character" w:customStyle="1" w:styleId="ListLabel1492">
    <w:name w:val="ListLabel 1492"/>
    <w:qFormat/>
    <w:rPr>
      <w:rFonts w:cs="Wingdings"/>
    </w:rPr>
  </w:style>
  <w:style w:type="character" w:customStyle="1" w:styleId="ListLabel1493">
    <w:name w:val="ListLabel 1493"/>
    <w:qFormat/>
    <w:rPr>
      <w:rFonts w:cs="Calibri"/>
      <w:sz w:val="24"/>
    </w:rPr>
  </w:style>
  <w:style w:type="character" w:customStyle="1" w:styleId="ListLabel1494">
    <w:name w:val="ListLabel 1494"/>
    <w:qFormat/>
    <w:rPr>
      <w:rFonts w:cs="Courier New"/>
    </w:rPr>
  </w:style>
  <w:style w:type="character" w:customStyle="1" w:styleId="ListLabel1495">
    <w:name w:val="ListLabel 1495"/>
    <w:qFormat/>
    <w:rPr>
      <w:rFonts w:cs="Wingdings"/>
    </w:rPr>
  </w:style>
  <w:style w:type="character" w:customStyle="1" w:styleId="ListLabel1496">
    <w:name w:val="ListLabel 1496"/>
    <w:qFormat/>
    <w:rPr>
      <w:rFonts w:cs="Symbol"/>
    </w:rPr>
  </w:style>
  <w:style w:type="character" w:customStyle="1" w:styleId="ListLabel1497">
    <w:name w:val="ListLabel 1497"/>
    <w:qFormat/>
    <w:rPr>
      <w:rFonts w:cs="Courier New"/>
    </w:rPr>
  </w:style>
  <w:style w:type="character" w:customStyle="1" w:styleId="ListLabel1498">
    <w:name w:val="ListLabel 1498"/>
    <w:qFormat/>
    <w:rPr>
      <w:rFonts w:cs="Wingdings"/>
    </w:rPr>
  </w:style>
  <w:style w:type="character" w:customStyle="1" w:styleId="ListLabel1499">
    <w:name w:val="ListLabel 1499"/>
    <w:qFormat/>
    <w:rPr>
      <w:rFonts w:cs="Symbol"/>
    </w:rPr>
  </w:style>
  <w:style w:type="character" w:customStyle="1" w:styleId="ListLabel1500">
    <w:name w:val="ListLabel 1500"/>
    <w:qFormat/>
    <w:rPr>
      <w:rFonts w:cs="Courier New"/>
    </w:rPr>
  </w:style>
  <w:style w:type="character" w:customStyle="1" w:styleId="ListLabel1501">
    <w:name w:val="ListLabel 1501"/>
    <w:qFormat/>
    <w:rPr>
      <w:rFonts w:cs="Wingdings"/>
    </w:rPr>
  </w:style>
  <w:style w:type="character" w:customStyle="1" w:styleId="ListLabel1502">
    <w:name w:val="ListLabel 1502"/>
    <w:qFormat/>
    <w:rPr>
      <w:rFonts w:cs="Calibri"/>
      <w:sz w:val="24"/>
    </w:rPr>
  </w:style>
  <w:style w:type="character" w:customStyle="1" w:styleId="ListLabel1503">
    <w:name w:val="ListLabel 1503"/>
    <w:qFormat/>
    <w:rPr>
      <w:rFonts w:cs="Courier New"/>
    </w:rPr>
  </w:style>
  <w:style w:type="character" w:customStyle="1" w:styleId="ListLabel1504">
    <w:name w:val="ListLabel 1504"/>
    <w:qFormat/>
    <w:rPr>
      <w:rFonts w:cs="Wingdings"/>
    </w:rPr>
  </w:style>
  <w:style w:type="character" w:customStyle="1" w:styleId="ListLabel1505">
    <w:name w:val="ListLabel 1505"/>
    <w:qFormat/>
    <w:rPr>
      <w:rFonts w:cs="Symbol"/>
    </w:rPr>
  </w:style>
  <w:style w:type="character" w:customStyle="1" w:styleId="ListLabel1506">
    <w:name w:val="ListLabel 1506"/>
    <w:qFormat/>
    <w:rPr>
      <w:rFonts w:cs="Courier New"/>
    </w:rPr>
  </w:style>
  <w:style w:type="character" w:customStyle="1" w:styleId="ListLabel1507">
    <w:name w:val="ListLabel 1507"/>
    <w:qFormat/>
    <w:rPr>
      <w:rFonts w:cs="Wingdings"/>
    </w:rPr>
  </w:style>
  <w:style w:type="character" w:customStyle="1" w:styleId="ListLabel1508">
    <w:name w:val="ListLabel 1508"/>
    <w:qFormat/>
    <w:rPr>
      <w:rFonts w:cs="Symbol"/>
    </w:rPr>
  </w:style>
  <w:style w:type="character" w:customStyle="1" w:styleId="ListLabel1509">
    <w:name w:val="ListLabel 1509"/>
    <w:qFormat/>
    <w:rPr>
      <w:rFonts w:cs="Courier New"/>
    </w:rPr>
  </w:style>
  <w:style w:type="character" w:customStyle="1" w:styleId="ListLabel1510">
    <w:name w:val="ListLabel 1510"/>
    <w:qFormat/>
    <w:rPr>
      <w:rFonts w:cs="Wingdings"/>
    </w:rPr>
  </w:style>
  <w:style w:type="character" w:customStyle="1" w:styleId="ListLabel1511">
    <w:name w:val="ListLabel 1511"/>
    <w:qFormat/>
    <w:rPr>
      <w:rFonts w:cs="Calibri"/>
      <w:sz w:val="24"/>
    </w:rPr>
  </w:style>
  <w:style w:type="character" w:customStyle="1" w:styleId="ListLabel1512">
    <w:name w:val="ListLabel 1512"/>
    <w:qFormat/>
    <w:rPr>
      <w:rFonts w:cs="Courier New"/>
    </w:rPr>
  </w:style>
  <w:style w:type="character" w:customStyle="1" w:styleId="ListLabel1513">
    <w:name w:val="ListLabel 1513"/>
    <w:qFormat/>
    <w:rPr>
      <w:rFonts w:cs="Wingdings"/>
    </w:rPr>
  </w:style>
  <w:style w:type="character" w:customStyle="1" w:styleId="ListLabel1514">
    <w:name w:val="ListLabel 1514"/>
    <w:qFormat/>
    <w:rPr>
      <w:rFonts w:cs="Symbol"/>
    </w:rPr>
  </w:style>
  <w:style w:type="character" w:customStyle="1" w:styleId="ListLabel1515">
    <w:name w:val="ListLabel 1515"/>
    <w:qFormat/>
    <w:rPr>
      <w:rFonts w:cs="Courier New"/>
    </w:rPr>
  </w:style>
  <w:style w:type="character" w:customStyle="1" w:styleId="ListLabel1516">
    <w:name w:val="ListLabel 1516"/>
    <w:qFormat/>
    <w:rPr>
      <w:rFonts w:cs="Wingdings"/>
    </w:rPr>
  </w:style>
  <w:style w:type="character" w:customStyle="1" w:styleId="ListLabel1517">
    <w:name w:val="ListLabel 1517"/>
    <w:qFormat/>
    <w:rPr>
      <w:rFonts w:cs="Symbol"/>
    </w:rPr>
  </w:style>
  <w:style w:type="character" w:customStyle="1" w:styleId="ListLabel1518">
    <w:name w:val="ListLabel 1518"/>
    <w:qFormat/>
    <w:rPr>
      <w:rFonts w:cs="Courier New"/>
    </w:rPr>
  </w:style>
  <w:style w:type="character" w:customStyle="1" w:styleId="ListLabel1519">
    <w:name w:val="ListLabel 1519"/>
    <w:qFormat/>
    <w:rPr>
      <w:rFonts w:cs="Wingdings"/>
    </w:rPr>
  </w:style>
  <w:style w:type="character" w:customStyle="1" w:styleId="ListLabel1520">
    <w:name w:val="ListLabel 1520"/>
    <w:qFormat/>
    <w:rPr>
      <w:rFonts w:cs="Symbol"/>
      <w:sz w:val="20"/>
    </w:rPr>
  </w:style>
  <w:style w:type="character" w:customStyle="1" w:styleId="ListLabel1521">
    <w:name w:val="ListLabel 1521"/>
    <w:qFormat/>
    <w:rPr>
      <w:rFonts w:cs="Symbol"/>
      <w:sz w:val="20"/>
    </w:rPr>
  </w:style>
  <w:style w:type="character" w:customStyle="1" w:styleId="ListLabel1522">
    <w:name w:val="ListLabel 1522"/>
    <w:qFormat/>
    <w:rPr>
      <w:rFonts w:cs="Symbol"/>
      <w:sz w:val="20"/>
    </w:rPr>
  </w:style>
  <w:style w:type="character" w:customStyle="1" w:styleId="ListLabel1523">
    <w:name w:val="ListLabel 1523"/>
    <w:qFormat/>
    <w:rPr>
      <w:rFonts w:cs="Symbol"/>
      <w:sz w:val="20"/>
    </w:rPr>
  </w:style>
  <w:style w:type="character" w:customStyle="1" w:styleId="ListLabel1524">
    <w:name w:val="ListLabel 1524"/>
    <w:qFormat/>
    <w:rPr>
      <w:rFonts w:cs="Symbol"/>
      <w:sz w:val="20"/>
    </w:rPr>
  </w:style>
  <w:style w:type="character" w:customStyle="1" w:styleId="ListLabel1525">
    <w:name w:val="ListLabel 1525"/>
    <w:qFormat/>
    <w:rPr>
      <w:rFonts w:cs="Symbol"/>
      <w:sz w:val="20"/>
    </w:rPr>
  </w:style>
  <w:style w:type="character" w:customStyle="1" w:styleId="ListLabel1526">
    <w:name w:val="ListLabel 1526"/>
    <w:qFormat/>
    <w:rPr>
      <w:rFonts w:cs="Symbol"/>
      <w:sz w:val="20"/>
    </w:rPr>
  </w:style>
  <w:style w:type="character" w:customStyle="1" w:styleId="ListLabel1527">
    <w:name w:val="ListLabel 1527"/>
    <w:qFormat/>
    <w:rPr>
      <w:rFonts w:cs="Symbol"/>
      <w:sz w:val="20"/>
    </w:rPr>
  </w:style>
  <w:style w:type="character" w:customStyle="1" w:styleId="ListLabel1528">
    <w:name w:val="ListLabel 1528"/>
    <w:qFormat/>
    <w:rPr>
      <w:rFonts w:cs="Symbol"/>
      <w:sz w:val="20"/>
    </w:rPr>
  </w:style>
  <w:style w:type="character" w:customStyle="1" w:styleId="ListLabel1529">
    <w:name w:val="ListLabel 1529"/>
    <w:qFormat/>
    <w:rPr>
      <w:rFonts w:cs="Symbol"/>
      <w:sz w:val="20"/>
    </w:rPr>
  </w:style>
  <w:style w:type="character" w:customStyle="1" w:styleId="ListLabel1530">
    <w:name w:val="ListLabel 1530"/>
    <w:qFormat/>
    <w:rPr>
      <w:rFonts w:cs="Symbol"/>
      <w:sz w:val="20"/>
    </w:rPr>
  </w:style>
  <w:style w:type="character" w:customStyle="1" w:styleId="ListLabel1531">
    <w:name w:val="ListLabel 1531"/>
    <w:qFormat/>
    <w:rPr>
      <w:rFonts w:cs="Symbol"/>
      <w:sz w:val="20"/>
    </w:rPr>
  </w:style>
  <w:style w:type="character" w:customStyle="1" w:styleId="ListLabel1532">
    <w:name w:val="ListLabel 1532"/>
    <w:qFormat/>
    <w:rPr>
      <w:rFonts w:cs="Symbol"/>
      <w:sz w:val="20"/>
    </w:rPr>
  </w:style>
  <w:style w:type="character" w:customStyle="1" w:styleId="ListLabel1533">
    <w:name w:val="ListLabel 1533"/>
    <w:qFormat/>
    <w:rPr>
      <w:rFonts w:cs="Symbol"/>
      <w:sz w:val="20"/>
    </w:rPr>
  </w:style>
  <w:style w:type="character" w:customStyle="1" w:styleId="ListLabel1534">
    <w:name w:val="ListLabel 1534"/>
    <w:qFormat/>
    <w:rPr>
      <w:rFonts w:cs="Symbol"/>
      <w:sz w:val="20"/>
    </w:rPr>
  </w:style>
  <w:style w:type="character" w:customStyle="1" w:styleId="ListLabel1535">
    <w:name w:val="ListLabel 1535"/>
    <w:qFormat/>
    <w:rPr>
      <w:rFonts w:cs="Symbol"/>
      <w:sz w:val="20"/>
    </w:rPr>
  </w:style>
  <w:style w:type="character" w:customStyle="1" w:styleId="ListLabel1536">
    <w:name w:val="ListLabel 1536"/>
    <w:qFormat/>
    <w:rPr>
      <w:rFonts w:cs="Symbol"/>
      <w:sz w:val="20"/>
    </w:rPr>
  </w:style>
  <w:style w:type="character" w:customStyle="1" w:styleId="ListLabel1537">
    <w:name w:val="ListLabel 1537"/>
    <w:qFormat/>
    <w:rPr>
      <w:rFonts w:cs="Symbol"/>
      <w:sz w:val="20"/>
    </w:rPr>
  </w:style>
  <w:style w:type="character" w:customStyle="1" w:styleId="ListLabel1538">
    <w:name w:val="ListLabel 1538"/>
    <w:qFormat/>
    <w:rPr>
      <w:rFonts w:cs="Times New Roman"/>
      <w:sz w:val="20"/>
    </w:rPr>
  </w:style>
  <w:style w:type="character" w:customStyle="1" w:styleId="ListLabel1539">
    <w:name w:val="ListLabel 1539"/>
    <w:qFormat/>
    <w:rPr>
      <w:rFonts w:cs="Times New Roman"/>
    </w:rPr>
  </w:style>
  <w:style w:type="character" w:customStyle="1" w:styleId="ListLabel1540">
    <w:name w:val="ListLabel 1540"/>
    <w:qFormat/>
    <w:rPr>
      <w:rFonts w:cs="Times New Roman"/>
    </w:rPr>
  </w:style>
  <w:style w:type="character" w:customStyle="1" w:styleId="ListLabel1541">
    <w:name w:val="ListLabel 1541"/>
    <w:qFormat/>
    <w:rPr>
      <w:rFonts w:cs="Times New Roman"/>
    </w:rPr>
  </w:style>
  <w:style w:type="character" w:customStyle="1" w:styleId="ListLabel1542">
    <w:name w:val="ListLabel 1542"/>
    <w:qFormat/>
    <w:rPr>
      <w:rFonts w:cs="Times New Roman"/>
    </w:rPr>
  </w:style>
  <w:style w:type="character" w:customStyle="1" w:styleId="ListLabel1543">
    <w:name w:val="ListLabel 1543"/>
    <w:qFormat/>
    <w:rPr>
      <w:rFonts w:cs="Times New Roman"/>
    </w:rPr>
  </w:style>
  <w:style w:type="character" w:customStyle="1" w:styleId="ListLabel1544">
    <w:name w:val="ListLabel 1544"/>
    <w:qFormat/>
    <w:rPr>
      <w:rFonts w:cs="Times New Roman"/>
    </w:rPr>
  </w:style>
  <w:style w:type="character" w:customStyle="1" w:styleId="ListLabel1545">
    <w:name w:val="ListLabel 1545"/>
    <w:qFormat/>
    <w:rPr>
      <w:rFonts w:cs="Times New Roman"/>
    </w:rPr>
  </w:style>
  <w:style w:type="character" w:customStyle="1" w:styleId="ListLabel1546">
    <w:name w:val="ListLabel 1546"/>
    <w:qFormat/>
    <w:rPr>
      <w:rFonts w:cs="Times New Roman"/>
    </w:rPr>
  </w:style>
  <w:style w:type="character" w:customStyle="1" w:styleId="ListLabel1547">
    <w:name w:val="ListLabel 1547"/>
    <w:qFormat/>
    <w:rPr>
      <w:rFonts w:cs="Calibri"/>
    </w:rPr>
  </w:style>
  <w:style w:type="character" w:customStyle="1" w:styleId="ListLabel1548">
    <w:name w:val="ListLabel 1548"/>
    <w:qFormat/>
    <w:rPr>
      <w:rFonts w:cs="Courier New"/>
    </w:rPr>
  </w:style>
  <w:style w:type="character" w:customStyle="1" w:styleId="ListLabel1549">
    <w:name w:val="ListLabel 1549"/>
    <w:qFormat/>
    <w:rPr>
      <w:rFonts w:cs="Wingdings"/>
    </w:rPr>
  </w:style>
  <w:style w:type="character" w:customStyle="1" w:styleId="ListLabel1550">
    <w:name w:val="ListLabel 1550"/>
    <w:qFormat/>
    <w:rPr>
      <w:rFonts w:cs="Symbol"/>
    </w:rPr>
  </w:style>
  <w:style w:type="character" w:customStyle="1" w:styleId="ListLabel1551">
    <w:name w:val="ListLabel 1551"/>
    <w:qFormat/>
    <w:rPr>
      <w:rFonts w:cs="Courier New"/>
    </w:rPr>
  </w:style>
  <w:style w:type="character" w:customStyle="1" w:styleId="ListLabel1552">
    <w:name w:val="ListLabel 1552"/>
    <w:qFormat/>
    <w:rPr>
      <w:rFonts w:cs="Wingdings"/>
    </w:rPr>
  </w:style>
  <w:style w:type="character" w:customStyle="1" w:styleId="ListLabel1553">
    <w:name w:val="ListLabel 1553"/>
    <w:qFormat/>
    <w:rPr>
      <w:rFonts w:cs="Symbol"/>
    </w:rPr>
  </w:style>
  <w:style w:type="character" w:customStyle="1" w:styleId="ListLabel1554">
    <w:name w:val="ListLabel 1554"/>
    <w:qFormat/>
    <w:rPr>
      <w:rFonts w:cs="Courier New"/>
    </w:rPr>
  </w:style>
  <w:style w:type="character" w:customStyle="1" w:styleId="ListLabel1555">
    <w:name w:val="ListLabel 1555"/>
    <w:qFormat/>
    <w:rPr>
      <w:rFonts w:cs="Wingdings"/>
    </w:rPr>
  </w:style>
  <w:style w:type="character" w:customStyle="1" w:styleId="ListLabel1556">
    <w:name w:val="ListLabel 1556"/>
    <w:qFormat/>
    <w:rPr>
      <w:rFonts w:cs="Calibri"/>
    </w:rPr>
  </w:style>
  <w:style w:type="character" w:customStyle="1" w:styleId="ListLabel1557">
    <w:name w:val="ListLabel 1557"/>
    <w:qFormat/>
    <w:rPr>
      <w:rFonts w:cs="Courier New"/>
    </w:rPr>
  </w:style>
  <w:style w:type="character" w:customStyle="1" w:styleId="ListLabel1558">
    <w:name w:val="ListLabel 1558"/>
    <w:qFormat/>
    <w:rPr>
      <w:rFonts w:cs="Wingdings"/>
    </w:rPr>
  </w:style>
  <w:style w:type="character" w:customStyle="1" w:styleId="ListLabel1559">
    <w:name w:val="ListLabel 1559"/>
    <w:qFormat/>
    <w:rPr>
      <w:rFonts w:cs="Symbol"/>
    </w:rPr>
  </w:style>
  <w:style w:type="character" w:customStyle="1" w:styleId="ListLabel1560">
    <w:name w:val="ListLabel 1560"/>
    <w:qFormat/>
    <w:rPr>
      <w:rFonts w:cs="Courier New"/>
    </w:rPr>
  </w:style>
  <w:style w:type="character" w:customStyle="1" w:styleId="ListLabel1561">
    <w:name w:val="ListLabel 1561"/>
    <w:qFormat/>
    <w:rPr>
      <w:rFonts w:cs="Wingdings"/>
    </w:rPr>
  </w:style>
  <w:style w:type="character" w:customStyle="1" w:styleId="ListLabel1562">
    <w:name w:val="ListLabel 1562"/>
    <w:qFormat/>
    <w:rPr>
      <w:rFonts w:cs="Symbol"/>
    </w:rPr>
  </w:style>
  <w:style w:type="character" w:customStyle="1" w:styleId="ListLabel1563">
    <w:name w:val="ListLabel 1563"/>
    <w:qFormat/>
    <w:rPr>
      <w:rFonts w:cs="Courier New"/>
    </w:rPr>
  </w:style>
  <w:style w:type="character" w:customStyle="1" w:styleId="ListLabel1564">
    <w:name w:val="ListLabel 1564"/>
    <w:qFormat/>
    <w:rPr>
      <w:rFonts w:cs="Wingdings"/>
    </w:rPr>
  </w:style>
  <w:style w:type="character" w:customStyle="1" w:styleId="ListLabel1565">
    <w:name w:val="ListLabel 1565"/>
    <w:qFormat/>
    <w:rPr>
      <w:rFonts w:cs="Calibri"/>
    </w:rPr>
  </w:style>
  <w:style w:type="character" w:customStyle="1" w:styleId="ListLabel1566">
    <w:name w:val="ListLabel 1566"/>
    <w:qFormat/>
    <w:rPr>
      <w:rFonts w:cs="Courier New"/>
    </w:rPr>
  </w:style>
  <w:style w:type="character" w:customStyle="1" w:styleId="ListLabel1567">
    <w:name w:val="ListLabel 1567"/>
    <w:qFormat/>
    <w:rPr>
      <w:rFonts w:cs="Wingdings"/>
    </w:rPr>
  </w:style>
  <w:style w:type="character" w:customStyle="1" w:styleId="ListLabel1568">
    <w:name w:val="ListLabel 1568"/>
    <w:qFormat/>
    <w:rPr>
      <w:rFonts w:cs="Symbol"/>
    </w:rPr>
  </w:style>
  <w:style w:type="character" w:customStyle="1" w:styleId="ListLabel1569">
    <w:name w:val="ListLabel 1569"/>
    <w:qFormat/>
    <w:rPr>
      <w:rFonts w:cs="Courier New"/>
    </w:rPr>
  </w:style>
  <w:style w:type="character" w:customStyle="1" w:styleId="ListLabel1570">
    <w:name w:val="ListLabel 1570"/>
    <w:qFormat/>
    <w:rPr>
      <w:rFonts w:cs="Wingdings"/>
    </w:rPr>
  </w:style>
  <w:style w:type="character" w:customStyle="1" w:styleId="ListLabel1571">
    <w:name w:val="ListLabel 1571"/>
    <w:qFormat/>
    <w:rPr>
      <w:rFonts w:cs="Symbol"/>
    </w:rPr>
  </w:style>
  <w:style w:type="character" w:customStyle="1" w:styleId="ListLabel1572">
    <w:name w:val="ListLabel 1572"/>
    <w:qFormat/>
    <w:rPr>
      <w:rFonts w:cs="Courier New"/>
    </w:rPr>
  </w:style>
  <w:style w:type="character" w:customStyle="1" w:styleId="ListLabel1573">
    <w:name w:val="ListLabel 1573"/>
    <w:qFormat/>
    <w:rPr>
      <w:rFonts w:cs="Wingdings"/>
    </w:rPr>
  </w:style>
  <w:style w:type="character" w:customStyle="1" w:styleId="ListLabel1574">
    <w:name w:val="ListLabel 1574"/>
    <w:qFormat/>
    <w:rPr>
      <w:rFonts w:cs="Calibri"/>
    </w:rPr>
  </w:style>
  <w:style w:type="character" w:customStyle="1" w:styleId="ListLabel1575">
    <w:name w:val="ListLabel 1575"/>
    <w:qFormat/>
    <w:rPr>
      <w:rFonts w:cs="Courier New"/>
    </w:rPr>
  </w:style>
  <w:style w:type="character" w:customStyle="1" w:styleId="ListLabel1576">
    <w:name w:val="ListLabel 1576"/>
    <w:qFormat/>
    <w:rPr>
      <w:rFonts w:cs="Wingdings"/>
    </w:rPr>
  </w:style>
  <w:style w:type="character" w:customStyle="1" w:styleId="ListLabel1577">
    <w:name w:val="ListLabel 1577"/>
    <w:qFormat/>
    <w:rPr>
      <w:rFonts w:cs="Symbol"/>
    </w:rPr>
  </w:style>
  <w:style w:type="character" w:customStyle="1" w:styleId="ListLabel1578">
    <w:name w:val="ListLabel 1578"/>
    <w:qFormat/>
    <w:rPr>
      <w:rFonts w:cs="Courier New"/>
    </w:rPr>
  </w:style>
  <w:style w:type="character" w:customStyle="1" w:styleId="ListLabel1579">
    <w:name w:val="ListLabel 1579"/>
    <w:qFormat/>
    <w:rPr>
      <w:rFonts w:cs="Wingdings"/>
    </w:rPr>
  </w:style>
  <w:style w:type="character" w:customStyle="1" w:styleId="ListLabel1580">
    <w:name w:val="ListLabel 1580"/>
    <w:qFormat/>
    <w:rPr>
      <w:rFonts w:cs="Symbol"/>
    </w:rPr>
  </w:style>
  <w:style w:type="character" w:customStyle="1" w:styleId="ListLabel1581">
    <w:name w:val="ListLabel 1581"/>
    <w:qFormat/>
    <w:rPr>
      <w:rFonts w:cs="Courier New"/>
    </w:rPr>
  </w:style>
  <w:style w:type="character" w:customStyle="1" w:styleId="ListLabel1582">
    <w:name w:val="ListLabel 1582"/>
    <w:qFormat/>
    <w:rPr>
      <w:rFonts w:cs="Wingdings"/>
    </w:rPr>
  </w:style>
  <w:style w:type="character" w:customStyle="1" w:styleId="ListLabel1583">
    <w:name w:val="ListLabel 1583"/>
    <w:qFormat/>
    <w:rPr>
      <w:rFonts w:cs="Calibri"/>
    </w:rPr>
  </w:style>
  <w:style w:type="character" w:customStyle="1" w:styleId="ListLabel1584">
    <w:name w:val="ListLabel 1584"/>
    <w:qFormat/>
    <w:rPr>
      <w:rFonts w:cs="Courier New"/>
    </w:rPr>
  </w:style>
  <w:style w:type="character" w:customStyle="1" w:styleId="ListLabel1585">
    <w:name w:val="ListLabel 1585"/>
    <w:qFormat/>
    <w:rPr>
      <w:rFonts w:cs="Wingdings"/>
    </w:rPr>
  </w:style>
  <w:style w:type="character" w:customStyle="1" w:styleId="ListLabel1586">
    <w:name w:val="ListLabel 1586"/>
    <w:qFormat/>
    <w:rPr>
      <w:rFonts w:cs="Symbol"/>
    </w:rPr>
  </w:style>
  <w:style w:type="character" w:customStyle="1" w:styleId="ListLabel1587">
    <w:name w:val="ListLabel 1587"/>
    <w:qFormat/>
    <w:rPr>
      <w:rFonts w:cs="Courier New"/>
    </w:rPr>
  </w:style>
  <w:style w:type="character" w:customStyle="1" w:styleId="ListLabel1588">
    <w:name w:val="ListLabel 1588"/>
    <w:qFormat/>
    <w:rPr>
      <w:rFonts w:cs="Wingdings"/>
    </w:rPr>
  </w:style>
  <w:style w:type="character" w:customStyle="1" w:styleId="ListLabel1589">
    <w:name w:val="ListLabel 1589"/>
    <w:qFormat/>
    <w:rPr>
      <w:rFonts w:cs="Symbol"/>
    </w:rPr>
  </w:style>
  <w:style w:type="character" w:customStyle="1" w:styleId="ListLabel1590">
    <w:name w:val="ListLabel 1590"/>
    <w:qFormat/>
    <w:rPr>
      <w:rFonts w:cs="Courier New"/>
    </w:rPr>
  </w:style>
  <w:style w:type="character" w:customStyle="1" w:styleId="ListLabel1591">
    <w:name w:val="ListLabel 1591"/>
    <w:qFormat/>
    <w:rPr>
      <w:rFonts w:cs="Wingdings"/>
    </w:rPr>
  </w:style>
  <w:style w:type="character" w:customStyle="1" w:styleId="ListLabel1592">
    <w:name w:val="ListLabel 1592"/>
    <w:qFormat/>
    <w:rPr>
      <w:rFonts w:cs="Calibri"/>
    </w:rPr>
  </w:style>
  <w:style w:type="character" w:customStyle="1" w:styleId="ListLabel1593">
    <w:name w:val="ListLabel 1593"/>
    <w:qFormat/>
    <w:rPr>
      <w:rFonts w:cs="Courier New"/>
    </w:rPr>
  </w:style>
  <w:style w:type="character" w:customStyle="1" w:styleId="ListLabel1594">
    <w:name w:val="ListLabel 1594"/>
    <w:qFormat/>
    <w:rPr>
      <w:rFonts w:cs="Wingdings"/>
    </w:rPr>
  </w:style>
  <w:style w:type="character" w:customStyle="1" w:styleId="ListLabel1595">
    <w:name w:val="ListLabel 1595"/>
    <w:qFormat/>
    <w:rPr>
      <w:rFonts w:cs="Symbol"/>
    </w:rPr>
  </w:style>
  <w:style w:type="character" w:customStyle="1" w:styleId="ListLabel1596">
    <w:name w:val="ListLabel 1596"/>
    <w:qFormat/>
    <w:rPr>
      <w:rFonts w:cs="Courier New"/>
    </w:rPr>
  </w:style>
  <w:style w:type="character" w:customStyle="1" w:styleId="ListLabel1597">
    <w:name w:val="ListLabel 1597"/>
    <w:qFormat/>
    <w:rPr>
      <w:rFonts w:cs="Wingdings"/>
    </w:rPr>
  </w:style>
  <w:style w:type="character" w:customStyle="1" w:styleId="ListLabel1598">
    <w:name w:val="ListLabel 1598"/>
    <w:qFormat/>
    <w:rPr>
      <w:rFonts w:cs="Symbol"/>
    </w:rPr>
  </w:style>
  <w:style w:type="character" w:customStyle="1" w:styleId="ListLabel1599">
    <w:name w:val="ListLabel 1599"/>
    <w:qFormat/>
    <w:rPr>
      <w:rFonts w:cs="Courier New"/>
    </w:rPr>
  </w:style>
  <w:style w:type="character" w:customStyle="1" w:styleId="ListLabel1600">
    <w:name w:val="ListLabel 1600"/>
    <w:qFormat/>
    <w:rPr>
      <w:rFonts w:cs="Wingdings"/>
    </w:rPr>
  </w:style>
  <w:style w:type="character" w:customStyle="1" w:styleId="ListLabel1601">
    <w:name w:val="ListLabel 1601"/>
    <w:qFormat/>
    <w:rPr>
      <w:rFonts w:cs="Calibri"/>
    </w:rPr>
  </w:style>
  <w:style w:type="character" w:customStyle="1" w:styleId="ListLabel1602">
    <w:name w:val="ListLabel 1602"/>
    <w:qFormat/>
    <w:rPr>
      <w:rFonts w:cs="Courier New"/>
    </w:rPr>
  </w:style>
  <w:style w:type="character" w:customStyle="1" w:styleId="ListLabel1603">
    <w:name w:val="ListLabel 1603"/>
    <w:qFormat/>
    <w:rPr>
      <w:rFonts w:cs="Wingdings"/>
    </w:rPr>
  </w:style>
  <w:style w:type="character" w:customStyle="1" w:styleId="ListLabel1604">
    <w:name w:val="ListLabel 1604"/>
    <w:qFormat/>
    <w:rPr>
      <w:rFonts w:cs="Symbol"/>
    </w:rPr>
  </w:style>
  <w:style w:type="character" w:customStyle="1" w:styleId="ListLabel1605">
    <w:name w:val="ListLabel 1605"/>
    <w:qFormat/>
    <w:rPr>
      <w:rFonts w:cs="Courier New"/>
    </w:rPr>
  </w:style>
  <w:style w:type="character" w:customStyle="1" w:styleId="ListLabel1606">
    <w:name w:val="ListLabel 1606"/>
    <w:qFormat/>
    <w:rPr>
      <w:rFonts w:cs="Wingdings"/>
    </w:rPr>
  </w:style>
  <w:style w:type="character" w:customStyle="1" w:styleId="ListLabel1607">
    <w:name w:val="ListLabel 1607"/>
    <w:qFormat/>
    <w:rPr>
      <w:rFonts w:cs="Symbol"/>
    </w:rPr>
  </w:style>
  <w:style w:type="character" w:customStyle="1" w:styleId="ListLabel1608">
    <w:name w:val="ListLabel 1608"/>
    <w:qFormat/>
    <w:rPr>
      <w:rFonts w:cs="Courier New"/>
    </w:rPr>
  </w:style>
  <w:style w:type="character" w:customStyle="1" w:styleId="ListLabel1609">
    <w:name w:val="ListLabel 1609"/>
    <w:qFormat/>
    <w:rPr>
      <w:rFonts w:cs="Wingdings"/>
    </w:rPr>
  </w:style>
  <w:style w:type="character" w:customStyle="1" w:styleId="ListLabel1610">
    <w:name w:val="ListLabel 1610"/>
    <w:qFormat/>
    <w:rPr>
      <w:rFonts w:cs="Calibri"/>
    </w:rPr>
  </w:style>
  <w:style w:type="character" w:customStyle="1" w:styleId="ListLabel1611">
    <w:name w:val="ListLabel 1611"/>
    <w:qFormat/>
    <w:rPr>
      <w:rFonts w:cs="Courier New"/>
    </w:rPr>
  </w:style>
  <w:style w:type="character" w:customStyle="1" w:styleId="ListLabel1612">
    <w:name w:val="ListLabel 1612"/>
    <w:qFormat/>
    <w:rPr>
      <w:rFonts w:cs="Wingdings"/>
    </w:rPr>
  </w:style>
  <w:style w:type="character" w:customStyle="1" w:styleId="ListLabel1613">
    <w:name w:val="ListLabel 1613"/>
    <w:qFormat/>
    <w:rPr>
      <w:rFonts w:cs="Symbol"/>
    </w:rPr>
  </w:style>
  <w:style w:type="character" w:customStyle="1" w:styleId="ListLabel1614">
    <w:name w:val="ListLabel 1614"/>
    <w:qFormat/>
    <w:rPr>
      <w:rFonts w:cs="Courier New"/>
    </w:rPr>
  </w:style>
  <w:style w:type="character" w:customStyle="1" w:styleId="ListLabel1615">
    <w:name w:val="ListLabel 1615"/>
    <w:qFormat/>
    <w:rPr>
      <w:rFonts w:cs="Wingdings"/>
    </w:rPr>
  </w:style>
  <w:style w:type="character" w:customStyle="1" w:styleId="ListLabel1616">
    <w:name w:val="ListLabel 1616"/>
    <w:qFormat/>
    <w:rPr>
      <w:rFonts w:cs="Symbol"/>
    </w:rPr>
  </w:style>
  <w:style w:type="character" w:customStyle="1" w:styleId="ListLabel1617">
    <w:name w:val="ListLabel 1617"/>
    <w:qFormat/>
    <w:rPr>
      <w:rFonts w:cs="Courier New"/>
    </w:rPr>
  </w:style>
  <w:style w:type="character" w:customStyle="1" w:styleId="ListLabel1618">
    <w:name w:val="ListLabel 1618"/>
    <w:qFormat/>
    <w:rPr>
      <w:rFonts w:cs="Wingdings"/>
    </w:rPr>
  </w:style>
  <w:style w:type="character" w:customStyle="1" w:styleId="ListLabel1619">
    <w:name w:val="ListLabel 1619"/>
    <w:qFormat/>
    <w:rPr>
      <w:rFonts w:cs="Calibri"/>
    </w:rPr>
  </w:style>
  <w:style w:type="character" w:customStyle="1" w:styleId="ListLabel1620">
    <w:name w:val="ListLabel 1620"/>
    <w:qFormat/>
    <w:rPr>
      <w:rFonts w:cs="Courier New"/>
    </w:rPr>
  </w:style>
  <w:style w:type="character" w:customStyle="1" w:styleId="ListLabel1621">
    <w:name w:val="ListLabel 1621"/>
    <w:qFormat/>
    <w:rPr>
      <w:rFonts w:cs="Wingdings"/>
    </w:rPr>
  </w:style>
  <w:style w:type="character" w:customStyle="1" w:styleId="ListLabel1622">
    <w:name w:val="ListLabel 1622"/>
    <w:qFormat/>
    <w:rPr>
      <w:rFonts w:cs="Symbol"/>
    </w:rPr>
  </w:style>
  <w:style w:type="character" w:customStyle="1" w:styleId="ListLabel1623">
    <w:name w:val="ListLabel 1623"/>
    <w:qFormat/>
    <w:rPr>
      <w:rFonts w:cs="Courier New"/>
    </w:rPr>
  </w:style>
  <w:style w:type="character" w:customStyle="1" w:styleId="ListLabel1624">
    <w:name w:val="ListLabel 1624"/>
    <w:qFormat/>
    <w:rPr>
      <w:rFonts w:cs="Wingdings"/>
    </w:rPr>
  </w:style>
  <w:style w:type="character" w:customStyle="1" w:styleId="ListLabel1625">
    <w:name w:val="ListLabel 1625"/>
    <w:qFormat/>
    <w:rPr>
      <w:rFonts w:cs="Symbol"/>
    </w:rPr>
  </w:style>
  <w:style w:type="character" w:customStyle="1" w:styleId="ListLabel1626">
    <w:name w:val="ListLabel 1626"/>
    <w:qFormat/>
    <w:rPr>
      <w:rFonts w:cs="Courier New"/>
    </w:rPr>
  </w:style>
  <w:style w:type="character" w:customStyle="1" w:styleId="ListLabel1627">
    <w:name w:val="ListLabel 1627"/>
    <w:qFormat/>
    <w:rPr>
      <w:rFonts w:cs="Wingdings"/>
    </w:rPr>
  </w:style>
  <w:style w:type="character" w:customStyle="1" w:styleId="ListLabel1628">
    <w:name w:val="ListLabel 1628"/>
    <w:qFormat/>
    <w:rPr>
      <w:rFonts w:cs="Symbol"/>
    </w:rPr>
  </w:style>
  <w:style w:type="character" w:customStyle="1" w:styleId="ListLabel1629">
    <w:name w:val="ListLabel 1629"/>
    <w:qFormat/>
    <w:rPr>
      <w:rFonts w:cs="Courier New"/>
    </w:rPr>
  </w:style>
  <w:style w:type="character" w:customStyle="1" w:styleId="ListLabel1630">
    <w:name w:val="ListLabel 1630"/>
    <w:qFormat/>
    <w:rPr>
      <w:rFonts w:cs="Wingdings"/>
    </w:rPr>
  </w:style>
  <w:style w:type="character" w:customStyle="1" w:styleId="ListLabel1631">
    <w:name w:val="ListLabel 1631"/>
    <w:qFormat/>
    <w:rPr>
      <w:rFonts w:cs="Symbol"/>
    </w:rPr>
  </w:style>
  <w:style w:type="character" w:customStyle="1" w:styleId="ListLabel1632">
    <w:name w:val="ListLabel 1632"/>
    <w:qFormat/>
    <w:rPr>
      <w:rFonts w:cs="Courier New"/>
    </w:rPr>
  </w:style>
  <w:style w:type="character" w:customStyle="1" w:styleId="ListLabel1633">
    <w:name w:val="ListLabel 1633"/>
    <w:qFormat/>
    <w:rPr>
      <w:rFonts w:cs="Wingdings"/>
    </w:rPr>
  </w:style>
  <w:style w:type="character" w:customStyle="1" w:styleId="ListLabel1634">
    <w:name w:val="ListLabel 1634"/>
    <w:qFormat/>
    <w:rPr>
      <w:rFonts w:cs="Symbol"/>
    </w:rPr>
  </w:style>
  <w:style w:type="character" w:customStyle="1" w:styleId="ListLabel1635">
    <w:name w:val="ListLabel 1635"/>
    <w:qFormat/>
    <w:rPr>
      <w:rFonts w:cs="Courier New"/>
    </w:rPr>
  </w:style>
  <w:style w:type="character" w:customStyle="1" w:styleId="ListLabel1636">
    <w:name w:val="ListLabel 1636"/>
    <w:qFormat/>
    <w:rPr>
      <w:rFonts w:cs="Wingdings"/>
    </w:rPr>
  </w:style>
  <w:style w:type="character" w:customStyle="1" w:styleId="ListLabel1637">
    <w:name w:val="ListLabel 1637"/>
    <w:qFormat/>
    <w:rPr>
      <w:rFonts w:cs="Arial"/>
      <w:b/>
    </w:rPr>
  </w:style>
  <w:style w:type="character" w:customStyle="1" w:styleId="ListLabel1638">
    <w:name w:val="ListLabel 1638"/>
    <w:qFormat/>
    <w:rPr>
      <w:rFonts w:cs="Courier New"/>
    </w:rPr>
  </w:style>
  <w:style w:type="character" w:customStyle="1" w:styleId="ListLabel1639">
    <w:name w:val="ListLabel 1639"/>
    <w:qFormat/>
    <w:rPr>
      <w:rFonts w:cs="Wingdings"/>
    </w:rPr>
  </w:style>
  <w:style w:type="character" w:customStyle="1" w:styleId="ListLabel1640">
    <w:name w:val="ListLabel 1640"/>
    <w:qFormat/>
    <w:rPr>
      <w:rFonts w:cs="Symbol"/>
    </w:rPr>
  </w:style>
  <w:style w:type="character" w:customStyle="1" w:styleId="ListLabel1641">
    <w:name w:val="ListLabel 1641"/>
    <w:qFormat/>
    <w:rPr>
      <w:rFonts w:cs="Courier New"/>
    </w:rPr>
  </w:style>
  <w:style w:type="character" w:customStyle="1" w:styleId="ListLabel1642">
    <w:name w:val="ListLabel 1642"/>
    <w:qFormat/>
    <w:rPr>
      <w:rFonts w:cs="Wingdings"/>
    </w:rPr>
  </w:style>
  <w:style w:type="character" w:customStyle="1" w:styleId="ListLabel1643">
    <w:name w:val="ListLabel 1643"/>
    <w:qFormat/>
    <w:rPr>
      <w:rFonts w:cs="Symbol"/>
    </w:rPr>
  </w:style>
  <w:style w:type="character" w:customStyle="1" w:styleId="ListLabel1644">
    <w:name w:val="ListLabel 1644"/>
    <w:qFormat/>
    <w:rPr>
      <w:rFonts w:cs="Courier New"/>
    </w:rPr>
  </w:style>
  <w:style w:type="character" w:customStyle="1" w:styleId="ListLabel1645">
    <w:name w:val="ListLabel 1645"/>
    <w:qFormat/>
    <w:rPr>
      <w:rFonts w:cs="Wingdings"/>
    </w:rPr>
  </w:style>
  <w:style w:type="character" w:customStyle="1" w:styleId="ListLabel1646">
    <w:name w:val="ListLabel 1646"/>
    <w:qFormat/>
    <w:rPr>
      <w:rFonts w:cs="Calibri"/>
    </w:rPr>
  </w:style>
  <w:style w:type="character" w:customStyle="1" w:styleId="ListLabel1647">
    <w:name w:val="ListLabel 1647"/>
    <w:qFormat/>
    <w:rPr>
      <w:rFonts w:cs="Courier New"/>
    </w:rPr>
  </w:style>
  <w:style w:type="character" w:customStyle="1" w:styleId="ListLabel1648">
    <w:name w:val="ListLabel 1648"/>
    <w:qFormat/>
    <w:rPr>
      <w:rFonts w:cs="Wingdings"/>
    </w:rPr>
  </w:style>
  <w:style w:type="character" w:customStyle="1" w:styleId="ListLabel1649">
    <w:name w:val="ListLabel 1649"/>
    <w:qFormat/>
    <w:rPr>
      <w:rFonts w:cs="Symbol"/>
    </w:rPr>
  </w:style>
  <w:style w:type="character" w:customStyle="1" w:styleId="ListLabel1650">
    <w:name w:val="ListLabel 1650"/>
    <w:qFormat/>
    <w:rPr>
      <w:rFonts w:cs="Courier New"/>
    </w:rPr>
  </w:style>
  <w:style w:type="character" w:customStyle="1" w:styleId="ListLabel1651">
    <w:name w:val="ListLabel 1651"/>
    <w:qFormat/>
    <w:rPr>
      <w:rFonts w:cs="Wingdings"/>
    </w:rPr>
  </w:style>
  <w:style w:type="character" w:customStyle="1" w:styleId="ListLabel1652">
    <w:name w:val="ListLabel 1652"/>
    <w:qFormat/>
    <w:rPr>
      <w:rFonts w:cs="Symbol"/>
    </w:rPr>
  </w:style>
  <w:style w:type="character" w:customStyle="1" w:styleId="ListLabel1653">
    <w:name w:val="ListLabel 1653"/>
    <w:qFormat/>
    <w:rPr>
      <w:rFonts w:cs="Courier New"/>
    </w:rPr>
  </w:style>
  <w:style w:type="character" w:customStyle="1" w:styleId="ListLabel1654">
    <w:name w:val="ListLabel 1654"/>
    <w:qFormat/>
    <w:rPr>
      <w:rFonts w:cs="Wingdings"/>
    </w:rPr>
  </w:style>
  <w:style w:type="character" w:customStyle="1" w:styleId="ListLabel1655">
    <w:name w:val="ListLabel 1655"/>
    <w:qFormat/>
    <w:rPr>
      <w:rFonts w:cs="Calibri"/>
    </w:rPr>
  </w:style>
  <w:style w:type="character" w:customStyle="1" w:styleId="ListLabel1656">
    <w:name w:val="ListLabel 1656"/>
    <w:qFormat/>
    <w:rPr>
      <w:rFonts w:cs="Courier New"/>
    </w:rPr>
  </w:style>
  <w:style w:type="character" w:customStyle="1" w:styleId="ListLabel1657">
    <w:name w:val="ListLabel 1657"/>
    <w:qFormat/>
    <w:rPr>
      <w:rFonts w:cs="Wingdings"/>
    </w:rPr>
  </w:style>
  <w:style w:type="character" w:customStyle="1" w:styleId="ListLabel1658">
    <w:name w:val="ListLabel 1658"/>
    <w:qFormat/>
    <w:rPr>
      <w:rFonts w:cs="Symbol"/>
    </w:rPr>
  </w:style>
  <w:style w:type="character" w:customStyle="1" w:styleId="ListLabel1659">
    <w:name w:val="ListLabel 1659"/>
    <w:qFormat/>
    <w:rPr>
      <w:rFonts w:cs="Courier New"/>
    </w:rPr>
  </w:style>
  <w:style w:type="character" w:customStyle="1" w:styleId="ListLabel1660">
    <w:name w:val="ListLabel 1660"/>
    <w:qFormat/>
    <w:rPr>
      <w:rFonts w:cs="Wingdings"/>
    </w:rPr>
  </w:style>
  <w:style w:type="character" w:customStyle="1" w:styleId="ListLabel1661">
    <w:name w:val="ListLabel 1661"/>
    <w:qFormat/>
    <w:rPr>
      <w:rFonts w:cs="Symbol"/>
    </w:rPr>
  </w:style>
  <w:style w:type="character" w:customStyle="1" w:styleId="ListLabel1662">
    <w:name w:val="ListLabel 1662"/>
    <w:qFormat/>
    <w:rPr>
      <w:rFonts w:cs="Courier New"/>
    </w:rPr>
  </w:style>
  <w:style w:type="character" w:customStyle="1" w:styleId="ListLabel1663">
    <w:name w:val="ListLabel 1663"/>
    <w:qFormat/>
    <w:rPr>
      <w:rFonts w:cs="Wingdings"/>
    </w:rPr>
  </w:style>
  <w:style w:type="character" w:customStyle="1" w:styleId="ListLabel1664">
    <w:name w:val="ListLabel 1664"/>
    <w:qFormat/>
    <w:rPr>
      <w:rFonts w:cs="Symbol"/>
    </w:rPr>
  </w:style>
  <w:style w:type="character" w:customStyle="1" w:styleId="ListLabel1665">
    <w:name w:val="ListLabel 1665"/>
    <w:qFormat/>
    <w:rPr>
      <w:rFonts w:cs="Courier New"/>
    </w:rPr>
  </w:style>
  <w:style w:type="character" w:customStyle="1" w:styleId="ListLabel1666">
    <w:name w:val="ListLabel 1666"/>
    <w:qFormat/>
    <w:rPr>
      <w:rFonts w:cs="Wingdings"/>
    </w:rPr>
  </w:style>
  <w:style w:type="character" w:customStyle="1" w:styleId="ListLabel1667">
    <w:name w:val="ListLabel 1667"/>
    <w:qFormat/>
    <w:rPr>
      <w:rFonts w:cs="Symbol"/>
    </w:rPr>
  </w:style>
  <w:style w:type="character" w:customStyle="1" w:styleId="ListLabel1668">
    <w:name w:val="ListLabel 1668"/>
    <w:qFormat/>
    <w:rPr>
      <w:rFonts w:cs="Courier New"/>
    </w:rPr>
  </w:style>
  <w:style w:type="character" w:customStyle="1" w:styleId="ListLabel1669">
    <w:name w:val="ListLabel 1669"/>
    <w:qFormat/>
    <w:rPr>
      <w:rFonts w:cs="Wingdings"/>
    </w:rPr>
  </w:style>
  <w:style w:type="character" w:customStyle="1" w:styleId="ListLabel1670">
    <w:name w:val="ListLabel 1670"/>
    <w:qFormat/>
    <w:rPr>
      <w:rFonts w:cs="Symbol"/>
    </w:rPr>
  </w:style>
  <w:style w:type="character" w:customStyle="1" w:styleId="ListLabel1671">
    <w:name w:val="ListLabel 1671"/>
    <w:qFormat/>
    <w:rPr>
      <w:rFonts w:cs="Courier New"/>
    </w:rPr>
  </w:style>
  <w:style w:type="character" w:customStyle="1" w:styleId="ListLabel1672">
    <w:name w:val="ListLabel 1672"/>
    <w:qFormat/>
    <w:rPr>
      <w:rFonts w:cs="Wingdings"/>
    </w:rPr>
  </w:style>
  <w:style w:type="character" w:customStyle="1" w:styleId="ListLabel1673">
    <w:name w:val="ListLabel 1673"/>
    <w:qFormat/>
    <w:rPr>
      <w:rFonts w:cs="Symbol"/>
    </w:rPr>
  </w:style>
  <w:style w:type="character" w:customStyle="1" w:styleId="ListLabel1674">
    <w:name w:val="ListLabel 1674"/>
    <w:qFormat/>
    <w:rPr>
      <w:rFonts w:cs="Courier New"/>
    </w:rPr>
  </w:style>
  <w:style w:type="character" w:customStyle="1" w:styleId="ListLabel1675">
    <w:name w:val="ListLabel 1675"/>
    <w:qFormat/>
    <w:rPr>
      <w:rFonts w:cs="Wingdings"/>
    </w:rPr>
  </w:style>
  <w:style w:type="character" w:customStyle="1" w:styleId="ListLabel1676">
    <w:name w:val="ListLabel 1676"/>
    <w:qFormat/>
    <w:rPr>
      <w:rFonts w:cs="Symbol"/>
    </w:rPr>
  </w:style>
  <w:style w:type="character" w:customStyle="1" w:styleId="ListLabel1677">
    <w:name w:val="ListLabel 1677"/>
    <w:qFormat/>
    <w:rPr>
      <w:rFonts w:cs="Courier New"/>
    </w:rPr>
  </w:style>
  <w:style w:type="character" w:customStyle="1" w:styleId="ListLabel1678">
    <w:name w:val="ListLabel 1678"/>
    <w:qFormat/>
    <w:rPr>
      <w:rFonts w:cs="Wingdings"/>
    </w:rPr>
  </w:style>
  <w:style w:type="character" w:customStyle="1" w:styleId="ListLabel1679">
    <w:name w:val="ListLabel 1679"/>
    <w:qFormat/>
    <w:rPr>
      <w:rFonts w:cs="Symbol"/>
    </w:rPr>
  </w:style>
  <w:style w:type="character" w:customStyle="1" w:styleId="ListLabel1680">
    <w:name w:val="ListLabel 1680"/>
    <w:qFormat/>
    <w:rPr>
      <w:rFonts w:cs="Courier New"/>
    </w:rPr>
  </w:style>
  <w:style w:type="character" w:customStyle="1" w:styleId="ListLabel1681">
    <w:name w:val="ListLabel 1681"/>
    <w:qFormat/>
    <w:rPr>
      <w:rFonts w:cs="Wingdings"/>
    </w:rPr>
  </w:style>
  <w:style w:type="character" w:customStyle="1" w:styleId="ListLabel1682">
    <w:name w:val="ListLabel 1682"/>
    <w:qFormat/>
    <w:rPr>
      <w:rFonts w:cs="Symbol"/>
      <w:b/>
    </w:rPr>
  </w:style>
  <w:style w:type="character" w:customStyle="1" w:styleId="ListLabel1683">
    <w:name w:val="ListLabel 1683"/>
    <w:qFormat/>
    <w:rPr>
      <w:rFonts w:cs="Courier New"/>
    </w:rPr>
  </w:style>
  <w:style w:type="character" w:customStyle="1" w:styleId="ListLabel1684">
    <w:name w:val="ListLabel 1684"/>
    <w:qFormat/>
    <w:rPr>
      <w:rFonts w:cs="Wingdings"/>
    </w:rPr>
  </w:style>
  <w:style w:type="character" w:customStyle="1" w:styleId="ListLabel1685">
    <w:name w:val="ListLabel 1685"/>
    <w:qFormat/>
    <w:rPr>
      <w:rFonts w:cs="Symbol"/>
    </w:rPr>
  </w:style>
  <w:style w:type="character" w:customStyle="1" w:styleId="ListLabel1686">
    <w:name w:val="ListLabel 1686"/>
    <w:qFormat/>
    <w:rPr>
      <w:rFonts w:cs="Courier New"/>
    </w:rPr>
  </w:style>
  <w:style w:type="character" w:customStyle="1" w:styleId="ListLabel1687">
    <w:name w:val="ListLabel 1687"/>
    <w:qFormat/>
    <w:rPr>
      <w:rFonts w:cs="Wingdings"/>
    </w:rPr>
  </w:style>
  <w:style w:type="character" w:customStyle="1" w:styleId="ListLabel1688">
    <w:name w:val="ListLabel 1688"/>
    <w:qFormat/>
    <w:rPr>
      <w:rFonts w:cs="Symbol"/>
    </w:rPr>
  </w:style>
  <w:style w:type="character" w:customStyle="1" w:styleId="ListLabel1689">
    <w:name w:val="ListLabel 1689"/>
    <w:qFormat/>
    <w:rPr>
      <w:rFonts w:cs="Courier New"/>
    </w:rPr>
  </w:style>
  <w:style w:type="character" w:customStyle="1" w:styleId="ListLabel1690">
    <w:name w:val="ListLabel 1690"/>
    <w:qFormat/>
    <w:rPr>
      <w:rFonts w:cs="Wingdings"/>
    </w:rPr>
  </w:style>
  <w:style w:type="character" w:customStyle="1" w:styleId="ListLabel1691">
    <w:name w:val="ListLabel 1691"/>
    <w:qFormat/>
    <w:rPr>
      <w:rFonts w:cs="Symbol"/>
    </w:rPr>
  </w:style>
  <w:style w:type="character" w:customStyle="1" w:styleId="ListLabel1692">
    <w:name w:val="ListLabel 1692"/>
    <w:qFormat/>
    <w:rPr>
      <w:rFonts w:cs="Courier New"/>
    </w:rPr>
  </w:style>
  <w:style w:type="character" w:customStyle="1" w:styleId="ListLabel1693">
    <w:name w:val="ListLabel 1693"/>
    <w:qFormat/>
    <w:rPr>
      <w:rFonts w:cs="Wingdings"/>
    </w:rPr>
  </w:style>
  <w:style w:type="character" w:customStyle="1" w:styleId="ListLabel1694">
    <w:name w:val="ListLabel 1694"/>
    <w:qFormat/>
    <w:rPr>
      <w:rFonts w:cs="Symbol"/>
    </w:rPr>
  </w:style>
  <w:style w:type="character" w:customStyle="1" w:styleId="ListLabel1695">
    <w:name w:val="ListLabel 1695"/>
    <w:qFormat/>
    <w:rPr>
      <w:rFonts w:cs="Courier New"/>
    </w:rPr>
  </w:style>
  <w:style w:type="character" w:customStyle="1" w:styleId="ListLabel1696">
    <w:name w:val="ListLabel 1696"/>
    <w:qFormat/>
    <w:rPr>
      <w:rFonts w:cs="Wingdings"/>
    </w:rPr>
  </w:style>
  <w:style w:type="character" w:customStyle="1" w:styleId="ListLabel1697">
    <w:name w:val="ListLabel 1697"/>
    <w:qFormat/>
    <w:rPr>
      <w:rFonts w:cs="Symbol"/>
    </w:rPr>
  </w:style>
  <w:style w:type="character" w:customStyle="1" w:styleId="ListLabel1698">
    <w:name w:val="ListLabel 1698"/>
    <w:qFormat/>
    <w:rPr>
      <w:rFonts w:cs="Courier New"/>
    </w:rPr>
  </w:style>
  <w:style w:type="character" w:customStyle="1" w:styleId="ListLabel1699">
    <w:name w:val="ListLabel 1699"/>
    <w:qFormat/>
    <w:rPr>
      <w:rFonts w:cs="Wingdings"/>
    </w:rPr>
  </w:style>
  <w:style w:type="character" w:customStyle="1" w:styleId="ListLabel1700">
    <w:name w:val="ListLabel 1700"/>
    <w:qFormat/>
    <w:rPr>
      <w:rFonts w:cs="Symbol"/>
      <w:b/>
    </w:rPr>
  </w:style>
  <w:style w:type="character" w:customStyle="1" w:styleId="ListLabel1701">
    <w:name w:val="ListLabel 1701"/>
    <w:qFormat/>
    <w:rPr>
      <w:rFonts w:cs="Courier New"/>
    </w:rPr>
  </w:style>
  <w:style w:type="character" w:customStyle="1" w:styleId="ListLabel1702">
    <w:name w:val="ListLabel 1702"/>
    <w:qFormat/>
    <w:rPr>
      <w:rFonts w:cs="Wingdings"/>
    </w:rPr>
  </w:style>
  <w:style w:type="character" w:customStyle="1" w:styleId="ListLabel1703">
    <w:name w:val="ListLabel 1703"/>
    <w:qFormat/>
    <w:rPr>
      <w:rFonts w:cs="Symbol"/>
    </w:rPr>
  </w:style>
  <w:style w:type="character" w:customStyle="1" w:styleId="ListLabel1704">
    <w:name w:val="ListLabel 1704"/>
    <w:qFormat/>
    <w:rPr>
      <w:rFonts w:cs="Courier New"/>
    </w:rPr>
  </w:style>
  <w:style w:type="character" w:customStyle="1" w:styleId="ListLabel1705">
    <w:name w:val="ListLabel 1705"/>
    <w:qFormat/>
    <w:rPr>
      <w:rFonts w:cs="Wingdings"/>
    </w:rPr>
  </w:style>
  <w:style w:type="character" w:customStyle="1" w:styleId="ListLabel1706">
    <w:name w:val="ListLabel 1706"/>
    <w:qFormat/>
    <w:rPr>
      <w:rFonts w:cs="Symbol"/>
    </w:rPr>
  </w:style>
  <w:style w:type="character" w:customStyle="1" w:styleId="ListLabel1707">
    <w:name w:val="ListLabel 1707"/>
    <w:qFormat/>
    <w:rPr>
      <w:rFonts w:cs="Courier New"/>
    </w:rPr>
  </w:style>
  <w:style w:type="character" w:customStyle="1" w:styleId="ListLabel1708">
    <w:name w:val="ListLabel 1708"/>
    <w:qFormat/>
    <w:rPr>
      <w:rFonts w:cs="Wingdings"/>
    </w:rPr>
  </w:style>
  <w:style w:type="character" w:customStyle="1" w:styleId="ListLabel1709">
    <w:name w:val="ListLabel 1709"/>
    <w:qFormat/>
    <w:rPr>
      <w:rFonts w:cs="Times New Roman"/>
      <w:b w:val="0"/>
    </w:rPr>
  </w:style>
  <w:style w:type="character" w:customStyle="1" w:styleId="ListLabel1710">
    <w:name w:val="ListLabel 1710"/>
    <w:qFormat/>
    <w:rPr>
      <w:rFonts w:cs="Times New Roman"/>
    </w:rPr>
  </w:style>
  <w:style w:type="character" w:customStyle="1" w:styleId="ListLabel1711">
    <w:name w:val="ListLabel 1711"/>
    <w:qFormat/>
    <w:rPr>
      <w:rFonts w:cs="Times New Roman"/>
    </w:rPr>
  </w:style>
  <w:style w:type="character" w:customStyle="1" w:styleId="ListLabel1712">
    <w:name w:val="ListLabel 1712"/>
    <w:qFormat/>
    <w:rPr>
      <w:rFonts w:cs="Times New Roman"/>
    </w:rPr>
  </w:style>
  <w:style w:type="character" w:customStyle="1" w:styleId="ListLabel1713">
    <w:name w:val="ListLabel 1713"/>
    <w:qFormat/>
    <w:rPr>
      <w:rFonts w:cs="Times New Roman"/>
    </w:rPr>
  </w:style>
  <w:style w:type="character" w:customStyle="1" w:styleId="ListLabel1714">
    <w:name w:val="ListLabel 1714"/>
    <w:qFormat/>
    <w:rPr>
      <w:rFonts w:cs="Times New Roman"/>
    </w:rPr>
  </w:style>
  <w:style w:type="character" w:customStyle="1" w:styleId="ListLabel1715">
    <w:name w:val="ListLabel 1715"/>
    <w:qFormat/>
    <w:rPr>
      <w:rFonts w:cs="Times New Roman"/>
    </w:rPr>
  </w:style>
  <w:style w:type="character" w:customStyle="1" w:styleId="ListLabel1716">
    <w:name w:val="ListLabel 1716"/>
    <w:qFormat/>
    <w:rPr>
      <w:rFonts w:cs="Times New Roman"/>
    </w:rPr>
  </w:style>
  <w:style w:type="character" w:customStyle="1" w:styleId="ListLabel1717">
    <w:name w:val="ListLabel 1717"/>
    <w:qFormat/>
    <w:rPr>
      <w:rFonts w:cs="Times New Roman"/>
    </w:rPr>
  </w:style>
  <w:style w:type="character" w:customStyle="1" w:styleId="ListLabel1718">
    <w:name w:val="ListLabel 1718"/>
    <w:qFormat/>
    <w:rPr>
      <w:rFonts w:cs="Calibri"/>
    </w:rPr>
  </w:style>
  <w:style w:type="character" w:customStyle="1" w:styleId="ListLabel1719">
    <w:name w:val="ListLabel 1719"/>
    <w:qFormat/>
    <w:rPr>
      <w:rFonts w:cs="Courier New"/>
    </w:rPr>
  </w:style>
  <w:style w:type="character" w:customStyle="1" w:styleId="ListLabel1720">
    <w:name w:val="ListLabel 1720"/>
    <w:qFormat/>
    <w:rPr>
      <w:rFonts w:cs="Wingdings"/>
    </w:rPr>
  </w:style>
  <w:style w:type="character" w:customStyle="1" w:styleId="ListLabel1721">
    <w:name w:val="ListLabel 1721"/>
    <w:qFormat/>
    <w:rPr>
      <w:rFonts w:cs="Symbol"/>
    </w:rPr>
  </w:style>
  <w:style w:type="character" w:customStyle="1" w:styleId="ListLabel1722">
    <w:name w:val="ListLabel 1722"/>
    <w:qFormat/>
    <w:rPr>
      <w:rFonts w:cs="Courier New"/>
    </w:rPr>
  </w:style>
  <w:style w:type="character" w:customStyle="1" w:styleId="ListLabel1723">
    <w:name w:val="ListLabel 1723"/>
    <w:qFormat/>
    <w:rPr>
      <w:rFonts w:cs="Wingdings"/>
    </w:rPr>
  </w:style>
  <w:style w:type="character" w:customStyle="1" w:styleId="ListLabel1724">
    <w:name w:val="ListLabel 1724"/>
    <w:qFormat/>
    <w:rPr>
      <w:rFonts w:cs="Symbol"/>
    </w:rPr>
  </w:style>
  <w:style w:type="character" w:customStyle="1" w:styleId="ListLabel1725">
    <w:name w:val="ListLabel 1725"/>
    <w:qFormat/>
    <w:rPr>
      <w:rFonts w:cs="Courier New"/>
    </w:rPr>
  </w:style>
  <w:style w:type="character" w:customStyle="1" w:styleId="ListLabel1726">
    <w:name w:val="ListLabel 1726"/>
    <w:qFormat/>
    <w:rPr>
      <w:rFonts w:cs="Wingdings"/>
    </w:rPr>
  </w:style>
  <w:style w:type="character" w:customStyle="1" w:styleId="ListLabel1727">
    <w:name w:val="ListLabel 1727"/>
    <w:qFormat/>
    <w:rPr>
      <w:rFonts w:cs="Calibri"/>
    </w:rPr>
  </w:style>
  <w:style w:type="character" w:customStyle="1" w:styleId="ListLabel1728">
    <w:name w:val="ListLabel 1728"/>
    <w:qFormat/>
    <w:rPr>
      <w:rFonts w:cs="Courier New"/>
    </w:rPr>
  </w:style>
  <w:style w:type="character" w:customStyle="1" w:styleId="ListLabel1729">
    <w:name w:val="ListLabel 1729"/>
    <w:qFormat/>
    <w:rPr>
      <w:rFonts w:cs="Wingdings"/>
    </w:rPr>
  </w:style>
  <w:style w:type="character" w:customStyle="1" w:styleId="ListLabel1730">
    <w:name w:val="ListLabel 1730"/>
    <w:qFormat/>
    <w:rPr>
      <w:rFonts w:cs="Symbol"/>
    </w:rPr>
  </w:style>
  <w:style w:type="character" w:customStyle="1" w:styleId="ListLabel1731">
    <w:name w:val="ListLabel 1731"/>
    <w:qFormat/>
    <w:rPr>
      <w:rFonts w:cs="Courier New"/>
    </w:rPr>
  </w:style>
  <w:style w:type="character" w:customStyle="1" w:styleId="ListLabel1732">
    <w:name w:val="ListLabel 1732"/>
    <w:qFormat/>
    <w:rPr>
      <w:rFonts w:cs="Wingdings"/>
    </w:rPr>
  </w:style>
  <w:style w:type="character" w:customStyle="1" w:styleId="ListLabel1733">
    <w:name w:val="ListLabel 1733"/>
    <w:qFormat/>
    <w:rPr>
      <w:rFonts w:cs="Symbol"/>
    </w:rPr>
  </w:style>
  <w:style w:type="character" w:customStyle="1" w:styleId="ListLabel1734">
    <w:name w:val="ListLabel 1734"/>
    <w:qFormat/>
    <w:rPr>
      <w:rFonts w:cs="Courier New"/>
    </w:rPr>
  </w:style>
  <w:style w:type="character" w:customStyle="1" w:styleId="ListLabel1735">
    <w:name w:val="ListLabel 1735"/>
    <w:qFormat/>
    <w:rPr>
      <w:rFonts w:cs="Wingdings"/>
    </w:rPr>
  </w:style>
  <w:style w:type="character" w:customStyle="1" w:styleId="ListLabel1736">
    <w:name w:val="ListLabel 1736"/>
    <w:qFormat/>
    <w:rPr>
      <w:rFonts w:cs="Times New Roman"/>
      <w:sz w:val="20"/>
    </w:rPr>
  </w:style>
  <w:style w:type="character" w:customStyle="1" w:styleId="ListLabel1737">
    <w:name w:val="ListLabel 1737"/>
    <w:qFormat/>
    <w:rPr>
      <w:rFonts w:cs="Times New Roman"/>
    </w:rPr>
  </w:style>
  <w:style w:type="character" w:customStyle="1" w:styleId="ListLabel1738">
    <w:name w:val="ListLabel 1738"/>
    <w:qFormat/>
    <w:rPr>
      <w:rFonts w:cs="Times New Roman"/>
    </w:rPr>
  </w:style>
  <w:style w:type="character" w:customStyle="1" w:styleId="ListLabel1739">
    <w:name w:val="ListLabel 1739"/>
    <w:qFormat/>
    <w:rPr>
      <w:rFonts w:cs="Times New Roman"/>
    </w:rPr>
  </w:style>
  <w:style w:type="character" w:customStyle="1" w:styleId="ListLabel1740">
    <w:name w:val="ListLabel 1740"/>
    <w:qFormat/>
    <w:rPr>
      <w:rFonts w:cs="Times New Roman"/>
    </w:rPr>
  </w:style>
  <w:style w:type="character" w:customStyle="1" w:styleId="ListLabel1741">
    <w:name w:val="ListLabel 1741"/>
    <w:qFormat/>
    <w:rPr>
      <w:rFonts w:cs="Times New Roman"/>
    </w:rPr>
  </w:style>
  <w:style w:type="character" w:customStyle="1" w:styleId="ListLabel1742">
    <w:name w:val="ListLabel 1742"/>
    <w:qFormat/>
    <w:rPr>
      <w:rFonts w:cs="Times New Roman"/>
    </w:rPr>
  </w:style>
  <w:style w:type="character" w:customStyle="1" w:styleId="ListLabel1743">
    <w:name w:val="ListLabel 1743"/>
    <w:qFormat/>
    <w:rPr>
      <w:rFonts w:cs="Times New Roman"/>
    </w:rPr>
  </w:style>
  <w:style w:type="character" w:customStyle="1" w:styleId="ListLabel1744">
    <w:name w:val="ListLabel 1744"/>
    <w:qFormat/>
    <w:rPr>
      <w:rFonts w:cs="Times New Roman"/>
    </w:rPr>
  </w:style>
  <w:style w:type="character" w:customStyle="1" w:styleId="ListLabel1745">
    <w:name w:val="ListLabel 1745"/>
    <w:qFormat/>
    <w:rPr>
      <w:rFonts w:cs="Symbol"/>
      <w:b/>
      <w:sz w:val="22"/>
    </w:rPr>
  </w:style>
  <w:style w:type="character" w:customStyle="1" w:styleId="ListLabel1746">
    <w:name w:val="ListLabel 1746"/>
    <w:qFormat/>
    <w:rPr>
      <w:rFonts w:cs="Courier New"/>
    </w:rPr>
  </w:style>
  <w:style w:type="character" w:customStyle="1" w:styleId="ListLabel1747">
    <w:name w:val="ListLabel 1747"/>
    <w:qFormat/>
    <w:rPr>
      <w:rFonts w:cs="Wingdings"/>
    </w:rPr>
  </w:style>
  <w:style w:type="character" w:customStyle="1" w:styleId="ListLabel1748">
    <w:name w:val="ListLabel 1748"/>
    <w:qFormat/>
    <w:rPr>
      <w:rFonts w:cs="Symbol"/>
    </w:rPr>
  </w:style>
  <w:style w:type="character" w:customStyle="1" w:styleId="ListLabel1749">
    <w:name w:val="ListLabel 1749"/>
    <w:qFormat/>
    <w:rPr>
      <w:rFonts w:cs="Courier New"/>
    </w:rPr>
  </w:style>
  <w:style w:type="character" w:customStyle="1" w:styleId="ListLabel1750">
    <w:name w:val="ListLabel 1750"/>
    <w:qFormat/>
    <w:rPr>
      <w:rFonts w:cs="Wingdings"/>
    </w:rPr>
  </w:style>
  <w:style w:type="character" w:customStyle="1" w:styleId="ListLabel1751">
    <w:name w:val="ListLabel 1751"/>
    <w:qFormat/>
    <w:rPr>
      <w:rFonts w:cs="Symbol"/>
    </w:rPr>
  </w:style>
  <w:style w:type="character" w:customStyle="1" w:styleId="ListLabel1752">
    <w:name w:val="ListLabel 1752"/>
    <w:qFormat/>
    <w:rPr>
      <w:rFonts w:cs="Courier New"/>
    </w:rPr>
  </w:style>
  <w:style w:type="character" w:customStyle="1" w:styleId="ListLabel1753">
    <w:name w:val="ListLabel 1753"/>
    <w:qFormat/>
    <w:rPr>
      <w:rFonts w:cs="Wingdings"/>
    </w:rPr>
  </w:style>
  <w:style w:type="character" w:customStyle="1" w:styleId="ListLabel1754">
    <w:name w:val="ListLabel 1754"/>
    <w:qFormat/>
    <w:rPr>
      <w:rFonts w:cs="Times New Roman"/>
      <w:sz w:val="20"/>
    </w:rPr>
  </w:style>
  <w:style w:type="character" w:customStyle="1" w:styleId="ListLabel1755">
    <w:name w:val="ListLabel 1755"/>
    <w:qFormat/>
    <w:rPr>
      <w:rFonts w:cs="Times New Roman"/>
    </w:rPr>
  </w:style>
  <w:style w:type="character" w:customStyle="1" w:styleId="ListLabel1756">
    <w:name w:val="ListLabel 1756"/>
    <w:qFormat/>
    <w:rPr>
      <w:rFonts w:cs="Times New Roman"/>
    </w:rPr>
  </w:style>
  <w:style w:type="character" w:customStyle="1" w:styleId="ListLabel1757">
    <w:name w:val="ListLabel 1757"/>
    <w:qFormat/>
    <w:rPr>
      <w:rFonts w:cs="Times New Roman"/>
    </w:rPr>
  </w:style>
  <w:style w:type="character" w:customStyle="1" w:styleId="ListLabel1758">
    <w:name w:val="ListLabel 1758"/>
    <w:qFormat/>
    <w:rPr>
      <w:rFonts w:cs="Times New Roman"/>
    </w:rPr>
  </w:style>
  <w:style w:type="character" w:customStyle="1" w:styleId="ListLabel1759">
    <w:name w:val="ListLabel 1759"/>
    <w:qFormat/>
    <w:rPr>
      <w:rFonts w:cs="Times New Roman"/>
    </w:rPr>
  </w:style>
  <w:style w:type="character" w:customStyle="1" w:styleId="ListLabel1760">
    <w:name w:val="ListLabel 1760"/>
    <w:qFormat/>
    <w:rPr>
      <w:rFonts w:cs="Times New Roman"/>
    </w:rPr>
  </w:style>
  <w:style w:type="character" w:customStyle="1" w:styleId="ListLabel1761">
    <w:name w:val="ListLabel 1761"/>
    <w:qFormat/>
    <w:rPr>
      <w:rFonts w:cs="Times New Roman"/>
    </w:rPr>
  </w:style>
  <w:style w:type="character" w:customStyle="1" w:styleId="ListLabel1762">
    <w:name w:val="ListLabel 1762"/>
    <w:qFormat/>
    <w:rPr>
      <w:rFonts w:cs="Times New Roman"/>
    </w:rPr>
  </w:style>
  <w:style w:type="character" w:customStyle="1" w:styleId="ListLabel1763">
    <w:name w:val="ListLabel 1763"/>
    <w:qFormat/>
    <w:rPr>
      <w:rFonts w:cs="Symbol"/>
    </w:rPr>
  </w:style>
  <w:style w:type="character" w:customStyle="1" w:styleId="ListLabel1764">
    <w:name w:val="ListLabel 1764"/>
    <w:qFormat/>
    <w:rPr>
      <w:rFonts w:cs="Courier New"/>
    </w:rPr>
  </w:style>
  <w:style w:type="character" w:customStyle="1" w:styleId="ListLabel1765">
    <w:name w:val="ListLabel 1765"/>
    <w:qFormat/>
    <w:rPr>
      <w:rFonts w:cs="Wingdings"/>
    </w:rPr>
  </w:style>
  <w:style w:type="character" w:customStyle="1" w:styleId="ListLabel1766">
    <w:name w:val="ListLabel 1766"/>
    <w:qFormat/>
    <w:rPr>
      <w:rFonts w:cs="Symbol"/>
    </w:rPr>
  </w:style>
  <w:style w:type="character" w:customStyle="1" w:styleId="ListLabel1767">
    <w:name w:val="ListLabel 1767"/>
    <w:qFormat/>
    <w:rPr>
      <w:rFonts w:cs="Courier New"/>
    </w:rPr>
  </w:style>
  <w:style w:type="character" w:customStyle="1" w:styleId="ListLabel1768">
    <w:name w:val="ListLabel 1768"/>
    <w:qFormat/>
    <w:rPr>
      <w:rFonts w:cs="Wingdings"/>
    </w:rPr>
  </w:style>
  <w:style w:type="character" w:customStyle="1" w:styleId="ListLabel1769">
    <w:name w:val="ListLabel 1769"/>
    <w:qFormat/>
    <w:rPr>
      <w:rFonts w:cs="Symbol"/>
    </w:rPr>
  </w:style>
  <w:style w:type="character" w:customStyle="1" w:styleId="ListLabel1770">
    <w:name w:val="ListLabel 1770"/>
    <w:qFormat/>
    <w:rPr>
      <w:rFonts w:cs="Courier New"/>
    </w:rPr>
  </w:style>
  <w:style w:type="character" w:customStyle="1" w:styleId="ListLabel1771">
    <w:name w:val="ListLabel 1771"/>
    <w:qFormat/>
    <w:rPr>
      <w:rFonts w:cs="Wingdings"/>
    </w:rPr>
  </w:style>
  <w:style w:type="character" w:customStyle="1" w:styleId="ListLabel1772">
    <w:name w:val="ListLabel 1772"/>
    <w:qFormat/>
    <w:rPr>
      <w:rFonts w:cs="Calibri"/>
      <w:sz w:val="24"/>
    </w:rPr>
  </w:style>
  <w:style w:type="character" w:customStyle="1" w:styleId="ListLabel1773">
    <w:name w:val="ListLabel 1773"/>
    <w:qFormat/>
    <w:rPr>
      <w:rFonts w:cs="Courier New"/>
    </w:rPr>
  </w:style>
  <w:style w:type="character" w:customStyle="1" w:styleId="ListLabel1774">
    <w:name w:val="ListLabel 1774"/>
    <w:qFormat/>
    <w:rPr>
      <w:rFonts w:cs="Wingdings"/>
    </w:rPr>
  </w:style>
  <w:style w:type="character" w:customStyle="1" w:styleId="ListLabel1775">
    <w:name w:val="ListLabel 1775"/>
    <w:qFormat/>
    <w:rPr>
      <w:rFonts w:cs="Symbol"/>
    </w:rPr>
  </w:style>
  <w:style w:type="character" w:customStyle="1" w:styleId="ListLabel1776">
    <w:name w:val="ListLabel 1776"/>
    <w:qFormat/>
    <w:rPr>
      <w:rFonts w:cs="Courier New"/>
    </w:rPr>
  </w:style>
  <w:style w:type="character" w:customStyle="1" w:styleId="ListLabel1777">
    <w:name w:val="ListLabel 1777"/>
    <w:qFormat/>
    <w:rPr>
      <w:rFonts w:cs="Wingdings"/>
    </w:rPr>
  </w:style>
  <w:style w:type="character" w:customStyle="1" w:styleId="ListLabel1778">
    <w:name w:val="ListLabel 1778"/>
    <w:qFormat/>
    <w:rPr>
      <w:rFonts w:cs="Symbol"/>
    </w:rPr>
  </w:style>
  <w:style w:type="character" w:customStyle="1" w:styleId="ListLabel1779">
    <w:name w:val="ListLabel 1779"/>
    <w:qFormat/>
    <w:rPr>
      <w:rFonts w:cs="Courier New"/>
    </w:rPr>
  </w:style>
  <w:style w:type="character" w:customStyle="1" w:styleId="ListLabel1780">
    <w:name w:val="ListLabel 1780"/>
    <w:qFormat/>
    <w:rPr>
      <w:rFonts w:cs="Wingdings"/>
    </w:rPr>
  </w:style>
  <w:style w:type="character" w:customStyle="1" w:styleId="ListLabel1781">
    <w:name w:val="ListLabel 1781"/>
    <w:qFormat/>
    <w:rPr>
      <w:rFonts w:cs="Times New Roman"/>
      <w:b/>
    </w:rPr>
  </w:style>
  <w:style w:type="character" w:customStyle="1" w:styleId="ListLabel1782">
    <w:name w:val="ListLabel 1782"/>
    <w:qFormat/>
    <w:rPr>
      <w:rFonts w:cs="Courier New"/>
    </w:rPr>
  </w:style>
  <w:style w:type="character" w:customStyle="1" w:styleId="ListLabel1783">
    <w:name w:val="ListLabel 1783"/>
    <w:qFormat/>
    <w:rPr>
      <w:rFonts w:cs="Wingdings"/>
    </w:rPr>
  </w:style>
  <w:style w:type="character" w:customStyle="1" w:styleId="ListLabel1784">
    <w:name w:val="ListLabel 1784"/>
    <w:qFormat/>
    <w:rPr>
      <w:rFonts w:cs="Symbol"/>
    </w:rPr>
  </w:style>
  <w:style w:type="character" w:customStyle="1" w:styleId="ListLabel1785">
    <w:name w:val="ListLabel 1785"/>
    <w:qFormat/>
    <w:rPr>
      <w:rFonts w:cs="Courier New"/>
    </w:rPr>
  </w:style>
  <w:style w:type="character" w:customStyle="1" w:styleId="ListLabel1786">
    <w:name w:val="ListLabel 1786"/>
    <w:qFormat/>
    <w:rPr>
      <w:rFonts w:cs="Wingdings"/>
    </w:rPr>
  </w:style>
  <w:style w:type="character" w:customStyle="1" w:styleId="ListLabel1787">
    <w:name w:val="ListLabel 1787"/>
    <w:qFormat/>
    <w:rPr>
      <w:rFonts w:cs="Symbol"/>
    </w:rPr>
  </w:style>
  <w:style w:type="character" w:customStyle="1" w:styleId="ListLabel1788">
    <w:name w:val="ListLabel 1788"/>
    <w:qFormat/>
    <w:rPr>
      <w:rFonts w:cs="Courier New"/>
    </w:rPr>
  </w:style>
  <w:style w:type="character" w:customStyle="1" w:styleId="ListLabel1789">
    <w:name w:val="ListLabel 1789"/>
    <w:qFormat/>
    <w:rPr>
      <w:rFonts w:cs="Wingdings"/>
    </w:rPr>
  </w:style>
  <w:style w:type="character" w:customStyle="1" w:styleId="ListLabel1790">
    <w:name w:val="ListLabel 1790"/>
    <w:qFormat/>
    <w:rPr>
      <w:rFonts w:cs="Times New Roman"/>
    </w:rPr>
  </w:style>
  <w:style w:type="character" w:customStyle="1" w:styleId="ListLabel1791">
    <w:name w:val="ListLabel 1791"/>
    <w:qFormat/>
    <w:rPr>
      <w:rFonts w:cs="Courier New"/>
    </w:rPr>
  </w:style>
  <w:style w:type="character" w:customStyle="1" w:styleId="ListLabel1792">
    <w:name w:val="ListLabel 1792"/>
    <w:qFormat/>
    <w:rPr>
      <w:rFonts w:cs="Wingdings"/>
    </w:rPr>
  </w:style>
  <w:style w:type="character" w:customStyle="1" w:styleId="ListLabel1793">
    <w:name w:val="ListLabel 1793"/>
    <w:qFormat/>
    <w:rPr>
      <w:rFonts w:cs="Symbol"/>
    </w:rPr>
  </w:style>
  <w:style w:type="character" w:customStyle="1" w:styleId="ListLabel1794">
    <w:name w:val="ListLabel 1794"/>
    <w:qFormat/>
    <w:rPr>
      <w:rFonts w:cs="Courier New"/>
    </w:rPr>
  </w:style>
  <w:style w:type="character" w:customStyle="1" w:styleId="ListLabel1795">
    <w:name w:val="ListLabel 1795"/>
    <w:qFormat/>
    <w:rPr>
      <w:rFonts w:cs="Wingdings"/>
    </w:rPr>
  </w:style>
  <w:style w:type="character" w:customStyle="1" w:styleId="ListLabel1796">
    <w:name w:val="ListLabel 1796"/>
    <w:qFormat/>
    <w:rPr>
      <w:rFonts w:cs="Symbol"/>
    </w:rPr>
  </w:style>
  <w:style w:type="character" w:customStyle="1" w:styleId="ListLabel1797">
    <w:name w:val="ListLabel 1797"/>
    <w:qFormat/>
    <w:rPr>
      <w:rFonts w:cs="Courier New"/>
    </w:rPr>
  </w:style>
  <w:style w:type="character" w:customStyle="1" w:styleId="ListLabel1798">
    <w:name w:val="ListLabel 1798"/>
    <w:qFormat/>
    <w:rPr>
      <w:rFonts w:cs="Wingdings"/>
    </w:rPr>
  </w:style>
  <w:style w:type="character" w:customStyle="1" w:styleId="ListLabel1799">
    <w:name w:val="ListLabel 1799"/>
    <w:qFormat/>
    <w:rPr>
      <w:rFonts w:cs="Calibri"/>
      <w:sz w:val="24"/>
    </w:rPr>
  </w:style>
  <w:style w:type="character" w:customStyle="1" w:styleId="ListLabel1800">
    <w:name w:val="ListLabel 1800"/>
    <w:qFormat/>
    <w:rPr>
      <w:rFonts w:cs="Courier New"/>
    </w:rPr>
  </w:style>
  <w:style w:type="character" w:customStyle="1" w:styleId="ListLabel1801">
    <w:name w:val="ListLabel 1801"/>
    <w:qFormat/>
    <w:rPr>
      <w:rFonts w:cs="Wingdings"/>
    </w:rPr>
  </w:style>
  <w:style w:type="character" w:customStyle="1" w:styleId="ListLabel1802">
    <w:name w:val="ListLabel 1802"/>
    <w:qFormat/>
    <w:rPr>
      <w:rFonts w:cs="Symbol"/>
    </w:rPr>
  </w:style>
  <w:style w:type="character" w:customStyle="1" w:styleId="ListLabel1803">
    <w:name w:val="ListLabel 1803"/>
    <w:qFormat/>
    <w:rPr>
      <w:rFonts w:cs="Courier New"/>
    </w:rPr>
  </w:style>
  <w:style w:type="character" w:customStyle="1" w:styleId="ListLabel1804">
    <w:name w:val="ListLabel 1804"/>
    <w:qFormat/>
    <w:rPr>
      <w:rFonts w:cs="Wingdings"/>
    </w:rPr>
  </w:style>
  <w:style w:type="character" w:customStyle="1" w:styleId="ListLabel1805">
    <w:name w:val="ListLabel 1805"/>
    <w:qFormat/>
    <w:rPr>
      <w:rFonts w:cs="Symbol"/>
    </w:rPr>
  </w:style>
  <w:style w:type="character" w:customStyle="1" w:styleId="ListLabel1806">
    <w:name w:val="ListLabel 1806"/>
    <w:qFormat/>
    <w:rPr>
      <w:rFonts w:cs="Courier New"/>
    </w:rPr>
  </w:style>
  <w:style w:type="character" w:customStyle="1" w:styleId="ListLabel1807">
    <w:name w:val="ListLabel 1807"/>
    <w:qFormat/>
    <w:rPr>
      <w:rFonts w:cs="Wingdings"/>
    </w:rPr>
  </w:style>
  <w:style w:type="character" w:customStyle="1" w:styleId="ListLabel1808">
    <w:name w:val="ListLabel 1808"/>
    <w:qFormat/>
    <w:rPr>
      <w:rFonts w:cs="Calibri"/>
    </w:rPr>
  </w:style>
  <w:style w:type="character" w:customStyle="1" w:styleId="ListLabel1809">
    <w:name w:val="ListLabel 1809"/>
    <w:qFormat/>
    <w:rPr>
      <w:rFonts w:cs="Courier New"/>
    </w:rPr>
  </w:style>
  <w:style w:type="character" w:customStyle="1" w:styleId="ListLabel1810">
    <w:name w:val="ListLabel 1810"/>
    <w:qFormat/>
    <w:rPr>
      <w:rFonts w:cs="Wingdings"/>
    </w:rPr>
  </w:style>
  <w:style w:type="character" w:customStyle="1" w:styleId="ListLabel1811">
    <w:name w:val="ListLabel 1811"/>
    <w:qFormat/>
    <w:rPr>
      <w:rFonts w:cs="Symbol"/>
    </w:rPr>
  </w:style>
  <w:style w:type="character" w:customStyle="1" w:styleId="ListLabel1812">
    <w:name w:val="ListLabel 1812"/>
    <w:qFormat/>
    <w:rPr>
      <w:rFonts w:cs="Courier New"/>
    </w:rPr>
  </w:style>
  <w:style w:type="character" w:customStyle="1" w:styleId="ListLabel1813">
    <w:name w:val="ListLabel 1813"/>
    <w:qFormat/>
    <w:rPr>
      <w:rFonts w:cs="Wingdings"/>
    </w:rPr>
  </w:style>
  <w:style w:type="character" w:customStyle="1" w:styleId="ListLabel1814">
    <w:name w:val="ListLabel 1814"/>
    <w:qFormat/>
    <w:rPr>
      <w:rFonts w:cs="Symbol"/>
    </w:rPr>
  </w:style>
  <w:style w:type="character" w:customStyle="1" w:styleId="ListLabel1815">
    <w:name w:val="ListLabel 1815"/>
    <w:qFormat/>
    <w:rPr>
      <w:rFonts w:cs="Courier New"/>
    </w:rPr>
  </w:style>
  <w:style w:type="character" w:customStyle="1" w:styleId="ListLabel1816">
    <w:name w:val="ListLabel 1816"/>
    <w:qFormat/>
    <w:rPr>
      <w:rFonts w:cs="Wingdings"/>
    </w:rPr>
  </w:style>
  <w:style w:type="character" w:customStyle="1" w:styleId="ListLabel1817">
    <w:name w:val="ListLabel 1817"/>
    <w:qFormat/>
    <w:rPr>
      <w:rFonts w:cs="Calibri"/>
    </w:rPr>
  </w:style>
  <w:style w:type="character" w:customStyle="1" w:styleId="ListLabel1818">
    <w:name w:val="ListLabel 1818"/>
    <w:qFormat/>
    <w:rPr>
      <w:rFonts w:cs="Courier New"/>
    </w:rPr>
  </w:style>
  <w:style w:type="character" w:customStyle="1" w:styleId="ListLabel1819">
    <w:name w:val="ListLabel 1819"/>
    <w:qFormat/>
    <w:rPr>
      <w:rFonts w:cs="Wingdings"/>
    </w:rPr>
  </w:style>
  <w:style w:type="character" w:customStyle="1" w:styleId="ListLabel1820">
    <w:name w:val="ListLabel 1820"/>
    <w:qFormat/>
    <w:rPr>
      <w:rFonts w:cs="Symbol"/>
    </w:rPr>
  </w:style>
  <w:style w:type="character" w:customStyle="1" w:styleId="ListLabel1821">
    <w:name w:val="ListLabel 1821"/>
    <w:qFormat/>
    <w:rPr>
      <w:rFonts w:cs="Courier New"/>
    </w:rPr>
  </w:style>
  <w:style w:type="character" w:customStyle="1" w:styleId="ListLabel1822">
    <w:name w:val="ListLabel 1822"/>
    <w:qFormat/>
    <w:rPr>
      <w:rFonts w:cs="Wingdings"/>
    </w:rPr>
  </w:style>
  <w:style w:type="character" w:customStyle="1" w:styleId="ListLabel1823">
    <w:name w:val="ListLabel 1823"/>
    <w:qFormat/>
    <w:rPr>
      <w:rFonts w:cs="Symbol"/>
    </w:rPr>
  </w:style>
  <w:style w:type="character" w:customStyle="1" w:styleId="ListLabel1824">
    <w:name w:val="ListLabel 1824"/>
    <w:qFormat/>
    <w:rPr>
      <w:rFonts w:cs="Courier New"/>
    </w:rPr>
  </w:style>
  <w:style w:type="character" w:customStyle="1" w:styleId="ListLabel1825">
    <w:name w:val="ListLabel 1825"/>
    <w:qFormat/>
    <w:rPr>
      <w:rFonts w:cs="Wingdings"/>
    </w:rPr>
  </w:style>
  <w:style w:type="character" w:customStyle="1" w:styleId="ListLabel1826">
    <w:name w:val="ListLabel 1826"/>
    <w:qFormat/>
    <w:rPr>
      <w:rFonts w:cs="Symbol"/>
      <w:b/>
      <w:sz w:val="24"/>
    </w:rPr>
  </w:style>
  <w:style w:type="character" w:customStyle="1" w:styleId="ListLabel1827">
    <w:name w:val="ListLabel 1827"/>
    <w:qFormat/>
    <w:rPr>
      <w:rFonts w:cs="Courier New"/>
    </w:rPr>
  </w:style>
  <w:style w:type="character" w:customStyle="1" w:styleId="ListLabel1828">
    <w:name w:val="ListLabel 1828"/>
    <w:qFormat/>
    <w:rPr>
      <w:rFonts w:cs="Wingdings"/>
    </w:rPr>
  </w:style>
  <w:style w:type="character" w:customStyle="1" w:styleId="ListLabel1829">
    <w:name w:val="ListLabel 1829"/>
    <w:qFormat/>
    <w:rPr>
      <w:rFonts w:cs="Symbol"/>
    </w:rPr>
  </w:style>
  <w:style w:type="character" w:customStyle="1" w:styleId="ListLabel1830">
    <w:name w:val="ListLabel 1830"/>
    <w:qFormat/>
    <w:rPr>
      <w:rFonts w:cs="Courier New"/>
    </w:rPr>
  </w:style>
  <w:style w:type="character" w:customStyle="1" w:styleId="ListLabel1831">
    <w:name w:val="ListLabel 1831"/>
    <w:qFormat/>
    <w:rPr>
      <w:rFonts w:cs="Wingdings"/>
    </w:rPr>
  </w:style>
  <w:style w:type="character" w:customStyle="1" w:styleId="ListLabel1832">
    <w:name w:val="ListLabel 1832"/>
    <w:qFormat/>
    <w:rPr>
      <w:rFonts w:cs="Symbol"/>
    </w:rPr>
  </w:style>
  <w:style w:type="character" w:customStyle="1" w:styleId="ListLabel1833">
    <w:name w:val="ListLabel 1833"/>
    <w:qFormat/>
    <w:rPr>
      <w:rFonts w:cs="Courier New"/>
    </w:rPr>
  </w:style>
  <w:style w:type="character" w:customStyle="1" w:styleId="ListLabel1834">
    <w:name w:val="ListLabel 1834"/>
    <w:qFormat/>
    <w:rPr>
      <w:rFonts w:cs="Wingdings"/>
    </w:rPr>
  </w:style>
  <w:style w:type="character" w:customStyle="1" w:styleId="ListLabel1835">
    <w:name w:val="ListLabel 1835"/>
    <w:qFormat/>
    <w:rPr>
      <w:rFonts w:cs="Symbol"/>
    </w:rPr>
  </w:style>
  <w:style w:type="character" w:customStyle="1" w:styleId="ListLabel1836">
    <w:name w:val="ListLabel 1836"/>
    <w:qFormat/>
    <w:rPr>
      <w:rFonts w:cs="Courier New"/>
    </w:rPr>
  </w:style>
  <w:style w:type="character" w:customStyle="1" w:styleId="ListLabel1837">
    <w:name w:val="ListLabel 1837"/>
    <w:qFormat/>
    <w:rPr>
      <w:rFonts w:cs="Wingdings"/>
    </w:rPr>
  </w:style>
  <w:style w:type="character" w:customStyle="1" w:styleId="ListLabel1838">
    <w:name w:val="ListLabel 1838"/>
    <w:qFormat/>
    <w:rPr>
      <w:rFonts w:cs="Symbol"/>
    </w:rPr>
  </w:style>
  <w:style w:type="character" w:customStyle="1" w:styleId="ListLabel1839">
    <w:name w:val="ListLabel 1839"/>
    <w:qFormat/>
    <w:rPr>
      <w:rFonts w:cs="Courier New"/>
    </w:rPr>
  </w:style>
  <w:style w:type="character" w:customStyle="1" w:styleId="ListLabel1840">
    <w:name w:val="ListLabel 1840"/>
    <w:qFormat/>
    <w:rPr>
      <w:rFonts w:cs="Wingdings"/>
    </w:rPr>
  </w:style>
  <w:style w:type="character" w:customStyle="1" w:styleId="ListLabel1841">
    <w:name w:val="ListLabel 1841"/>
    <w:qFormat/>
    <w:rPr>
      <w:rFonts w:cs="Symbol"/>
    </w:rPr>
  </w:style>
  <w:style w:type="character" w:customStyle="1" w:styleId="ListLabel1842">
    <w:name w:val="ListLabel 1842"/>
    <w:qFormat/>
    <w:rPr>
      <w:rFonts w:cs="Courier New"/>
    </w:rPr>
  </w:style>
  <w:style w:type="character" w:customStyle="1" w:styleId="ListLabel1843">
    <w:name w:val="ListLabel 1843"/>
    <w:qFormat/>
    <w:rPr>
      <w:rFonts w:cs="Wingdings"/>
    </w:rPr>
  </w:style>
  <w:style w:type="character" w:customStyle="1" w:styleId="ListLabel1844">
    <w:name w:val="ListLabel 1844"/>
    <w:qFormat/>
    <w:rPr>
      <w:rFonts w:cs="Symbol"/>
      <w:b/>
      <w:sz w:val="24"/>
    </w:rPr>
  </w:style>
  <w:style w:type="character" w:customStyle="1" w:styleId="ListLabel1845">
    <w:name w:val="ListLabel 1845"/>
    <w:qFormat/>
    <w:rPr>
      <w:rFonts w:cs="Courier New"/>
    </w:rPr>
  </w:style>
  <w:style w:type="character" w:customStyle="1" w:styleId="ListLabel1846">
    <w:name w:val="ListLabel 1846"/>
    <w:qFormat/>
    <w:rPr>
      <w:rFonts w:cs="Wingdings"/>
    </w:rPr>
  </w:style>
  <w:style w:type="character" w:customStyle="1" w:styleId="ListLabel1847">
    <w:name w:val="ListLabel 1847"/>
    <w:qFormat/>
    <w:rPr>
      <w:rFonts w:cs="Symbol"/>
    </w:rPr>
  </w:style>
  <w:style w:type="character" w:customStyle="1" w:styleId="ListLabel1848">
    <w:name w:val="ListLabel 1848"/>
    <w:qFormat/>
    <w:rPr>
      <w:rFonts w:cs="Courier New"/>
    </w:rPr>
  </w:style>
  <w:style w:type="character" w:customStyle="1" w:styleId="ListLabel1849">
    <w:name w:val="ListLabel 1849"/>
    <w:qFormat/>
    <w:rPr>
      <w:rFonts w:cs="Wingdings"/>
    </w:rPr>
  </w:style>
  <w:style w:type="character" w:customStyle="1" w:styleId="ListLabel1850">
    <w:name w:val="ListLabel 1850"/>
    <w:qFormat/>
    <w:rPr>
      <w:rFonts w:cs="Symbol"/>
    </w:rPr>
  </w:style>
  <w:style w:type="character" w:customStyle="1" w:styleId="ListLabel1851">
    <w:name w:val="ListLabel 1851"/>
    <w:qFormat/>
    <w:rPr>
      <w:rFonts w:cs="Courier New"/>
    </w:rPr>
  </w:style>
  <w:style w:type="character" w:customStyle="1" w:styleId="ListLabel1852">
    <w:name w:val="ListLabel 1852"/>
    <w:qFormat/>
    <w:rPr>
      <w:rFonts w:cs="Wingdings"/>
    </w:rPr>
  </w:style>
  <w:style w:type="character" w:customStyle="1" w:styleId="ListLabel1853">
    <w:name w:val="ListLabel 1853"/>
    <w:qFormat/>
    <w:rPr>
      <w:rFonts w:cs="Calibri"/>
    </w:rPr>
  </w:style>
  <w:style w:type="character" w:customStyle="1" w:styleId="ListLabel1854">
    <w:name w:val="ListLabel 1854"/>
    <w:qFormat/>
    <w:rPr>
      <w:rFonts w:cs="Courier New"/>
    </w:rPr>
  </w:style>
  <w:style w:type="character" w:customStyle="1" w:styleId="ListLabel1855">
    <w:name w:val="ListLabel 1855"/>
    <w:qFormat/>
    <w:rPr>
      <w:rFonts w:cs="Wingdings"/>
    </w:rPr>
  </w:style>
  <w:style w:type="character" w:customStyle="1" w:styleId="ListLabel1856">
    <w:name w:val="ListLabel 1856"/>
    <w:qFormat/>
    <w:rPr>
      <w:rFonts w:cs="Symbol"/>
    </w:rPr>
  </w:style>
  <w:style w:type="character" w:customStyle="1" w:styleId="ListLabel1857">
    <w:name w:val="ListLabel 1857"/>
    <w:qFormat/>
    <w:rPr>
      <w:rFonts w:cs="Courier New"/>
    </w:rPr>
  </w:style>
  <w:style w:type="character" w:customStyle="1" w:styleId="ListLabel1858">
    <w:name w:val="ListLabel 1858"/>
    <w:qFormat/>
    <w:rPr>
      <w:rFonts w:cs="Wingdings"/>
    </w:rPr>
  </w:style>
  <w:style w:type="character" w:customStyle="1" w:styleId="ListLabel1859">
    <w:name w:val="ListLabel 1859"/>
    <w:qFormat/>
    <w:rPr>
      <w:rFonts w:cs="Symbol"/>
    </w:rPr>
  </w:style>
  <w:style w:type="character" w:customStyle="1" w:styleId="ListLabel1860">
    <w:name w:val="ListLabel 1860"/>
    <w:qFormat/>
    <w:rPr>
      <w:rFonts w:cs="Courier New"/>
    </w:rPr>
  </w:style>
  <w:style w:type="character" w:customStyle="1" w:styleId="ListLabel1861">
    <w:name w:val="ListLabel 1861"/>
    <w:qFormat/>
    <w:rPr>
      <w:rFonts w:cs="Wingdings"/>
    </w:rPr>
  </w:style>
  <w:style w:type="character" w:customStyle="1" w:styleId="ListLabel1862">
    <w:name w:val="ListLabel 1862"/>
    <w:qFormat/>
    <w:rPr>
      <w:rFonts w:cs="Times New Roman"/>
      <w:b/>
    </w:rPr>
  </w:style>
  <w:style w:type="character" w:customStyle="1" w:styleId="ListLabel1863">
    <w:name w:val="ListLabel 1863"/>
    <w:qFormat/>
    <w:rPr>
      <w:rFonts w:cs="Times New Roman"/>
    </w:rPr>
  </w:style>
  <w:style w:type="character" w:customStyle="1" w:styleId="ListLabel1864">
    <w:name w:val="ListLabel 1864"/>
    <w:qFormat/>
    <w:rPr>
      <w:rFonts w:cs="Times New Roman"/>
    </w:rPr>
  </w:style>
  <w:style w:type="character" w:customStyle="1" w:styleId="ListLabel1865">
    <w:name w:val="ListLabel 1865"/>
    <w:qFormat/>
    <w:rPr>
      <w:rFonts w:cs="Times New Roman"/>
    </w:rPr>
  </w:style>
  <w:style w:type="character" w:customStyle="1" w:styleId="ListLabel1866">
    <w:name w:val="ListLabel 1866"/>
    <w:qFormat/>
    <w:rPr>
      <w:rFonts w:cs="Times New Roman"/>
    </w:rPr>
  </w:style>
  <w:style w:type="character" w:customStyle="1" w:styleId="ListLabel1867">
    <w:name w:val="ListLabel 1867"/>
    <w:qFormat/>
    <w:rPr>
      <w:rFonts w:cs="Times New Roman"/>
    </w:rPr>
  </w:style>
  <w:style w:type="character" w:customStyle="1" w:styleId="ListLabel1868">
    <w:name w:val="ListLabel 1868"/>
    <w:qFormat/>
    <w:rPr>
      <w:rFonts w:cs="Times New Roman"/>
    </w:rPr>
  </w:style>
  <w:style w:type="character" w:customStyle="1" w:styleId="ListLabel1869">
    <w:name w:val="ListLabel 1869"/>
    <w:qFormat/>
    <w:rPr>
      <w:rFonts w:cs="Times New Roman"/>
    </w:rPr>
  </w:style>
  <w:style w:type="character" w:customStyle="1" w:styleId="ListLabel1870">
    <w:name w:val="ListLabel 1870"/>
    <w:qFormat/>
    <w:rPr>
      <w:rFonts w:cs="Times New Roman"/>
    </w:rPr>
  </w:style>
  <w:style w:type="character" w:customStyle="1" w:styleId="ListLabel1871">
    <w:name w:val="ListLabel 1871"/>
    <w:qFormat/>
    <w:rPr>
      <w:rFonts w:cs="Times New Roman"/>
    </w:rPr>
  </w:style>
  <w:style w:type="character" w:customStyle="1" w:styleId="ListLabel1872">
    <w:name w:val="ListLabel 1872"/>
    <w:qFormat/>
    <w:rPr>
      <w:rFonts w:cs="Times New Roman"/>
    </w:rPr>
  </w:style>
  <w:style w:type="character" w:customStyle="1" w:styleId="ListLabel1873">
    <w:name w:val="ListLabel 1873"/>
    <w:qFormat/>
    <w:rPr>
      <w:rFonts w:cs="Times New Roman"/>
    </w:rPr>
  </w:style>
  <w:style w:type="character" w:customStyle="1" w:styleId="ListLabel1874">
    <w:name w:val="ListLabel 1874"/>
    <w:qFormat/>
    <w:rPr>
      <w:rFonts w:cs="Times New Roman"/>
    </w:rPr>
  </w:style>
  <w:style w:type="character" w:customStyle="1" w:styleId="ListLabel1875">
    <w:name w:val="ListLabel 1875"/>
    <w:qFormat/>
    <w:rPr>
      <w:rFonts w:cs="Times New Roman"/>
    </w:rPr>
  </w:style>
  <w:style w:type="character" w:customStyle="1" w:styleId="ListLabel1876">
    <w:name w:val="ListLabel 1876"/>
    <w:qFormat/>
    <w:rPr>
      <w:rFonts w:cs="Times New Roman"/>
    </w:rPr>
  </w:style>
  <w:style w:type="character" w:customStyle="1" w:styleId="ListLabel1877">
    <w:name w:val="ListLabel 1877"/>
    <w:qFormat/>
    <w:rPr>
      <w:rFonts w:cs="Times New Roman"/>
    </w:rPr>
  </w:style>
  <w:style w:type="character" w:customStyle="1" w:styleId="ListLabel1878">
    <w:name w:val="ListLabel 1878"/>
    <w:qFormat/>
    <w:rPr>
      <w:rFonts w:cs="Times New Roman"/>
    </w:rPr>
  </w:style>
  <w:style w:type="character" w:customStyle="1" w:styleId="ListLabel1879">
    <w:name w:val="ListLabel 1879"/>
    <w:qFormat/>
    <w:rPr>
      <w:rFonts w:cs="Times New Roman"/>
    </w:rPr>
  </w:style>
  <w:style w:type="character" w:customStyle="1" w:styleId="ListLabel1880">
    <w:name w:val="ListLabel 1880"/>
    <w:qFormat/>
    <w:rPr>
      <w:rFonts w:cs="Times New Roman"/>
      <w:sz w:val="20"/>
    </w:rPr>
  </w:style>
  <w:style w:type="character" w:customStyle="1" w:styleId="ListLabel1881">
    <w:name w:val="ListLabel 1881"/>
    <w:qFormat/>
    <w:rPr>
      <w:rFonts w:cs="Times New Roman"/>
    </w:rPr>
  </w:style>
  <w:style w:type="character" w:customStyle="1" w:styleId="ListLabel1882">
    <w:name w:val="ListLabel 1882"/>
    <w:qFormat/>
    <w:rPr>
      <w:rFonts w:cs="Times New Roman"/>
    </w:rPr>
  </w:style>
  <w:style w:type="character" w:customStyle="1" w:styleId="ListLabel1883">
    <w:name w:val="ListLabel 1883"/>
    <w:qFormat/>
    <w:rPr>
      <w:rFonts w:cs="Times New Roman"/>
    </w:rPr>
  </w:style>
  <w:style w:type="character" w:customStyle="1" w:styleId="ListLabel1884">
    <w:name w:val="ListLabel 1884"/>
    <w:qFormat/>
    <w:rPr>
      <w:rFonts w:cs="Times New Roman"/>
    </w:rPr>
  </w:style>
  <w:style w:type="character" w:customStyle="1" w:styleId="ListLabel1885">
    <w:name w:val="ListLabel 1885"/>
    <w:qFormat/>
    <w:rPr>
      <w:rFonts w:cs="Times New Roman"/>
    </w:rPr>
  </w:style>
  <w:style w:type="character" w:customStyle="1" w:styleId="ListLabel1886">
    <w:name w:val="ListLabel 1886"/>
    <w:qFormat/>
    <w:rPr>
      <w:rFonts w:cs="Times New Roman"/>
    </w:rPr>
  </w:style>
  <w:style w:type="character" w:customStyle="1" w:styleId="ListLabel1887">
    <w:name w:val="ListLabel 1887"/>
    <w:qFormat/>
    <w:rPr>
      <w:rFonts w:cs="Times New Roman"/>
    </w:rPr>
  </w:style>
  <w:style w:type="character" w:customStyle="1" w:styleId="ListLabel1888">
    <w:name w:val="ListLabel 1888"/>
    <w:qFormat/>
    <w:rPr>
      <w:rFonts w:cs="Times New Roman"/>
    </w:rPr>
  </w:style>
  <w:style w:type="character" w:customStyle="1" w:styleId="ListLabel1889">
    <w:name w:val="ListLabel 1889"/>
    <w:qFormat/>
    <w:rPr>
      <w:rFonts w:cs="Symbol"/>
      <w:b/>
    </w:rPr>
  </w:style>
  <w:style w:type="character" w:customStyle="1" w:styleId="ListLabel1890">
    <w:name w:val="ListLabel 1890"/>
    <w:qFormat/>
    <w:rPr>
      <w:rFonts w:cs="Courier New"/>
    </w:rPr>
  </w:style>
  <w:style w:type="character" w:customStyle="1" w:styleId="ListLabel1891">
    <w:name w:val="ListLabel 1891"/>
    <w:qFormat/>
    <w:rPr>
      <w:rFonts w:cs="Wingdings"/>
    </w:rPr>
  </w:style>
  <w:style w:type="character" w:customStyle="1" w:styleId="ListLabel1892">
    <w:name w:val="ListLabel 1892"/>
    <w:qFormat/>
    <w:rPr>
      <w:rFonts w:cs="Symbol"/>
    </w:rPr>
  </w:style>
  <w:style w:type="character" w:customStyle="1" w:styleId="ListLabel1893">
    <w:name w:val="ListLabel 1893"/>
    <w:qFormat/>
    <w:rPr>
      <w:rFonts w:cs="Courier New"/>
    </w:rPr>
  </w:style>
  <w:style w:type="character" w:customStyle="1" w:styleId="ListLabel1894">
    <w:name w:val="ListLabel 1894"/>
    <w:qFormat/>
    <w:rPr>
      <w:rFonts w:cs="Wingdings"/>
    </w:rPr>
  </w:style>
  <w:style w:type="character" w:customStyle="1" w:styleId="ListLabel1895">
    <w:name w:val="ListLabel 1895"/>
    <w:qFormat/>
    <w:rPr>
      <w:rFonts w:cs="Symbol"/>
    </w:rPr>
  </w:style>
  <w:style w:type="character" w:customStyle="1" w:styleId="ListLabel1896">
    <w:name w:val="ListLabel 1896"/>
    <w:qFormat/>
    <w:rPr>
      <w:rFonts w:cs="Courier New"/>
    </w:rPr>
  </w:style>
  <w:style w:type="character" w:customStyle="1" w:styleId="ListLabel1897">
    <w:name w:val="ListLabel 1897"/>
    <w:qFormat/>
    <w:rPr>
      <w:rFonts w:cs="Wingdings"/>
    </w:rPr>
  </w:style>
  <w:style w:type="character" w:customStyle="1" w:styleId="ListLabel1898">
    <w:name w:val="ListLabel 1898"/>
    <w:qFormat/>
    <w:rPr>
      <w:rFonts w:cs="Calibri"/>
    </w:rPr>
  </w:style>
  <w:style w:type="character" w:customStyle="1" w:styleId="ListLabel1899">
    <w:name w:val="ListLabel 1899"/>
    <w:qFormat/>
    <w:rPr>
      <w:rFonts w:cs="Courier New"/>
    </w:rPr>
  </w:style>
  <w:style w:type="character" w:customStyle="1" w:styleId="ListLabel1900">
    <w:name w:val="ListLabel 1900"/>
    <w:qFormat/>
    <w:rPr>
      <w:rFonts w:cs="Wingdings"/>
    </w:rPr>
  </w:style>
  <w:style w:type="character" w:customStyle="1" w:styleId="ListLabel1901">
    <w:name w:val="ListLabel 1901"/>
    <w:qFormat/>
    <w:rPr>
      <w:rFonts w:cs="Symbol"/>
    </w:rPr>
  </w:style>
  <w:style w:type="character" w:customStyle="1" w:styleId="ListLabel1902">
    <w:name w:val="ListLabel 1902"/>
    <w:qFormat/>
    <w:rPr>
      <w:rFonts w:cs="Courier New"/>
    </w:rPr>
  </w:style>
  <w:style w:type="character" w:customStyle="1" w:styleId="ListLabel1903">
    <w:name w:val="ListLabel 1903"/>
    <w:qFormat/>
    <w:rPr>
      <w:rFonts w:cs="Wingdings"/>
    </w:rPr>
  </w:style>
  <w:style w:type="character" w:customStyle="1" w:styleId="ListLabel1904">
    <w:name w:val="ListLabel 1904"/>
    <w:qFormat/>
    <w:rPr>
      <w:rFonts w:cs="Symbol"/>
    </w:rPr>
  </w:style>
  <w:style w:type="character" w:customStyle="1" w:styleId="ListLabel1905">
    <w:name w:val="ListLabel 1905"/>
    <w:qFormat/>
    <w:rPr>
      <w:rFonts w:cs="Courier New"/>
    </w:rPr>
  </w:style>
  <w:style w:type="character" w:customStyle="1" w:styleId="ListLabel1906">
    <w:name w:val="ListLabel 1906"/>
    <w:qFormat/>
    <w:rPr>
      <w:rFonts w:cs="Wingdings"/>
    </w:rPr>
  </w:style>
  <w:style w:type="character" w:customStyle="1" w:styleId="ListLabel1907">
    <w:name w:val="ListLabel 1907"/>
    <w:qFormat/>
    <w:rPr>
      <w:rFonts w:cs="Calibri"/>
    </w:rPr>
  </w:style>
  <w:style w:type="character" w:customStyle="1" w:styleId="ListLabel1908">
    <w:name w:val="ListLabel 1908"/>
    <w:qFormat/>
    <w:rPr>
      <w:rFonts w:cs="Courier New"/>
    </w:rPr>
  </w:style>
  <w:style w:type="character" w:customStyle="1" w:styleId="ListLabel1909">
    <w:name w:val="ListLabel 1909"/>
    <w:qFormat/>
    <w:rPr>
      <w:rFonts w:cs="Wingdings"/>
    </w:rPr>
  </w:style>
  <w:style w:type="character" w:customStyle="1" w:styleId="ListLabel1910">
    <w:name w:val="ListLabel 1910"/>
    <w:qFormat/>
    <w:rPr>
      <w:rFonts w:cs="Symbol"/>
    </w:rPr>
  </w:style>
  <w:style w:type="character" w:customStyle="1" w:styleId="ListLabel1911">
    <w:name w:val="ListLabel 1911"/>
    <w:qFormat/>
    <w:rPr>
      <w:rFonts w:cs="Courier New"/>
    </w:rPr>
  </w:style>
  <w:style w:type="character" w:customStyle="1" w:styleId="ListLabel1912">
    <w:name w:val="ListLabel 1912"/>
    <w:qFormat/>
    <w:rPr>
      <w:rFonts w:cs="Wingdings"/>
    </w:rPr>
  </w:style>
  <w:style w:type="character" w:customStyle="1" w:styleId="ListLabel1913">
    <w:name w:val="ListLabel 1913"/>
    <w:qFormat/>
    <w:rPr>
      <w:rFonts w:cs="Symbol"/>
    </w:rPr>
  </w:style>
  <w:style w:type="character" w:customStyle="1" w:styleId="ListLabel1914">
    <w:name w:val="ListLabel 1914"/>
    <w:qFormat/>
    <w:rPr>
      <w:rFonts w:cs="Courier New"/>
    </w:rPr>
  </w:style>
  <w:style w:type="character" w:customStyle="1" w:styleId="ListLabel1915">
    <w:name w:val="ListLabel 1915"/>
    <w:qFormat/>
    <w:rPr>
      <w:rFonts w:cs="Wingdings"/>
    </w:rPr>
  </w:style>
  <w:style w:type="character" w:customStyle="1" w:styleId="ListLabel1916">
    <w:name w:val="ListLabel 1916"/>
    <w:qFormat/>
    <w:rPr>
      <w:rFonts w:cs="Symbol"/>
    </w:rPr>
  </w:style>
  <w:style w:type="character" w:customStyle="1" w:styleId="ListLabel1917">
    <w:name w:val="ListLabel 1917"/>
    <w:qFormat/>
    <w:rPr>
      <w:rFonts w:cs="Courier New"/>
    </w:rPr>
  </w:style>
  <w:style w:type="character" w:customStyle="1" w:styleId="ListLabel1918">
    <w:name w:val="ListLabel 1918"/>
    <w:qFormat/>
    <w:rPr>
      <w:rFonts w:cs="Wingdings"/>
    </w:rPr>
  </w:style>
  <w:style w:type="character" w:customStyle="1" w:styleId="ListLabel1919">
    <w:name w:val="ListLabel 1919"/>
    <w:qFormat/>
    <w:rPr>
      <w:rFonts w:cs="Symbol"/>
    </w:rPr>
  </w:style>
  <w:style w:type="character" w:customStyle="1" w:styleId="ListLabel1920">
    <w:name w:val="ListLabel 1920"/>
    <w:qFormat/>
    <w:rPr>
      <w:rFonts w:cs="Courier New"/>
    </w:rPr>
  </w:style>
  <w:style w:type="character" w:customStyle="1" w:styleId="ListLabel1921">
    <w:name w:val="ListLabel 1921"/>
    <w:qFormat/>
    <w:rPr>
      <w:rFonts w:cs="Wingdings"/>
    </w:rPr>
  </w:style>
  <w:style w:type="character" w:customStyle="1" w:styleId="ListLabel1922">
    <w:name w:val="ListLabel 1922"/>
    <w:qFormat/>
    <w:rPr>
      <w:rFonts w:cs="Symbol"/>
    </w:rPr>
  </w:style>
  <w:style w:type="character" w:customStyle="1" w:styleId="ListLabel1923">
    <w:name w:val="ListLabel 1923"/>
    <w:qFormat/>
    <w:rPr>
      <w:rFonts w:cs="Courier New"/>
    </w:rPr>
  </w:style>
  <w:style w:type="character" w:customStyle="1" w:styleId="ListLabel1924">
    <w:name w:val="ListLabel 1924"/>
    <w:qFormat/>
    <w:rPr>
      <w:rFonts w:cs="Wingdings"/>
    </w:rPr>
  </w:style>
  <w:style w:type="character" w:customStyle="1" w:styleId="ListLabel1925">
    <w:name w:val="ListLabel 1925"/>
    <w:qFormat/>
    <w:rPr>
      <w:rFonts w:cs="Calibri"/>
    </w:rPr>
  </w:style>
  <w:style w:type="character" w:customStyle="1" w:styleId="ListLabel1926">
    <w:name w:val="ListLabel 1926"/>
    <w:qFormat/>
    <w:rPr>
      <w:rFonts w:cs="Courier New"/>
    </w:rPr>
  </w:style>
  <w:style w:type="character" w:customStyle="1" w:styleId="ListLabel1927">
    <w:name w:val="ListLabel 1927"/>
    <w:qFormat/>
    <w:rPr>
      <w:rFonts w:cs="Wingdings"/>
    </w:rPr>
  </w:style>
  <w:style w:type="character" w:customStyle="1" w:styleId="ListLabel1928">
    <w:name w:val="ListLabel 1928"/>
    <w:qFormat/>
    <w:rPr>
      <w:rFonts w:cs="Symbol"/>
    </w:rPr>
  </w:style>
  <w:style w:type="character" w:customStyle="1" w:styleId="ListLabel1929">
    <w:name w:val="ListLabel 1929"/>
    <w:qFormat/>
    <w:rPr>
      <w:rFonts w:cs="Courier New"/>
    </w:rPr>
  </w:style>
  <w:style w:type="character" w:customStyle="1" w:styleId="ListLabel1930">
    <w:name w:val="ListLabel 1930"/>
    <w:qFormat/>
    <w:rPr>
      <w:rFonts w:cs="Wingdings"/>
    </w:rPr>
  </w:style>
  <w:style w:type="character" w:customStyle="1" w:styleId="ListLabel1931">
    <w:name w:val="ListLabel 1931"/>
    <w:qFormat/>
    <w:rPr>
      <w:rFonts w:cs="Symbol"/>
    </w:rPr>
  </w:style>
  <w:style w:type="character" w:customStyle="1" w:styleId="ListLabel1932">
    <w:name w:val="ListLabel 1932"/>
    <w:qFormat/>
    <w:rPr>
      <w:rFonts w:cs="Courier New"/>
    </w:rPr>
  </w:style>
  <w:style w:type="character" w:customStyle="1" w:styleId="ListLabel1933">
    <w:name w:val="ListLabel 1933"/>
    <w:qFormat/>
    <w:rPr>
      <w:rFonts w:cs="Wingdings"/>
    </w:rPr>
  </w:style>
  <w:style w:type="character" w:customStyle="1" w:styleId="ListLabel1934">
    <w:name w:val="ListLabel 1934"/>
    <w:qFormat/>
    <w:rPr>
      <w:rFonts w:cs="Calibri"/>
      <w:sz w:val="24"/>
    </w:rPr>
  </w:style>
  <w:style w:type="character" w:customStyle="1" w:styleId="ListLabel1935">
    <w:name w:val="ListLabel 1935"/>
    <w:qFormat/>
    <w:rPr>
      <w:rFonts w:cs="Courier New"/>
    </w:rPr>
  </w:style>
  <w:style w:type="character" w:customStyle="1" w:styleId="ListLabel1936">
    <w:name w:val="ListLabel 1936"/>
    <w:qFormat/>
    <w:rPr>
      <w:rFonts w:cs="Wingdings"/>
    </w:rPr>
  </w:style>
  <w:style w:type="character" w:customStyle="1" w:styleId="ListLabel1937">
    <w:name w:val="ListLabel 1937"/>
    <w:qFormat/>
    <w:rPr>
      <w:rFonts w:cs="Symbol"/>
    </w:rPr>
  </w:style>
  <w:style w:type="character" w:customStyle="1" w:styleId="ListLabel1938">
    <w:name w:val="ListLabel 1938"/>
    <w:qFormat/>
    <w:rPr>
      <w:rFonts w:cs="Courier New"/>
    </w:rPr>
  </w:style>
  <w:style w:type="character" w:customStyle="1" w:styleId="ListLabel1939">
    <w:name w:val="ListLabel 1939"/>
    <w:qFormat/>
    <w:rPr>
      <w:rFonts w:cs="Wingdings"/>
    </w:rPr>
  </w:style>
  <w:style w:type="character" w:customStyle="1" w:styleId="ListLabel1940">
    <w:name w:val="ListLabel 1940"/>
    <w:qFormat/>
    <w:rPr>
      <w:rFonts w:cs="Symbol"/>
    </w:rPr>
  </w:style>
  <w:style w:type="character" w:customStyle="1" w:styleId="ListLabel1941">
    <w:name w:val="ListLabel 1941"/>
    <w:qFormat/>
    <w:rPr>
      <w:rFonts w:cs="Courier New"/>
    </w:rPr>
  </w:style>
  <w:style w:type="character" w:customStyle="1" w:styleId="ListLabel1942">
    <w:name w:val="ListLabel 1942"/>
    <w:qFormat/>
    <w:rPr>
      <w:rFonts w:cs="Wingdings"/>
    </w:rPr>
  </w:style>
  <w:style w:type="character" w:customStyle="1" w:styleId="ListLabel1943">
    <w:name w:val="ListLabel 1943"/>
    <w:qFormat/>
    <w:rPr>
      <w:rFonts w:cs="Symbol"/>
      <w:b/>
      <w:sz w:val="22"/>
    </w:rPr>
  </w:style>
  <w:style w:type="character" w:customStyle="1" w:styleId="ListLabel1944">
    <w:name w:val="ListLabel 1944"/>
    <w:qFormat/>
    <w:rPr>
      <w:rFonts w:cs="Courier New"/>
    </w:rPr>
  </w:style>
  <w:style w:type="character" w:customStyle="1" w:styleId="ListLabel1945">
    <w:name w:val="ListLabel 1945"/>
    <w:qFormat/>
    <w:rPr>
      <w:rFonts w:cs="Wingdings"/>
    </w:rPr>
  </w:style>
  <w:style w:type="character" w:customStyle="1" w:styleId="ListLabel1946">
    <w:name w:val="ListLabel 1946"/>
    <w:qFormat/>
    <w:rPr>
      <w:rFonts w:cs="Symbol"/>
    </w:rPr>
  </w:style>
  <w:style w:type="character" w:customStyle="1" w:styleId="ListLabel1947">
    <w:name w:val="ListLabel 1947"/>
    <w:qFormat/>
    <w:rPr>
      <w:rFonts w:cs="Courier New"/>
    </w:rPr>
  </w:style>
  <w:style w:type="character" w:customStyle="1" w:styleId="ListLabel1948">
    <w:name w:val="ListLabel 1948"/>
    <w:qFormat/>
    <w:rPr>
      <w:rFonts w:cs="Wingdings"/>
    </w:rPr>
  </w:style>
  <w:style w:type="character" w:customStyle="1" w:styleId="ListLabel1949">
    <w:name w:val="ListLabel 1949"/>
    <w:qFormat/>
    <w:rPr>
      <w:rFonts w:cs="Symbol"/>
    </w:rPr>
  </w:style>
  <w:style w:type="character" w:customStyle="1" w:styleId="ListLabel1950">
    <w:name w:val="ListLabel 1950"/>
    <w:qFormat/>
    <w:rPr>
      <w:rFonts w:cs="Courier New"/>
    </w:rPr>
  </w:style>
  <w:style w:type="character" w:customStyle="1" w:styleId="ListLabel1951">
    <w:name w:val="ListLabel 1951"/>
    <w:qFormat/>
    <w:rPr>
      <w:rFonts w:cs="Wingdings"/>
    </w:rPr>
  </w:style>
  <w:style w:type="character" w:customStyle="1" w:styleId="ListLabel1952">
    <w:name w:val="ListLabel 1952"/>
    <w:qFormat/>
    <w:rPr>
      <w:rFonts w:cs="Symbol"/>
      <w:b/>
    </w:rPr>
  </w:style>
  <w:style w:type="character" w:customStyle="1" w:styleId="ListLabel1953">
    <w:name w:val="ListLabel 1953"/>
    <w:qFormat/>
    <w:rPr>
      <w:rFonts w:cs="Courier New"/>
    </w:rPr>
  </w:style>
  <w:style w:type="character" w:customStyle="1" w:styleId="ListLabel1954">
    <w:name w:val="ListLabel 1954"/>
    <w:qFormat/>
    <w:rPr>
      <w:rFonts w:cs="Wingdings"/>
    </w:rPr>
  </w:style>
  <w:style w:type="character" w:customStyle="1" w:styleId="ListLabel1955">
    <w:name w:val="ListLabel 1955"/>
    <w:qFormat/>
    <w:rPr>
      <w:rFonts w:cs="Symbol"/>
    </w:rPr>
  </w:style>
  <w:style w:type="character" w:customStyle="1" w:styleId="ListLabel1956">
    <w:name w:val="ListLabel 1956"/>
    <w:qFormat/>
    <w:rPr>
      <w:rFonts w:cs="Courier New"/>
    </w:rPr>
  </w:style>
  <w:style w:type="character" w:customStyle="1" w:styleId="ListLabel1957">
    <w:name w:val="ListLabel 1957"/>
    <w:qFormat/>
    <w:rPr>
      <w:rFonts w:cs="Wingdings"/>
    </w:rPr>
  </w:style>
  <w:style w:type="character" w:customStyle="1" w:styleId="ListLabel1958">
    <w:name w:val="ListLabel 1958"/>
    <w:qFormat/>
    <w:rPr>
      <w:rFonts w:cs="Symbol"/>
    </w:rPr>
  </w:style>
  <w:style w:type="character" w:customStyle="1" w:styleId="ListLabel1959">
    <w:name w:val="ListLabel 1959"/>
    <w:qFormat/>
    <w:rPr>
      <w:rFonts w:cs="Courier New"/>
    </w:rPr>
  </w:style>
  <w:style w:type="character" w:customStyle="1" w:styleId="ListLabel1960">
    <w:name w:val="ListLabel 1960"/>
    <w:qFormat/>
    <w:rPr>
      <w:rFonts w:cs="Wingdings"/>
    </w:rPr>
  </w:style>
  <w:style w:type="character" w:customStyle="1" w:styleId="ListLabel1961">
    <w:name w:val="ListLabel 1961"/>
    <w:qFormat/>
    <w:rPr>
      <w:rFonts w:cs="Symbol"/>
      <w:b/>
    </w:rPr>
  </w:style>
  <w:style w:type="character" w:customStyle="1" w:styleId="ListLabel1962">
    <w:name w:val="ListLabel 1962"/>
    <w:qFormat/>
    <w:rPr>
      <w:rFonts w:cs="Courier New"/>
    </w:rPr>
  </w:style>
  <w:style w:type="character" w:customStyle="1" w:styleId="ListLabel1963">
    <w:name w:val="ListLabel 1963"/>
    <w:qFormat/>
    <w:rPr>
      <w:rFonts w:cs="Wingdings"/>
    </w:rPr>
  </w:style>
  <w:style w:type="character" w:customStyle="1" w:styleId="ListLabel1964">
    <w:name w:val="ListLabel 1964"/>
    <w:qFormat/>
    <w:rPr>
      <w:rFonts w:cs="Symbol"/>
    </w:rPr>
  </w:style>
  <w:style w:type="character" w:customStyle="1" w:styleId="ListLabel1965">
    <w:name w:val="ListLabel 1965"/>
    <w:qFormat/>
    <w:rPr>
      <w:rFonts w:cs="Courier New"/>
    </w:rPr>
  </w:style>
  <w:style w:type="character" w:customStyle="1" w:styleId="ListLabel1966">
    <w:name w:val="ListLabel 1966"/>
    <w:qFormat/>
    <w:rPr>
      <w:rFonts w:cs="Wingdings"/>
    </w:rPr>
  </w:style>
  <w:style w:type="character" w:customStyle="1" w:styleId="ListLabel1967">
    <w:name w:val="ListLabel 1967"/>
    <w:qFormat/>
    <w:rPr>
      <w:rFonts w:cs="Symbol"/>
    </w:rPr>
  </w:style>
  <w:style w:type="character" w:customStyle="1" w:styleId="ListLabel1968">
    <w:name w:val="ListLabel 1968"/>
    <w:qFormat/>
    <w:rPr>
      <w:rFonts w:cs="Courier New"/>
    </w:rPr>
  </w:style>
  <w:style w:type="character" w:customStyle="1" w:styleId="ListLabel1969">
    <w:name w:val="ListLabel 1969"/>
    <w:qFormat/>
    <w:rPr>
      <w:rFonts w:cs="Wingdings"/>
    </w:rPr>
  </w:style>
  <w:style w:type="character" w:customStyle="1" w:styleId="ListLabel1970">
    <w:name w:val="ListLabel 1970"/>
    <w:qFormat/>
    <w:rPr>
      <w:rFonts w:cs="Symbol"/>
      <w:b/>
      <w:sz w:val="24"/>
    </w:rPr>
  </w:style>
  <w:style w:type="character" w:customStyle="1" w:styleId="ListLabel1971">
    <w:name w:val="ListLabel 1971"/>
    <w:qFormat/>
    <w:rPr>
      <w:rFonts w:cs="Courier New"/>
    </w:rPr>
  </w:style>
  <w:style w:type="character" w:customStyle="1" w:styleId="ListLabel1972">
    <w:name w:val="ListLabel 1972"/>
    <w:qFormat/>
    <w:rPr>
      <w:rFonts w:cs="Wingdings"/>
    </w:rPr>
  </w:style>
  <w:style w:type="character" w:customStyle="1" w:styleId="ListLabel1973">
    <w:name w:val="ListLabel 1973"/>
    <w:qFormat/>
    <w:rPr>
      <w:rFonts w:cs="Symbol"/>
    </w:rPr>
  </w:style>
  <w:style w:type="character" w:customStyle="1" w:styleId="ListLabel1974">
    <w:name w:val="ListLabel 1974"/>
    <w:qFormat/>
    <w:rPr>
      <w:rFonts w:cs="Courier New"/>
    </w:rPr>
  </w:style>
  <w:style w:type="character" w:customStyle="1" w:styleId="ListLabel1975">
    <w:name w:val="ListLabel 1975"/>
    <w:qFormat/>
    <w:rPr>
      <w:rFonts w:cs="Wingdings"/>
    </w:rPr>
  </w:style>
  <w:style w:type="character" w:customStyle="1" w:styleId="ListLabel1976">
    <w:name w:val="ListLabel 1976"/>
    <w:qFormat/>
    <w:rPr>
      <w:rFonts w:cs="Symbol"/>
    </w:rPr>
  </w:style>
  <w:style w:type="character" w:customStyle="1" w:styleId="ListLabel1977">
    <w:name w:val="ListLabel 1977"/>
    <w:qFormat/>
    <w:rPr>
      <w:rFonts w:cs="Courier New"/>
    </w:rPr>
  </w:style>
  <w:style w:type="character" w:customStyle="1" w:styleId="ListLabel1978">
    <w:name w:val="ListLabel 1978"/>
    <w:qFormat/>
    <w:rPr>
      <w:rFonts w:cs="Wingdings"/>
    </w:rPr>
  </w:style>
  <w:style w:type="character" w:customStyle="1" w:styleId="ListLabel1979">
    <w:name w:val="ListLabel 1979"/>
    <w:qFormat/>
    <w:rPr>
      <w:rFonts w:cs="Calibri"/>
      <w:sz w:val="24"/>
    </w:rPr>
  </w:style>
  <w:style w:type="character" w:customStyle="1" w:styleId="ListLabel1980">
    <w:name w:val="ListLabel 1980"/>
    <w:qFormat/>
    <w:rPr>
      <w:rFonts w:cs="Courier New"/>
    </w:rPr>
  </w:style>
  <w:style w:type="character" w:customStyle="1" w:styleId="ListLabel1981">
    <w:name w:val="ListLabel 1981"/>
    <w:qFormat/>
    <w:rPr>
      <w:rFonts w:cs="Wingdings"/>
    </w:rPr>
  </w:style>
  <w:style w:type="character" w:customStyle="1" w:styleId="ListLabel1982">
    <w:name w:val="ListLabel 1982"/>
    <w:qFormat/>
    <w:rPr>
      <w:rFonts w:cs="Symbol"/>
    </w:rPr>
  </w:style>
  <w:style w:type="character" w:customStyle="1" w:styleId="ListLabel1983">
    <w:name w:val="ListLabel 1983"/>
    <w:qFormat/>
    <w:rPr>
      <w:rFonts w:cs="Courier New"/>
    </w:rPr>
  </w:style>
  <w:style w:type="character" w:customStyle="1" w:styleId="ListLabel1984">
    <w:name w:val="ListLabel 1984"/>
    <w:qFormat/>
    <w:rPr>
      <w:rFonts w:cs="Wingdings"/>
    </w:rPr>
  </w:style>
  <w:style w:type="character" w:customStyle="1" w:styleId="ListLabel1985">
    <w:name w:val="ListLabel 1985"/>
    <w:qFormat/>
    <w:rPr>
      <w:rFonts w:cs="Symbol"/>
    </w:rPr>
  </w:style>
  <w:style w:type="character" w:customStyle="1" w:styleId="ListLabel1986">
    <w:name w:val="ListLabel 1986"/>
    <w:qFormat/>
    <w:rPr>
      <w:rFonts w:cs="Courier New"/>
    </w:rPr>
  </w:style>
  <w:style w:type="character" w:customStyle="1" w:styleId="ListLabel1987">
    <w:name w:val="ListLabel 1987"/>
    <w:qFormat/>
    <w:rPr>
      <w:rFonts w:cs="Wingdings"/>
    </w:rPr>
  </w:style>
  <w:style w:type="character" w:customStyle="1" w:styleId="ListLabel1988">
    <w:name w:val="ListLabel 1988"/>
    <w:qFormat/>
    <w:rPr>
      <w:rFonts w:cs="Calibri"/>
    </w:rPr>
  </w:style>
  <w:style w:type="character" w:customStyle="1" w:styleId="ListLabel1989">
    <w:name w:val="ListLabel 1989"/>
    <w:qFormat/>
    <w:rPr>
      <w:rFonts w:cs="Courier New"/>
    </w:rPr>
  </w:style>
  <w:style w:type="character" w:customStyle="1" w:styleId="ListLabel1990">
    <w:name w:val="ListLabel 1990"/>
    <w:qFormat/>
    <w:rPr>
      <w:rFonts w:cs="Wingdings"/>
    </w:rPr>
  </w:style>
  <w:style w:type="character" w:customStyle="1" w:styleId="ListLabel1991">
    <w:name w:val="ListLabel 1991"/>
    <w:qFormat/>
    <w:rPr>
      <w:rFonts w:cs="Symbol"/>
    </w:rPr>
  </w:style>
  <w:style w:type="character" w:customStyle="1" w:styleId="ListLabel1992">
    <w:name w:val="ListLabel 1992"/>
    <w:qFormat/>
    <w:rPr>
      <w:rFonts w:cs="Courier New"/>
    </w:rPr>
  </w:style>
  <w:style w:type="character" w:customStyle="1" w:styleId="ListLabel1993">
    <w:name w:val="ListLabel 1993"/>
    <w:qFormat/>
    <w:rPr>
      <w:rFonts w:cs="Wingdings"/>
    </w:rPr>
  </w:style>
  <w:style w:type="character" w:customStyle="1" w:styleId="ListLabel1994">
    <w:name w:val="ListLabel 1994"/>
    <w:qFormat/>
    <w:rPr>
      <w:rFonts w:cs="Symbol"/>
    </w:rPr>
  </w:style>
  <w:style w:type="character" w:customStyle="1" w:styleId="ListLabel1995">
    <w:name w:val="ListLabel 1995"/>
    <w:qFormat/>
    <w:rPr>
      <w:rFonts w:cs="Courier New"/>
    </w:rPr>
  </w:style>
  <w:style w:type="character" w:customStyle="1" w:styleId="ListLabel1996">
    <w:name w:val="ListLabel 1996"/>
    <w:qFormat/>
    <w:rPr>
      <w:rFonts w:cs="Wingdings"/>
    </w:rPr>
  </w:style>
  <w:style w:type="character" w:customStyle="1" w:styleId="ListLabel1997">
    <w:name w:val="ListLabel 1997"/>
    <w:qFormat/>
    <w:rPr>
      <w:rFonts w:cs="Times New Roman"/>
    </w:rPr>
  </w:style>
  <w:style w:type="character" w:customStyle="1" w:styleId="ListLabel1998">
    <w:name w:val="ListLabel 1998"/>
    <w:qFormat/>
    <w:rPr>
      <w:rFonts w:cs="Times New Roman"/>
    </w:rPr>
  </w:style>
  <w:style w:type="character" w:customStyle="1" w:styleId="ListLabel1999">
    <w:name w:val="ListLabel 1999"/>
    <w:qFormat/>
    <w:rPr>
      <w:rFonts w:cs="Times New Roman"/>
    </w:rPr>
  </w:style>
  <w:style w:type="character" w:customStyle="1" w:styleId="ListLabel2000">
    <w:name w:val="ListLabel 2000"/>
    <w:qFormat/>
    <w:rPr>
      <w:rFonts w:cs="Times New Roman"/>
    </w:rPr>
  </w:style>
  <w:style w:type="character" w:customStyle="1" w:styleId="ListLabel2001">
    <w:name w:val="ListLabel 2001"/>
    <w:qFormat/>
    <w:rPr>
      <w:rFonts w:cs="Times New Roman"/>
    </w:rPr>
  </w:style>
  <w:style w:type="character" w:customStyle="1" w:styleId="ListLabel2002">
    <w:name w:val="ListLabel 2002"/>
    <w:qFormat/>
    <w:rPr>
      <w:rFonts w:cs="Times New Roman"/>
    </w:rPr>
  </w:style>
  <w:style w:type="character" w:customStyle="1" w:styleId="ListLabel2003">
    <w:name w:val="ListLabel 2003"/>
    <w:qFormat/>
    <w:rPr>
      <w:rFonts w:cs="Times New Roman"/>
    </w:rPr>
  </w:style>
  <w:style w:type="character" w:customStyle="1" w:styleId="ListLabel2004">
    <w:name w:val="ListLabel 2004"/>
    <w:qFormat/>
    <w:rPr>
      <w:rFonts w:cs="Times New Roman"/>
    </w:rPr>
  </w:style>
  <w:style w:type="character" w:customStyle="1" w:styleId="ListLabel2005">
    <w:name w:val="ListLabel 2005"/>
    <w:qFormat/>
    <w:rPr>
      <w:rFonts w:cs="Times New Roman"/>
    </w:rPr>
  </w:style>
  <w:style w:type="character" w:customStyle="1" w:styleId="ListLabel2006">
    <w:name w:val="ListLabel 2006"/>
    <w:qFormat/>
    <w:rPr>
      <w:rFonts w:cs="Times New Roman"/>
    </w:rPr>
  </w:style>
  <w:style w:type="character" w:customStyle="1" w:styleId="ListLabel2007">
    <w:name w:val="ListLabel 2007"/>
    <w:qFormat/>
    <w:rPr>
      <w:rFonts w:cs="Times New Roman"/>
    </w:rPr>
  </w:style>
  <w:style w:type="character" w:customStyle="1" w:styleId="ListLabel2008">
    <w:name w:val="ListLabel 2008"/>
    <w:qFormat/>
    <w:rPr>
      <w:rFonts w:cs="Times New Roman"/>
    </w:rPr>
  </w:style>
  <w:style w:type="character" w:customStyle="1" w:styleId="ListLabel2009">
    <w:name w:val="ListLabel 2009"/>
    <w:qFormat/>
    <w:rPr>
      <w:rFonts w:cs="Times New Roman"/>
    </w:rPr>
  </w:style>
  <w:style w:type="character" w:customStyle="1" w:styleId="ListLabel2010">
    <w:name w:val="ListLabel 2010"/>
    <w:qFormat/>
    <w:rPr>
      <w:rFonts w:cs="Times New Roman"/>
    </w:rPr>
  </w:style>
  <w:style w:type="character" w:customStyle="1" w:styleId="ListLabel2011">
    <w:name w:val="ListLabel 2011"/>
    <w:qFormat/>
    <w:rPr>
      <w:rFonts w:cs="Times New Roman"/>
    </w:rPr>
  </w:style>
  <w:style w:type="character" w:customStyle="1" w:styleId="ListLabel2012">
    <w:name w:val="ListLabel 2012"/>
    <w:qFormat/>
    <w:rPr>
      <w:rFonts w:cs="Times New Roman"/>
    </w:rPr>
  </w:style>
  <w:style w:type="character" w:customStyle="1" w:styleId="ListLabel2013">
    <w:name w:val="ListLabel 2013"/>
    <w:qFormat/>
    <w:rPr>
      <w:rFonts w:cs="Times New Roman"/>
    </w:rPr>
  </w:style>
  <w:style w:type="character" w:customStyle="1" w:styleId="ListLabel2014">
    <w:name w:val="ListLabel 2014"/>
    <w:qFormat/>
    <w:rPr>
      <w:rFonts w:cs="Times New Roman"/>
    </w:rPr>
  </w:style>
  <w:style w:type="character" w:customStyle="1" w:styleId="ListLabel2015">
    <w:name w:val="ListLabel 2015"/>
    <w:qFormat/>
    <w:rPr>
      <w:rFonts w:cs="Calibri"/>
      <w:b/>
    </w:rPr>
  </w:style>
  <w:style w:type="character" w:customStyle="1" w:styleId="ListLabel2016">
    <w:name w:val="ListLabel 2016"/>
    <w:qFormat/>
    <w:rPr>
      <w:rFonts w:cs="Courier New"/>
    </w:rPr>
  </w:style>
  <w:style w:type="character" w:customStyle="1" w:styleId="ListLabel2017">
    <w:name w:val="ListLabel 2017"/>
    <w:qFormat/>
    <w:rPr>
      <w:rFonts w:cs="Wingdings"/>
    </w:rPr>
  </w:style>
  <w:style w:type="character" w:customStyle="1" w:styleId="ListLabel2018">
    <w:name w:val="ListLabel 2018"/>
    <w:qFormat/>
    <w:rPr>
      <w:rFonts w:cs="Symbol"/>
    </w:rPr>
  </w:style>
  <w:style w:type="character" w:customStyle="1" w:styleId="ListLabel2019">
    <w:name w:val="ListLabel 2019"/>
    <w:qFormat/>
    <w:rPr>
      <w:rFonts w:cs="Courier New"/>
    </w:rPr>
  </w:style>
  <w:style w:type="character" w:customStyle="1" w:styleId="ListLabel2020">
    <w:name w:val="ListLabel 2020"/>
    <w:qFormat/>
    <w:rPr>
      <w:rFonts w:cs="Wingdings"/>
    </w:rPr>
  </w:style>
  <w:style w:type="character" w:customStyle="1" w:styleId="ListLabel2021">
    <w:name w:val="ListLabel 2021"/>
    <w:qFormat/>
    <w:rPr>
      <w:rFonts w:cs="Symbol"/>
    </w:rPr>
  </w:style>
  <w:style w:type="character" w:customStyle="1" w:styleId="ListLabel2022">
    <w:name w:val="ListLabel 2022"/>
    <w:qFormat/>
    <w:rPr>
      <w:rFonts w:cs="Courier New"/>
    </w:rPr>
  </w:style>
  <w:style w:type="character" w:customStyle="1" w:styleId="ListLabel2023">
    <w:name w:val="ListLabel 2023"/>
    <w:qFormat/>
    <w:rPr>
      <w:rFonts w:cs="Wingdings"/>
    </w:rPr>
  </w:style>
  <w:style w:type="character" w:customStyle="1" w:styleId="ListLabel2024">
    <w:name w:val="ListLabel 2024"/>
    <w:qFormat/>
    <w:rPr>
      <w:rFonts w:cs="Calibri"/>
    </w:rPr>
  </w:style>
  <w:style w:type="character" w:customStyle="1" w:styleId="ListLabel2025">
    <w:name w:val="ListLabel 2025"/>
    <w:qFormat/>
    <w:rPr>
      <w:rFonts w:cs="Courier New"/>
    </w:rPr>
  </w:style>
  <w:style w:type="character" w:customStyle="1" w:styleId="ListLabel2026">
    <w:name w:val="ListLabel 2026"/>
    <w:qFormat/>
    <w:rPr>
      <w:rFonts w:cs="Wingdings"/>
    </w:rPr>
  </w:style>
  <w:style w:type="character" w:customStyle="1" w:styleId="ListLabel2027">
    <w:name w:val="ListLabel 2027"/>
    <w:qFormat/>
    <w:rPr>
      <w:rFonts w:cs="Symbol"/>
    </w:rPr>
  </w:style>
  <w:style w:type="character" w:customStyle="1" w:styleId="ListLabel2028">
    <w:name w:val="ListLabel 2028"/>
    <w:qFormat/>
    <w:rPr>
      <w:rFonts w:cs="Courier New"/>
    </w:rPr>
  </w:style>
  <w:style w:type="character" w:customStyle="1" w:styleId="ListLabel2029">
    <w:name w:val="ListLabel 2029"/>
    <w:qFormat/>
    <w:rPr>
      <w:rFonts w:cs="Wingdings"/>
    </w:rPr>
  </w:style>
  <w:style w:type="character" w:customStyle="1" w:styleId="ListLabel2030">
    <w:name w:val="ListLabel 2030"/>
    <w:qFormat/>
    <w:rPr>
      <w:rFonts w:cs="Symbol"/>
    </w:rPr>
  </w:style>
  <w:style w:type="character" w:customStyle="1" w:styleId="ListLabel2031">
    <w:name w:val="ListLabel 2031"/>
    <w:qFormat/>
    <w:rPr>
      <w:rFonts w:cs="Courier New"/>
    </w:rPr>
  </w:style>
  <w:style w:type="character" w:customStyle="1" w:styleId="ListLabel2032">
    <w:name w:val="ListLabel 2032"/>
    <w:qFormat/>
    <w:rPr>
      <w:rFonts w:cs="Wingdings"/>
    </w:rPr>
  </w:style>
  <w:style w:type="character" w:customStyle="1" w:styleId="ListLabel2033">
    <w:name w:val="ListLabel 2033"/>
    <w:qFormat/>
    <w:rPr>
      <w:rFonts w:cs="Symbol"/>
    </w:rPr>
  </w:style>
  <w:style w:type="character" w:customStyle="1" w:styleId="ListLabel2034">
    <w:name w:val="ListLabel 2034"/>
    <w:qFormat/>
    <w:rPr>
      <w:rFonts w:cs="Courier New"/>
    </w:rPr>
  </w:style>
  <w:style w:type="character" w:customStyle="1" w:styleId="ListLabel2035">
    <w:name w:val="ListLabel 2035"/>
    <w:qFormat/>
    <w:rPr>
      <w:rFonts w:cs="Wingdings"/>
    </w:rPr>
  </w:style>
  <w:style w:type="character" w:customStyle="1" w:styleId="ListLabel2036">
    <w:name w:val="ListLabel 2036"/>
    <w:qFormat/>
    <w:rPr>
      <w:rFonts w:cs="Symbol"/>
    </w:rPr>
  </w:style>
  <w:style w:type="character" w:customStyle="1" w:styleId="ListLabel2037">
    <w:name w:val="ListLabel 2037"/>
    <w:qFormat/>
    <w:rPr>
      <w:rFonts w:cs="Courier New"/>
    </w:rPr>
  </w:style>
  <w:style w:type="character" w:customStyle="1" w:styleId="ListLabel2038">
    <w:name w:val="ListLabel 2038"/>
    <w:qFormat/>
    <w:rPr>
      <w:rFonts w:cs="Wingdings"/>
    </w:rPr>
  </w:style>
  <w:style w:type="character" w:customStyle="1" w:styleId="ListLabel2039">
    <w:name w:val="ListLabel 2039"/>
    <w:qFormat/>
    <w:rPr>
      <w:rFonts w:cs="Symbol"/>
    </w:rPr>
  </w:style>
  <w:style w:type="character" w:customStyle="1" w:styleId="ListLabel2040">
    <w:name w:val="ListLabel 2040"/>
    <w:qFormat/>
    <w:rPr>
      <w:rFonts w:cs="Courier New"/>
    </w:rPr>
  </w:style>
  <w:style w:type="character" w:customStyle="1" w:styleId="ListLabel2041">
    <w:name w:val="ListLabel 2041"/>
    <w:qFormat/>
    <w:rPr>
      <w:rFonts w:cs="Wingdings"/>
    </w:rPr>
  </w:style>
  <w:style w:type="character" w:customStyle="1" w:styleId="ListLabel2042">
    <w:name w:val="ListLabel 2042"/>
    <w:qFormat/>
    <w:rPr>
      <w:rFonts w:cs="Calibri"/>
    </w:rPr>
  </w:style>
  <w:style w:type="character" w:customStyle="1" w:styleId="ListLabel2043">
    <w:name w:val="ListLabel 2043"/>
    <w:qFormat/>
    <w:rPr>
      <w:rFonts w:cs="Courier New"/>
    </w:rPr>
  </w:style>
  <w:style w:type="character" w:customStyle="1" w:styleId="ListLabel2044">
    <w:name w:val="ListLabel 2044"/>
    <w:qFormat/>
    <w:rPr>
      <w:rFonts w:cs="Wingdings"/>
    </w:rPr>
  </w:style>
  <w:style w:type="character" w:customStyle="1" w:styleId="ListLabel2045">
    <w:name w:val="ListLabel 2045"/>
    <w:qFormat/>
    <w:rPr>
      <w:rFonts w:cs="Symbol"/>
    </w:rPr>
  </w:style>
  <w:style w:type="character" w:customStyle="1" w:styleId="ListLabel2046">
    <w:name w:val="ListLabel 2046"/>
    <w:qFormat/>
    <w:rPr>
      <w:rFonts w:cs="Courier New"/>
    </w:rPr>
  </w:style>
  <w:style w:type="character" w:customStyle="1" w:styleId="ListLabel2047">
    <w:name w:val="ListLabel 2047"/>
    <w:qFormat/>
    <w:rPr>
      <w:rFonts w:cs="Wingdings"/>
    </w:rPr>
  </w:style>
  <w:style w:type="character" w:customStyle="1" w:styleId="ListLabel2048">
    <w:name w:val="ListLabel 2048"/>
    <w:qFormat/>
    <w:rPr>
      <w:rFonts w:cs="Symbol"/>
    </w:rPr>
  </w:style>
  <w:style w:type="character" w:customStyle="1" w:styleId="ListLabel2049">
    <w:name w:val="ListLabel 2049"/>
    <w:qFormat/>
    <w:rPr>
      <w:rFonts w:cs="Courier New"/>
    </w:rPr>
  </w:style>
  <w:style w:type="character" w:customStyle="1" w:styleId="ListLabel2050">
    <w:name w:val="ListLabel 2050"/>
    <w:qFormat/>
    <w:rPr>
      <w:rFonts w:cs="Wingdings"/>
    </w:rPr>
  </w:style>
  <w:style w:type="character" w:customStyle="1" w:styleId="ListLabel2051">
    <w:name w:val="ListLabel 2051"/>
    <w:qFormat/>
    <w:rPr>
      <w:rFonts w:cs="Symbol"/>
    </w:rPr>
  </w:style>
  <w:style w:type="character" w:customStyle="1" w:styleId="ListLabel2052">
    <w:name w:val="ListLabel 2052"/>
    <w:qFormat/>
    <w:rPr>
      <w:rFonts w:cs="Courier New"/>
    </w:rPr>
  </w:style>
  <w:style w:type="character" w:customStyle="1" w:styleId="ListLabel2053">
    <w:name w:val="ListLabel 2053"/>
    <w:qFormat/>
    <w:rPr>
      <w:rFonts w:cs="Wingdings"/>
    </w:rPr>
  </w:style>
  <w:style w:type="character" w:customStyle="1" w:styleId="ListLabel2054">
    <w:name w:val="ListLabel 2054"/>
    <w:qFormat/>
    <w:rPr>
      <w:rFonts w:cs="Symbol"/>
    </w:rPr>
  </w:style>
  <w:style w:type="character" w:customStyle="1" w:styleId="ListLabel2055">
    <w:name w:val="ListLabel 2055"/>
    <w:qFormat/>
    <w:rPr>
      <w:rFonts w:cs="Courier New"/>
    </w:rPr>
  </w:style>
  <w:style w:type="character" w:customStyle="1" w:styleId="ListLabel2056">
    <w:name w:val="ListLabel 2056"/>
    <w:qFormat/>
    <w:rPr>
      <w:rFonts w:cs="Wingdings"/>
    </w:rPr>
  </w:style>
  <w:style w:type="character" w:customStyle="1" w:styleId="ListLabel2057">
    <w:name w:val="ListLabel 2057"/>
    <w:qFormat/>
    <w:rPr>
      <w:rFonts w:cs="Symbol"/>
    </w:rPr>
  </w:style>
  <w:style w:type="character" w:customStyle="1" w:styleId="ListLabel2058">
    <w:name w:val="ListLabel 2058"/>
    <w:qFormat/>
    <w:rPr>
      <w:rFonts w:cs="Courier New"/>
    </w:rPr>
  </w:style>
  <w:style w:type="character" w:customStyle="1" w:styleId="ListLabel2059">
    <w:name w:val="ListLabel 2059"/>
    <w:qFormat/>
    <w:rPr>
      <w:rFonts w:cs="Wingdings"/>
    </w:rPr>
  </w:style>
  <w:style w:type="character" w:customStyle="1" w:styleId="ListLabel2060">
    <w:name w:val="ListLabel 2060"/>
    <w:qFormat/>
    <w:rPr>
      <w:rFonts w:cs="Calibri"/>
    </w:rPr>
  </w:style>
  <w:style w:type="character" w:customStyle="1" w:styleId="ListLabel2061">
    <w:name w:val="ListLabel 2061"/>
    <w:qFormat/>
    <w:rPr>
      <w:rFonts w:cs="Courier New"/>
    </w:rPr>
  </w:style>
  <w:style w:type="character" w:customStyle="1" w:styleId="ListLabel2062">
    <w:name w:val="ListLabel 2062"/>
    <w:qFormat/>
    <w:rPr>
      <w:rFonts w:cs="Wingdings"/>
    </w:rPr>
  </w:style>
  <w:style w:type="character" w:customStyle="1" w:styleId="ListLabel2063">
    <w:name w:val="ListLabel 2063"/>
    <w:qFormat/>
    <w:rPr>
      <w:rFonts w:cs="Symbol"/>
    </w:rPr>
  </w:style>
  <w:style w:type="character" w:customStyle="1" w:styleId="ListLabel2064">
    <w:name w:val="ListLabel 2064"/>
    <w:qFormat/>
    <w:rPr>
      <w:rFonts w:cs="Courier New"/>
    </w:rPr>
  </w:style>
  <w:style w:type="character" w:customStyle="1" w:styleId="ListLabel2065">
    <w:name w:val="ListLabel 2065"/>
    <w:qFormat/>
    <w:rPr>
      <w:rFonts w:cs="Wingdings"/>
    </w:rPr>
  </w:style>
  <w:style w:type="character" w:customStyle="1" w:styleId="ListLabel2066">
    <w:name w:val="ListLabel 2066"/>
    <w:qFormat/>
    <w:rPr>
      <w:rFonts w:cs="Symbol"/>
    </w:rPr>
  </w:style>
  <w:style w:type="character" w:customStyle="1" w:styleId="ListLabel2067">
    <w:name w:val="ListLabel 2067"/>
    <w:qFormat/>
    <w:rPr>
      <w:rFonts w:cs="Courier New"/>
    </w:rPr>
  </w:style>
  <w:style w:type="character" w:customStyle="1" w:styleId="ListLabel2068">
    <w:name w:val="ListLabel 2068"/>
    <w:qFormat/>
    <w:rPr>
      <w:rFonts w:cs="Wingdings"/>
    </w:rPr>
  </w:style>
  <w:style w:type="character" w:customStyle="1" w:styleId="ListLabel2069">
    <w:name w:val="ListLabel 2069"/>
    <w:qFormat/>
    <w:rPr>
      <w:rFonts w:cs="Times New Roman"/>
      <w:b/>
      <w:sz w:val="20"/>
    </w:rPr>
  </w:style>
  <w:style w:type="character" w:customStyle="1" w:styleId="ListLabel2070">
    <w:name w:val="ListLabel 2070"/>
    <w:qFormat/>
    <w:rPr>
      <w:rFonts w:cs="Times New Roman"/>
    </w:rPr>
  </w:style>
  <w:style w:type="character" w:customStyle="1" w:styleId="ListLabel2071">
    <w:name w:val="ListLabel 2071"/>
    <w:qFormat/>
    <w:rPr>
      <w:rFonts w:cs="Times New Roman"/>
    </w:rPr>
  </w:style>
  <w:style w:type="character" w:customStyle="1" w:styleId="ListLabel2072">
    <w:name w:val="ListLabel 2072"/>
    <w:qFormat/>
    <w:rPr>
      <w:rFonts w:cs="Times New Roman"/>
    </w:rPr>
  </w:style>
  <w:style w:type="character" w:customStyle="1" w:styleId="ListLabel2073">
    <w:name w:val="ListLabel 2073"/>
    <w:qFormat/>
    <w:rPr>
      <w:rFonts w:cs="Times New Roman"/>
    </w:rPr>
  </w:style>
  <w:style w:type="character" w:customStyle="1" w:styleId="ListLabel2074">
    <w:name w:val="ListLabel 2074"/>
    <w:qFormat/>
    <w:rPr>
      <w:rFonts w:cs="Times New Roman"/>
    </w:rPr>
  </w:style>
  <w:style w:type="character" w:customStyle="1" w:styleId="ListLabel2075">
    <w:name w:val="ListLabel 2075"/>
    <w:qFormat/>
    <w:rPr>
      <w:rFonts w:cs="Times New Roman"/>
    </w:rPr>
  </w:style>
  <w:style w:type="character" w:customStyle="1" w:styleId="ListLabel2076">
    <w:name w:val="ListLabel 2076"/>
    <w:qFormat/>
    <w:rPr>
      <w:rFonts w:cs="Times New Roman"/>
    </w:rPr>
  </w:style>
  <w:style w:type="character" w:customStyle="1" w:styleId="ListLabel2077">
    <w:name w:val="ListLabel 2077"/>
    <w:qFormat/>
    <w:rPr>
      <w:rFonts w:cs="Times New Roman"/>
    </w:rPr>
  </w:style>
  <w:style w:type="character" w:customStyle="1" w:styleId="ListLabel2078">
    <w:name w:val="ListLabel 2078"/>
    <w:qFormat/>
    <w:rPr>
      <w:rFonts w:cs="Calibri"/>
    </w:rPr>
  </w:style>
  <w:style w:type="character" w:customStyle="1" w:styleId="ListLabel2079">
    <w:name w:val="ListLabel 2079"/>
    <w:qFormat/>
    <w:rPr>
      <w:rFonts w:cs="Courier New"/>
    </w:rPr>
  </w:style>
  <w:style w:type="character" w:customStyle="1" w:styleId="ListLabel2080">
    <w:name w:val="ListLabel 2080"/>
    <w:qFormat/>
    <w:rPr>
      <w:rFonts w:cs="Wingdings"/>
    </w:rPr>
  </w:style>
  <w:style w:type="character" w:customStyle="1" w:styleId="ListLabel2081">
    <w:name w:val="ListLabel 2081"/>
    <w:qFormat/>
    <w:rPr>
      <w:rFonts w:cs="Symbol"/>
    </w:rPr>
  </w:style>
  <w:style w:type="character" w:customStyle="1" w:styleId="ListLabel2082">
    <w:name w:val="ListLabel 2082"/>
    <w:qFormat/>
    <w:rPr>
      <w:rFonts w:cs="Courier New"/>
    </w:rPr>
  </w:style>
  <w:style w:type="character" w:customStyle="1" w:styleId="ListLabel2083">
    <w:name w:val="ListLabel 2083"/>
    <w:qFormat/>
    <w:rPr>
      <w:rFonts w:cs="Wingdings"/>
    </w:rPr>
  </w:style>
  <w:style w:type="character" w:customStyle="1" w:styleId="ListLabel2084">
    <w:name w:val="ListLabel 2084"/>
    <w:qFormat/>
    <w:rPr>
      <w:rFonts w:cs="Symbol"/>
    </w:rPr>
  </w:style>
  <w:style w:type="character" w:customStyle="1" w:styleId="ListLabel2085">
    <w:name w:val="ListLabel 2085"/>
    <w:qFormat/>
    <w:rPr>
      <w:rFonts w:cs="Courier New"/>
    </w:rPr>
  </w:style>
  <w:style w:type="character" w:customStyle="1" w:styleId="ListLabel2086">
    <w:name w:val="ListLabel 2086"/>
    <w:qFormat/>
    <w:rPr>
      <w:rFonts w:cs="Wingdings"/>
    </w:rPr>
  </w:style>
  <w:style w:type="character" w:customStyle="1" w:styleId="ListLabel2087">
    <w:name w:val="ListLabel 2087"/>
    <w:qFormat/>
    <w:rPr>
      <w:rFonts w:cs="Calibri"/>
    </w:rPr>
  </w:style>
  <w:style w:type="character" w:customStyle="1" w:styleId="ListLabel2088">
    <w:name w:val="ListLabel 2088"/>
    <w:qFormat/>
    <w:rPr>
      <w:rFonts w:cs="Courier New"/>
    </w:rPr>
  </w:style>
  <w:style w:type="character" w:customStyle="1" w:styleId="ListLabel2089">
    <w:name w:val="ListLabel 2089"/>
    <w:qFormat/>
    <w:rPr>
      <w:rFonts w:cs="Wingdings"/>
    </w:rPr>
  </w:style>
  <w:style w:type="character" w:customStyle="1" w:styleId="ListLabel2090">
    <w:name w:val="ListLabel 2090"/>
    <w:qFormat/>
    <w:rPr>
      <w:rFonts w:cs="Symbol"/>
    </w:rPr>
  </w:style>
  <w:style w:type="character" w:customStyle="1" w:styleId="ListLabel2091">
    <w:name w:val="ListLabel 2091"/>
    <w:qFormat/>
    <w:rPr>
      <w:rFonts w:cs="Courier New"/>
    </w:rPr>
  </w:style>
  <w:style w:type="character" w:customStyle="1" w:styleId="ListLabel2092">
    <w:name w:val="ListLabel 2092"/>
    <w:qFormat/>
    <w:rPr>
      <w:rFonts w:cs="Wingdings"/>
    </w:rPr>
  </w:style>
  <w:style w:type="character" w:customStyle="1" w:styleId="ListLabel2093">
    <w:name w:val="ListLabel 2093"/>
    <w:qFormat/>
    <w:rPr>
      <w:rFonts w:cs="Symbol"/>
    </w:rPr>
  </w:style>
  <w:style w:type="character" w:customStyle="1" w:styleId="ListLabel2094">
    <w:name w:val="ListLabel 2094"/>
    <w:qFormat/>
    <w:rPr>
      <w:rFonts w:cs="Courier New"/>
    </w:rPr>
  </w:style>
  <w:style w:type="character" w:customStyle="1" w:styleId="ListLabel2095">
    <w:name w:val="ListLabel 2095"/>
    <w:qFormat/>
    <w:rPr>
      <w:rFonts w:cs="Wingdings"/>
    </w:rPr>
  </w:style>
  <w:style w:type="character" w:customStyle="1" w:styleId="ListLabel2096">
    <w:name w:val="ListLabel 2096"/>
    <w:qFormat/>
    <w:rPr>
      <w:rFonts w:cs="Calibri"/>
      <w:sz w:val="24"/>
    </w:rPr>
  </w:style>
  <w:style w:type="character" w:customStyle="1" w:styleId="ListLabel2097">
    <w:name w:val="ListLabel 2097"/>
    <w:qFormat/>
    <w:rPr>
      <w:rFonts w:cs="Courier New"/>
    </w:rPr>
  </w:style>
  <w:style w:type="character" w:customStyle="1" w:styleId="ListLabel2098">
    <w:name w:val="ListLabel 2098"/>
    <w:qFormat/>
    <w:rPr>
      <w:rFonts w:cs="Wingdings"/>
    </w:rPr>
  </w:style>
  <w:style w:type="character" w:customStyle="1" w:styleId="ListLabel2099">
    <w:name w:val="ListLabel 2099"/>
    <w:qFormat/>
    <w:rPr>
      <w:rFonts w:cs="Symbol"/>
    </w:rPr>
  </w:style>
  <w:style w:type="character" w:customStyle="1" w:styleId="ListLabel2100">
    <w:name w:val="ListLabel 2100"/>
    <w:qFormat/>
    <w:rPr>
      <w:rFonts w:cs="Courier New"/>
    </w:rPr>
  </w:style>
  <w:style w:type="character" w:customStyle="1" w:styleId="ListLabel2101">
    <w:name w:val="ListLabel 2101"/>
    <w:qFormat/>
    <w:rPr>
      <w:rFonts w:cs="Wingdings"/>
    </w:rPr>
  </w:style>
  <w:style w:type="character" w:customStyle="1" w:styleId="ListLabel2102">
    <w:name w:val="ListLabel 2102"/>
    <w:qFormat/>
    <w:rPr>
      <w:rFonts w:cs="Symbol"/>
    </w:rPr>
  </w:style>
  <w:style w:type="character" w:customStyle="1" w:styleId="ListLabel2103">
    <w:name w:val="ListLabel 2103"/>
    <w:qFormat/>
    <w:rPr>
      <w:rFonts w:cs="Courier New"/>
    </w:rPr>
  </w:style>
  <w:style w:type="character" w:customStyle="1" w:styleId="ListLabel2104">
    <w:name w:val="ListLabel 2104"/>
    <w:qFormat/>
    <w:rPr>
      <w:rFonts w:cs="Wingdings"/>
    </w:rPr>
  </w:style>
  <w:style w:type="character" w:customStyle="1" w:styleId="ListLabel2105">
    <w:name w:val="ListLabel 2105"/>
    <w:qFormat/>
    <w:rPr>
      <w:rFonts w:cs="Calibri"/>
    </w:rPr>
  </w:style>
  <w:style w:type="character" w:customStyle="1" w:styleId="ListLabel2106">
    <w:name w:val="ListLabel 2106"/>
    <w:qFormat/>
    <w:rPr>
      <w:rFonts w:cs="Courier New"/>
    </w:rPr>
  </w:style>
  <w:style w:type="character" w:customStyle="1" w:styleId="ListLabel2107">
    <w:name w:val="ListLabel 2107"/>
    <w:qFormat/>
    <w:rPr>
      <w:rFonts w:cs="Wingdings"/>
    </w:rPr>
  </w:style>
  <w:style w:type="character" w:customStyle="1" w:styleId="ListLabel2108">
    <w:name w:val="ListLabel 2108"/>
    <w:qFormat/>
    <w:rPr>
      <w:rFonts w:cs="Symbol"/>
    </w:rPr>
  </w:style>
  <w:style w:type="character" w:customStyle="1" w:styleId="ListLabel2109">
    <w:name w:val="ListLabel 2109"/>
    <w:qFormat/>
    <w:rPr>
      <w:rFonts w:cs="Courier New"/>
    </w:rPr>
  </w:style>
  <w:style w:type="character" w:customStyle="1" w:styleId="ListLabel2110">
    <w:name w:val="ListLabel 2110"/>
    <w:qFormat/>
    <w:rPr>
      <w:rFonts w:cs="Wingdings"/>
    </w:rPr>
  </w:style>
  <w:style w:type="character" w:customStyle="1" w:styleId="ListLabel2111">
    <w:name w:val="ListLabel 2111"/>
    <w:qFormat/>
    <w:rPr>
      <w:rFonts w:cs="Symbol"/>
    </w:rPr>
  </w:style>
  <w:style w:type="character" w:customStyle="1" w:styleId="ListLabel2112">
    <w:name w:val="ListLabel 2112"/>
    <w:qFormat/>
    <w:rPr>
      <w:rFonts w:cs="Courier New"/>
    </w:rPr>
  </w:style>
  <w:style w:type="character" w:customStyle="1" w:styleId="ListLabel2113">
    <w:name w:val="ListLabel 2113"/>
    <w:qFormat/>
    <w:rPr>
      <w:rFonts w:cs="Wingdings"/>
    </w:rPr>
  </w:style>
  <w:style w:type="character" w:customStyle="1" w:styleId="ListLabel2114">
    <w:name w:val="ListLabel 2114"/>
    <w:qFormat/>
    <w:rPr>
      <w:rFonts w:cs="Calibri"/>
      <w:sz w:val="24"/>
    </w:rPr>
  </w:style>
  <w:style w:type="character" w:customStyle="1" w:styleId="ListLabel2115">
    <w:name w:val="ListLabel 2115"/>
    <w:qFormat/>
    <w:rPr>
      <w:rFonts w:cs="Courier New"/>
    </w:rPr>
  </w:style>
  <w:style w:type="character" w:customStyle="1" w:styleId="ListLabel2116">
    <w:name w:val="ListLabel 2116"/>
    <w:qFormat/>
    <w:rPr>
      <w:rFonts w:cs="Wingdings"/>
    </w:rPr>
  </w:style>
  <w:style w:type="character" w:customStyle="1" w:styleId="ListLabel2117">
    <w:name w:val="ListLabel 2117"/>
    <w:qFormat/>
    <w:rPr>
      <w:rFonts w:cs="Symbol"/>
    </w:rPr>
  </w:style>
  <w:style w:type="character" w:customStyle="1" w:styleId="ListLabel2118">
    <w:name w:val="ListLabel 2118"/>
    <w:qFormat/>
    <w:rPr>
      <w:rFonts w:cs="Courier New"/>
    </w:rPr>
  </w:style>
  <w:style w:type="character" w:customStyle="1" w:styleId="ListLabel2119">
    <w:name w:val="ListLabel 2119"/>
    <w:qFormat/>
    <w:rPr>
      <w:rFonts w:cs="Wingdings"/>
    </w:rPr>
  </w:style>
  <w:style w:type="character" w:customStyle="1" w:styleId="ListLabel2120">
    <w:name w:val="ListLabel 2120"/>
    <w:qFormat/>
    <w:rPr>
      <w:rFonts w:cs="Symbol"/>
    </w:rPr>
  </w:style>
  <w:style w:type="character" w:customStyle="1" w:styleId="ListLabel2121">
    <w:name w:val="ListLabel 2121"/>
    <w:qFormat/>
    <w:rPr>
      <w:rFonts w:cs="Courier New"/>
    </w:rPr>
  </w:style>
  <w:style w:type="character" w:customStyle="1" w:styleId="ListLabel2122">
    <w:name w:val="ListLabel 2122"/>
    <w:qFormat/>
    <w:rPr>
      <w:rFonts w:cs="Wingdings"/>
    </w:rPr>
  </w:style>
  <w:style w:type="character" w:customStyle="1" w:styleId="ListLabel2123">
    <w:name w:val="ListLabel 2123"/>
    <w:qFormat/>
    <w:rPr>
      <w:rFonts w:cs="Times New Roman"/>
      <w:b/>
      <w:sz w:val="24"/>
    </w:rPr>
  </w:style>
  <w:style w:type="character" w:customStyle="1" w:styleId="ListLabel2124">
    <w:name w:val="ListLabel 2124"/>
    <w:qFormat/>
    <w:rPr>
      <w:rFonts w:cs="Times New Roman"/>
    </w:rPr>
  </w:style>
  <w:style w:type="character" w:customStyle="1" w:styleId="ListLabel2125">
    <w:name w:val="ListLabel 2125"/>
    <w:qFormat/>
    <w:rPr>
      <w:rFonts w:cs="Times New Roman"/>
    </w:rPr>
  </w:style>
  <w:style w:type="character" w:customStyle="1" w:styleId="ListLabel2126">
    <w:name w:val="ListLabel 2126"/>
    <w:qFormat/>
    <w:rPr>
      <w:rFonts w:cs="Times New Roman"/>
    </w:rPr>
  </w:style>
  <w:style w:type="character" w:customStyle="1" w:styleId="ListLabel2127">
    <w:name w:val="ListLabel 2127"/>
    <w:qFormat/>
    <w:rPr>
      <w:rFonts w:cs="Times New Roman"/>
    </w:rPr>
  </w:style>
  <w:style w:type="character" w:customStyle="1" w:styleId="ListLabel2128">
    <w:name w:val="ListLabel 2128"/>
    <w:qFormat/>
    <w:rPr>
      <w:rFonts w:cs="Times New Roman"/>
    </w:rPr>
  </w:style>
  <w:style w:type="character" w:customStyle="1" w:styleId="ListLabel2129">
    <w:name w:val="ListLabel 2129"/>
    <w:qFormat/>
    <w:rPr>
      <w:rFonts w:cs="Times New Roman"/>
    </w:rPr>
  </w:style>
  <w:style w:type="character" w:customStyle="1" w:styleId="ListLabel2130">
    <w:name w:val="ListLabel 2130"/>
    <w:qFormat/>
    <w:rPr>
      <w:rFonts w:cs="Times New Roman"/>
    </w:rPr>
  </w:style>
  <w:style w:type="character" w:customStyle="1" w:styleId="ListLabel2131">
    <w:name w:val="ListLabel 2131"/>
    <w:qFormat/>
    <w:rPr>
      <w:rFonts w:cs="Times New Roman"/>
    </w:rPr>
  </w:style>
  <w:style w:type="character" w:customStyle="1" w:styleId="ListLabel2132">
    <w:name w:val="ListLabel 2132"/>
    <w:qFormat/>
    <w:rPr>
      <w:rFonts w:cs="Calibri"/>
      <w:sz w:val="24"/>
    </w:rPr>
  </w:style>
  <w:style w:type="character" w:customStyle="1" w:styleId="ListLabel2133">
    <w:name w:val="ListLabel 2133"/>
    <w:qFormat/>
    <w:rPr>
      <w:rFonts w:cs="Courier New"/>
    </w:rPr>
  </w:style>
  <w:style w:type="character" w:customStyle="1" w:styleId="ListLabel2134">
    <w:name w:val="ListLabel 2134"/>
    <w:qFormat/>
    <w:rPr>
      <w:rFonts w:cs="Wingdings"/>
    </w:rPr>
  </w:style>
  <w:style w:type="character" w:customStyle="1" w:styleId="ListLabel2135">
    <w:name w:val="ListLabel 2135"/>
    <w:qFormat/>
    <w:rPr>
      <w:rFonts w:cs="Symbol"/>
    </w:rPr>
  </w:style>
  <w:style w:type="character" w:customStyle="1" w:styleId="ListLabel2136">
    <w:name w:val="ListLabel 2136"/>
    <w:qFormat/>
    <w:rPr>
      <w:rFonts w:cs="Courier New"/>
    </w:rPr>
  </w:style>
  <w:style w:type="character" w:customStyle="1" w:styleId="ListLabel2137">
    <w:name w:val="ListLabel 2137"/>
    <w:qFormat/>
    <w:rPr>
      <w:rFonts w:cs="Wingdings"/>
    </w:rPr>
  </w:style>
  <w:style w:type="character" w:customStyle="1" w:styleId="ListLabel2138">
    <w:name w:val="ListLabel 2138"/>
    <w:qFormat/>
    <w:rPr>
      <w:rFonts w:cs="Symbol"/>
    </w:rPr>
  </w:style>
  <w:style w:type="character" w:customStyle="1" w:styleId="ListLabel2139">
    <w:name w:val="ListLabel 2139"/>
    <w:qFormat/>
    <w:rPr>
      <w:rFonts w:cs="Courier New"/>
    </w:rPr>
  </w:style>
  <w:style w:type="character" w:customStyle="1" w:styleId="ListLabel2140">
    <w:name w:val="ListLabel 2140"/>
    <w:qFormat/>
    <w:rPr>
      <w:rFonts w:cs="Wingdings"/>
    </w:rPr>
  </w:style>
  <w:style w:type="character" w:customStyle="1" w:styleId="ListLabel2141">
    <w:name w:val="ListLabel 2141"/>
    <w:qFormat/>
    <w:rPr>
      <w:rFonts w:cs="Times New Roman"/>
      <w:sz w:val="24"/>
    </w:rPr>
  </w:style>
  <w:style w:type="character" w:customStyle="1" w:styleId="ListLabel2142">
    <w:name w:val="ListLabel 2142"/>
    <w:qFormat/>
    <w:rPr>
      <w:rFonts w:cs="Times New Roman"/>
    </w:rPr>
  </w:style>
  <w:style w:type="character" w:customStyle="1" w:styleId="ListLabel2143">
    <w:name w:val="ListLabel 2143"/>
    <w:qFormat/>
    <w:rPr>
      <w:rFonts w:cs="Times New Roman"/>
    </w:rPr>
  </w:style>
  <w:style w:type="character" w:customStyle="1" w:styleId="ListLabel2144">
    <w:name w:val="ListLabel 2144"/>
    <w:qFormat/>
    <w:rPr>
      <w:rFonts w:cs="Times New Roman"/>
    </w:rPr>
  </w:style>
  <w:style w:type="character" w:customStyle="1" w:styleId="ListLabel2145">
    <w:name w:val="ListLabel 2145"/>
    <w:qFormat/>
    <w:rPr>
      <w:rFonts w:cs="Times New Roman"/>
    </w:rPr>
  </w:style>
  <w:style w:type="character" w:customStyle="1" w:styleId="ListLabel2146">
    <w:name w:val="ListLabel 2146"/>
    <w:qFormat/>
    <w:rPr>
      <w:rFonts w:cs="Times New Roman"/>
    </w:rPr>
  </w:style>
  <w:style w:type="character" w:customStyle="1" w:styleId="ListLabel2147">
    <w:name w:val="ListLabel 2147"/>
    <w:qFormat/>
    <w:rPr>
      <w:rFonts w:cs="Times New Roman"/>
    </w:rPr>
  </w:style>
  <w:style w:type="character" w:customStyle="1" w:styleId="ListLabel2148">
    <w:name w:val="ListLabel 2148"/>
    <w:qFormat/>
    <w:rPr>
      <w:rFonts w:cs="Times New Roman"/>
    </w:rPr>
  </w:style>
  <w:style w:type="character" w:customStyle="1" w:styleId="ListLabel2149">
    <w:name w:val="ListLabel 2149"/>
    <w:qFormat/>
    <w:rPr>
      <w:rFonts w:cs="Times New Roman"/>
    </w:rPr>
  </w:style>
  <w:style w:type="character" w:customStyle="1" w:styleId="ListLabel2150">
    <w:name w:val="ListLabel 2150"/>
    <w:qFormat/>
    <w:rPr>
      <w:rFonts w:cs="Calibri"/>
      <w:sz w:val="24"/>
    </w:rPr>
  </w:style>
  <w:style w:type="character" w:customStyle="1" w:styleId="ListLabel2151">
    <w:name w:val="ListLabel 2151"/>
    <w:qFormat/>
    <w:rPr>
      <w:rFonts w:cs="Courier New"/>
    </w:rPr>
  </w:style>
  <w:style w:type="character" w:customStyle="1" w:styleId="ListLabel2152">
    <w:name w:val="ListLabel 2152"/>
    <w:qFormat/>
    <w:rPr>
      <w:rFonts w:cs="Wingdings"/>
    </w:rPr>
  </w:style>
  <w:style w:type="character" w:customStyle="1" w:styleId="ListLabel2153">
    <w:name w:val="ListLabel 2153"/>
    <w:qFormat/>
    <w:rPr>
      <w:rFonts w:cs="Symbol"/>
    </w:rPr>
  </w:style>
  <w:style w:type="character" w:customStyle="1" w:styleId="ListLabel2154">
    <w:name w:val="ListLabel 2154"/>
    <w:qFormat/>
    <w:rPr>
      <w:rFonts w:cs="Courier New"/>
    </w:rPr>
  </w:style>
  <w:style w:type="character" w:customStyle="1" w:styleId="ListLabel2155">
    <w:name w:val="ListLabel 2155"/>
    <w:qFormat/>
    <w:rPr>
      <w:rFonts w:cs="Wingdings"/>
    </w:rPr>
  </w:style>
  <w:style w:type="character" w:customStyle="1" w:styleId="ListLabel2156">
    <w:name w:val="ListLabel 2156"/>
    <w:qFormat/>
    <w:rPr>
      <w:rFonts w:cs="Symbol"/>
    </w:rPr>
  </w:style>
  <w:style w:type="character" w:customStyle="1" w:styleId="ListLabel2157">
    <w:name w:val="ListLabel 2157"/>
    <w:qFormat/>
    <w:rPr>
      <w:rFonts w:cs="Courier New"/>
    </w:rPr>
  </w:style>
  <w:style w:type="character" w:customStyle="1" w:styleId="ListLabel2158">
    <w:name w:val="ListLabel 2158"/>
    <w:qFormat/>
    <w:rPr>
      <w:rFonts w:cs="Wingdings"/>
    </w:rPr>
  </w:style>
  <w:style w:type="character" w:customStyle="1" w:styleId="ListLabel2159">
    <w:name w:val="ListLabel 2159"/>
    <w:qFormat/>
    <w:rPr>
      <w:rFonts w:cs="Calibri"/>
      <w:sz w:val="24"/>
    </w:rPr>
  </w:style>
  <w:style w:type="character" w:customStyle="1" w:styleId="ListLabel2160">
    <w:name w:val="ListLabel 2160"/>
    <w:qFormat/>
    <w:rPr>
      <w:rFonts w:cs="Courier New"/>
    </w:rPr>
  </w:style>
  <w:style w:type="character" w:customStyle="1" w:styleId="ListLabel2161">
    <w:name w:val="ListLabel 2161"/>
    <w:qFormat/>
    <w:rPr>
      <w:rFonts w:cs="Wingdings"/>
    </w:rPr>
  </w:style>
  <w:style w:type="character" w:customStyle="1" w:styleId="ListLabel2162">
    <w:name w:val="ListLabel 2162"/>
    <w:qFormat/>
    <w:rPr>
      <w:rFonts w:cs="Symbol"/>
    </w:rPr>
  </w:style>
  <w:style w:type="character" w:customStyle="1" w:styleId="ListLabel2163">
    <w:name w:val="ListLabel 2163"/>
    <w:qFormat/>
    <w:rPr>
      <w:rFonts w:cs="Courier New"/>
    </w:rPr>
  </w:style>
  <w:style w:type="character" w:customStyle="1" w:styleId="ListLabel2164">
    <w:name w:val="ListLabel 2164"/>
    <w:qFormat/>
    <w:rPr>
      <w:rFonts w:cs="Wingdings"/>
    </w:rPr>
  </w:style>
  <w:style w:type="character" w:customStyle="1" w:styleId="ListLabel2165">
    <w:name w:val="ListLabel 2165"/>
    <w:qFormat/>
    <w:rPr>
      <w:rFonts w:cs="Symbol"/>
    </w:rPr>
  </w:style>
  <w:style w:type="character" w:customStyle="1" w:styleId="ListLabel2166">
    <w:name w:val="ListLabel 2166"/>
    <w:qFormat/>
    <w:rPr>
      <w:rFonts w:cs="Courier New"/>
    </w:rPr>
  </w:style>
  <w:style w:type="character" w:customStyle="1" w:styleId="ListLabel2167">
    <w:name w:val="ListLabel 2167"/>
    <w:qFormat/>
    <w:rPr>
      <w:rFonts w:cs="Wingdings"/>
    </w:rPr>
  </w:style>
  <w:style w:type="character" w:customStyle="1" w:styleId="ListLabel2168">
    <w:name w:val="ListLabel 2168"/>
    <w:qFormat/>
    <w:rPr>
      <w:rFonts w:cs="Calibri"/>
      <w:sz w:val="24"/>
    </w:rPr>
  </w:style>
  <w:style w:type="character" w:customStyle="1" w:styleId="ListLabel2169">
    <w:name w:val="ListLabel 2169"/>
    <w:qFormat/>
    <w:rPr>
      <w:rFonts w:cs="Courier New"/>
    </w:rPr>
  </w:style>
  <w:style w:type="character" w:customStyle="1" w:styleId="ListLabel2170">
    <w:name w:val="ListLabel 2170"/>
    <w:qFormat/>
    <w:rPr>
      <w:rFonts w:cs="Wingdings"/>
    </w:rPr>
  </w:style>
  <w:style w:type="character" w:customStyle="1" w:styleId="ListLabel2171">
    <w:name w:val="ListLabel 2171"/>
    <w:qFormat/>
    <w:rPr>
      <w:rFonts w:cs="Symbol"/>
    </w:rPr>
  </w:style>
  <w:style w:type="character" w:customStyle="1" w:styleId="ListLabel2172">
    <w:name w:val="ListLabel 2172"/>
    <w:qFormat/>
    <w:rPr>
      <w:rFonts w:cs="Courier New"/>
    </w:rPr>
  </w:style>
  <w:style w:type="character" w:customStyle="1" w:styleId="ListLabel2173">
    <w:name w:val="ListLabel 2173"/>
    <w:qFormat/>
    <w:rPr>
      <w:rFonts w:cs="Wingdings"/>
    </w:rPr>
  </w:style>
  <w:style w:type="character" w:customStyle="1" w:styleId="ListLabel2174">
    <w:name w:val="ListLabel 2174"/>
    <w:qFormat/>
    <w:rPr>
      <w:rFonts w:cs="Symbol"/>
    </w:rPr>
  </w:style>
  <w:style w:type="character" w:customStyle="1" w:styleId="ListLabel2175">
    <w:name w:val="ListLabel 2175"/>
    <w:qFormat/>
    <w:rPr>
      <w:rFonts w:cs="Courier New"/>
    </w:rPr>
  </w:style>
  <w:style w:type="character" w:customStyle="1" w:styleId="ListLabel2176">
    <w:name w:val="ListLabel 2176"/>
    <w:qFormat/>
    <w:rPr>
      <w:rFonts w:cs="Wingdings"/>
    </w:rPr>
  </w:style>
  <w:style w:type="character" w:customStyle="1" w:styleId="ListLabel2177">
    <w:name w:val="ListLabel 2177"/>
    <w:qFormat/>
    <w:rPr>
      <w:rFonts w:cs="Calibri"/>
      <w:sz w:val="24"/>
    </w:rPr>
  </w:style>
  <w:style w:type="character" w:customStyle="1" w:styleId="ListLabel2178">
    <w:name w:val="ListLabel 2178"/>
    <w:qFormat/>
    <w:rPr>
      <w:rFonts w:cs="Courier New"/>
    </w:rPr>
  </w:style>
  <w:style w:type="character" w:customStyle="1" w:styleId="ListLabel2179">
    <w:name w:val="ListLabel 2179"/>
    <w:qFormat/>
    <w:rPr>
      <w:rFonts w:cs="Wingdings"/>
    </w:rPr>
  </w:style>
  <w:style w:type="character" w:customStyle="1" w:styleId="ListLabel2180">
    <w:name w:val="ListLabel 2180"/>
    <w:qFormat/>
    <w:rPr>
      <w:rFonts w:cs="Symbol"/>
    </w:rPr>
  </w:style>
  <w:style w:type="character" w:customStyle="1" w:styleId="ListLabel2181">
    <w:name w:val="ListLabel 2181"/>
    <w:qFormat/>
    <w:rPr>
      <w:rFonts w:cs="Courier New"/>
    </w:rPr>
  </w:style>
  <w:style w:type="character" w:customStyle="1" w:styleId="ListLabel2182">
    <w:name w:val="ListLabel 2182"/>
    <w:qFormat/>
    <w:rPr>
      <w:rFonts w:cs="Wingdings"/>
    </w:rPr>
  </w:style>
  <w:style w:type="character" w:customStyle="1" w:styleId="ListLabel2183">
    <w:name w:val="ListLabel 2183"/>
    <w:qFormat/>
    <w:rPr>
      <w:rFonts w:cs="Symbol"/>
    </w:rPr>
  </w:style>
  <w:style w:type="character" w:customStyle="1" w:styleId="ListLabel2184">
    <w:name w:val="ListLabel 2184"/>
    <w:qFormat/>
    <w:rPr>
      <w:rFonts w:cs="Courier New"/>
    </w:rPr>
  </w:style>
  <w:style w:type="character" w:customStyle="1" w:styleId="ListLabel2185">
    <w:name w:val="ListLabel 2185"/>
    <w:qFormat/>
    <w:rPr>
      <w:rFonts w:cs="Wingdings"/>
    </w:rPr>
  </w:style>
  <w:style w:type="character" w:customStyle="1" w:styleId="ListLabel2186">
    <w:name w:val="ListLabel 2186"/>
    <w:qFormat/>
    <w:rPr>
      <w:rFonts w:cs="Calibri"/>
      <w:sz w:val="24"/>
    </w:rPr>
  </w:style>
  <w:style w:type="character" w:customStyle="1" w:styleId="ListLabel2187">
    <w:name w:val="ListLabel 2187"/>
    <w:qFormat/>
    <w:rPr>
      <w:rFonts w:cs="Courier New"/>
    </w:rPr>
  </w:style>
  <w:style w:type="character" w:customStyle="1" w:styleId="ListLabel2188">
    <w:name w:val="ListLabel 2188"/>
    <w:qFormat/>
    <w:rPr>
      <w:rFonts w:cs="Wingdings"/>
    </w:rPr>
  </w:style>
  <w:style w:type="character" w:customStyle="1" w:styleId="ListLabel2189">
    <w:name w:val="ListLabel 2189"/>
    <w:qFormat/>
    <w:rPr>
      <w:rFonts w:cs="Symbol"/>
    </w:rPr>
  </w:style>
  <w:style w:type="character" w:customStyle="1" w:styleId="ListLabel2190">
    <w:name w:val="ListLabel 2190"/>
    <w:qFormat/>
    <w:rPr>
      <w:rFonts w:cs="Courier New"/>
    </w:rPr>
  </w:style>
  <w:style w:type="character" w:customStyle="1" w:styleId="ListLabel2191">
    <w:name w:val="ListLabel 2191"/>
    <w:qFormat/>
    <w:rPr>
      <w:rFonts w:cs="Wingdings"/>
    </w:rPr>
  </w:style>
  <w:style w:type="character" w:customStyle="1" w:styleId="ListLabel2192">
    <w:name w:val="ListLabel 2192"/>
    <w:qFormat/>
    <w:rPr>
      <w:rFonts w:cs="Symbol"/>
    </w:rPr>
  </w:style>
  <w:style w:type="character" w:customStyle="1" w:styleId="ListLabel2193">
    <w:name w:val="ListLabel 2193"/>
    <w:qFormat/>
    <w:rPr>
      <w:rFonts w:cs="Courier New"/>
    </w:rPr>
  </w:style>
  <w:style w:type="character" w:customStyle="1" w:styleId="ListLabel2194">
    <w:name w:val="ListLabel 2194"/>
    <w:qFormat/>
    <w:rPr>
      <w:rFonts w:cs="Wingdings"/>
    </w:rPr>
  </w:style>
  <w:style w:type="character" w:customStyle="1" w:styleId="ListLabel2195">
    <w:name w:val="ListLabel 2195"/>
    <w:qFormat/>
    <w:rPr>
      <w:rFonts w:cs="Calibri"/>
      <w:sz w:val="24"/>
    </w:rPr>
  </w:style>
  <w:style w:type="character" w:customStyle="1" w:styleId="ListLabel2196">
    <w:name w:val="ListLabel 2196"/>
    <w:qFormat/>
    <w:rPr>
      <w:rFonts w:cs="Courier New"/>
    </w:rPr>
  </w:style>
  <w:style w:type="character" w:customStyle="1" w:styleId="ListLabel2197">
    <w:name w:val="ListLabel 2197"/>
    <w:qFormat/>
    <w:rPr>
      <w:rFonts w:cs="Wingdings"/>
    </w:rPr>
  </w:style>
  <w:style w:type="character" w:customStyle="1" w:styleId="ListLabel2198">
    <w:name w:val="ListLabel 2198"/>
    <w:qFormat/>
    <w:rPr>
      <w:rFonts w:cs="Symbol"/>
    </w:rPr>
  </w:style>
  <w:style w:type="character" w:customStyle="1" w:styleId="ListLabel2199">
    <w:name w:val="ListLabel 2199"/>
    <w:qFormat/>
    <w:rPr>
      <w:rFonts w:cs="Courier New"/>
    </w:rPr>
  </w:style>
  <w:style w:type="character" w:customStyle="1" w:styleId="ListLabel2200">
    <w:name w:val="ListLabel 2200"/>
    <w:qFormat/>
    <w:rPr>
      <w:rFonts w:cs="Wingdings"/>
    </w:rPr>
  </w:style>
  <w:style w:type="character" w:customStyle="1" w:styleId="ListLabel2201">
    <w:name w:val="ListLabel 2201"/>
    <w:qFormat/>
    <w:rPr>
      <w:rFonts w:cs="Symbol"/>
    </w:rPr>
  </w:style>
  <w:style w:type="character" w:customStyle="1" w:styleId="ListLabel2202">
    <w:name w:val="ListLabel 2202"/>
    <w:qFormat/>
    <w:rPr>
      <w:rFonts w:cs="Courier New"/>
    </w:rPr>
  </w:style>
  <w:style w:type="character" w:customStyle="1" w:styleId="ListLabel2203">
    <w:name w:val="ListLabel 2203"/>
    <w:qFormat/>
    <w:rPr>
      <w:rFonts w:cs="Wingdings"/>
    </w:rPr>
  </w:style>
  <w:style w:type="character" w:customStyle="1" w:styleId="ListLabel2204">
    <w:name w:val="ListLabel 2204"/>
    <w:qFormat/>
    <w:rPr>
      <w:rFonts w:cs="Calibri"/>
      <w:sz w:val="24"/>
    </w:rPr>
  </w:style>
  <w:style w:type="character" w:customStyle="1" w:styleId="ListLabel2205">
    <w:name w:val="ListLabel 2205"/>
    <w:qFormat/>
    <w:rPr>
      <w:rFonts w:cs="Courier New"/>
    </w:rPr>
  </w:style>
  <w:style w:type="character" w:customStyle="1" w:styleId="ListLabel2206">
    <w:name w:val="ListLabel 2206"/>
    <w:qFormat/>
    <w:rPr>
      <w:rFonts w:cs="Wingdings"/>
    </w:rPr>
  </w:style>
  <w:style w:type="character" w:customStyle="1" w:styleId="ListLabel2207">
    <w:name w:val="ListLabel 2207"/>
    <w:qFormat/>
    <w:rPr>
      <w:rFonts w:cs="Symbol"/>
    </w:rPr>
  </w:style>
  <w:style w:type="character" w:customStyle="1" w:styleId="ListLabel2208">
    <w:name w:val="ListLabel 2208"/>
    <w:qFormat/>
    <w:rPr>
      <w:rFonts w:cs="Courier New"/>
    </w:rPr>
  </w:style>
  <w:style w:type="character" w:customStyle="1" w:styleId="ListLabel2209">
    <w:name w:val="ListLabel 2209"/>
    <w:qFormat/>
    <w:rPr>
      <w:rFonts w:cs="Wingdings"/>
    </w:rPr>
  </w:style>
  <w:style w:type="character" w:customStyle="1" w:styleId="ListLabel2210">
    <w:name w:val="ListLabel 2210"/>
    <w:qFormat/>
    <w:rPr>
      <w:rFonts w:cs="Symbol"/>
    </w:rPr>
  </w:style>
  <w:style w:type="character" w:customStyle="1" w:styleId="ListLabel2211">
    <w:name w:val="ListLabel 2211"/>
    <w:qFormat/>
    <w:rPr>
      <w:rFonts w:cs="Courier New"/>
    </w:rPr>
  </w:style>
  <w:style w:type="character" w:customStyle="1" w:styleId="ListLabel2212">
    <w:name w:val="ListLabel 2212"/>
    <w:qFormat/>
    <w:rPr>
      <w:rFonts w:cs="Wingdings"/>
    </w:rPr>
  </w:style>
  <w:style w:type="character" w:customStyle="1" w:styleId="ListLabel2213">
    <w:name w:val="ListLabel 2213"/>
    <w:qFormat/>
    <w:rPr>
      <w:rFonts w:cs="Calibri"/>
    </w:rPr>
  </w:style>
  <w:style w:type="character" w:customStyle="1" w:styleId="ListLabel2214">
    <w:name w:val="ListLabel 2214"/>
    <w:qFormat/>
    <w:rPr>
      <w:rFonts w:cs="Courier New"/>
    </w:rPr>
  </w:style>
  <w:style w:type="character" w:customStyle="1" w:styleId="ListLabel2215">
    <w:name w:val="ListLabel 2215"/>
    <w:qFormat/>
    <w:rPr>
      <w:rFonts w:cs="Wingdings"/>
    </w:rPr>
  </w:style>
  <w:style w:type="character" w:customStyle="1" w:styleId="ListLabel2216">
    <w:name w:val="ListLabel 2216"/>
    <w:qFormat/>
    <w:rPr>
      <w:rFonts w:cs="Symbol"/>
    </w:rPr>
  </w:style>
  <w:style w:type="character" w:customStyle="1" w:styleId="ListLabel2217">
    <w:name w:val="ListLabel 2217"/>
    <w:qFormat/>
    <w:rPr>
      <w:rFonts w:cs="Courier New"/>
    </w:rPr>
  </w:style>
  <w:style w:type="character" w:customStyle="1" w:styleId="ListLabel2218">
    <w:name w:val="ListLabel 2218"/>
    <w:qFormat/>
    <w:rPr>
      <w:rFonts w:cs="Wingdings"/>
    </w:rPr>
  </w:style>
  <w:style w:type="character" w:customStyle="1" w:styleId="ListLabel2219">
    <w:name w:val="ListLabel 2219"/>
    <w:qFormat/>
    <w:rPr>
      <w:rFonts w:cs="Symbol"/>
    </w:rPr>
  </w:style>
  <w:style w:type="character" w:customStyle="1" w:styleId="ListLabel2220">
    <w:name w:val="ListLabel 2220"/>
    <w:qFormat/>
    <w:rPr>
      <w:rFonts w:cs="Courier New"/>
    </w:rPr>
  </w:style>
  <w:style w:type="character" w:customStyle="1" w:styleId="ListLabel2221">
    <w:name w:val="ListLabel 2221"/>
    <w:qFormat/>
    <w:rPr>
      <w:rFonts w:cs="Wingdings"/>
    </w:rPr>
  </w:style>
  <w:style w:type="character" w:customStyle="1" w:styleId="ListLabel2222">
    <w:name w:val="ListLabel 2222"/>
    <w:qFormat/>
    <w:rPr>
      <w:rFonts w:cs="Times New Roman"/>
      <w:sz w:val="20"/>
    </w:rPr>
  </w:style>
  <w:style w:type="character" w:customStyle="1" w:styleId="ListLabel2223">
    <w:name w:val="ListLabel 2223"/>
    <w:qFormat/>
    <w:rPr>
      <w:rFonts w:cs="Times New Roman"/>
    </w:rPr>
  </w:style>
  <w:style w:type="character" w:customStyle="1" w:styleId="ListLabel2224">
    <w:name w:val="ListLabel 2224"/>
    <w:qFormat/>
    <w:rPr>
      <w:rFonts w:cs="Times New Roman"/>
    </w:rPr>
  </w:style>
  <w:style w:type="character" w:customStyle="1" w:styleId="ListLabel2225">
    <w:name w:val="ListLabel 2225"/>
    <w:qFormat/>
    <w:rPr>
      <w:rFonts w:cs="Times New Roman"/>
    </w:rPr>
  </w:style>
  <w:style w:type="character" w:customStyle="1" w:styleId="ListLabel2226">
    <w:name w:val="ListLabel 2226"/>
    <w:qFormat/>
    <w:rPr>
      <w:rFonts w:cs="Times New Roman"/>
    </w:rPr>
  </w:style>
  <w:style w:type="character" w:customStyle="1" w:styleId="ListLabel2227">
    <w:name w:val="ListLabel 2227"/>
    <w:qFormat/>
    <w:rPr>
      <w:rFonts w:cs="Times New Roman"/>
    </w:rPr>
  </w:style>
  <w:style w:type="character" w:customStyle="1" w:styleId="ListLabel2228">
    <w:name w:val="ListLabel 2228"/>
    <w:qFormat/>
    <w:rPr>
      <w:rFonts w:cs="Times New Roman"/>
    </w:rPr>
  </w:style>
  <w:style w:type="character" w:customStyle="1" w:styleId="ListLabel2229">
    <w:name w:val="ListLabel 2229"/>
    <w:qFormat/>
    <w:rPr>
      <w:rFonts w:cs="Times New Roman"/>
    </w:rPr>
  </w:style>
  <w:style w:type="character" w:customStyle="1" w:styleId="ListLabel2230">
    <w:name w:val="ListLabel 2230"/>
    <w:qFormat/>
    <w:rPr>
      <w:rFonts w:cs="Times New Roman"/>
    </w:rPr>
  </w:style>
  <w:style w:type="character" w:customStyle="1" w:styleId="ListLabel2231">
    <w:name w:val="ListLabel 2231"/>
    <w:qFormat/>
    <w:rPr>
      <w:rFonts w:cs="Calibri"/>
    </w:rPr>
  </w:style>
  <w:style w:type="character" w:customStyle="1" w:styleId="ListLabel2232">
    <w:name w:val="ListLabel 2232"/>
    <w:qFormat/>
    <w:rPr>
      <w:rFonts w:cs="Courier New"/>
    </w:rPr>
  </w:style>
  <w:style w:type="character" w:customStyle="1" w:styleId="ListLabel2233">
    <w:name w:val="ListLabel 2233"/>
    <w:qFormat/>
    <w:rPr>
      <w:rFonts w:cs="Wingdings"/>
    </w:rPr>
  </w:style>
  <w:style w:type="character" w:customStyle="1" w:styleId="ListLabel2234">
    <w:name w:val="ListLabel 2234"/>
    <w:qFormat/>
    <w:rPr>
      <w:rFonts w:cs="Symbol"/>
    </w:rPr>
  </w:style>
  <w:style w:type="character" w:customStyle="1" w:styleId="ListLabel2235">
    <w:name w:val="ListLabel 2235"/>
    <w:qFormat/>
    <w:rPr>
      <w:rFonts w:cs="Courier New"/>
    </w:rPr>
  </w:style>
  <w:style w:type="character" w:customStyle="1" w:styleId="ListLabel2236">
    <w:name w:val="ListLabel 2236"/>
    <w:qFormat/>
    <w:rPr>
      <w:rFonts w:cs="Wingdings"/>
    </w:rPr>
  </w:style>
  <w:style w:type="character" w:customStyle="1" w:styleId="ListLabel2237">
    <w:name w:val="ListLabel 2237"/>
    <w:qFormat/>
    <w:rPr>
      <w:rFonts w:cs="Symbol"/>
    </w:rPr>
  </w:style>
  <w:style w:type="character" w:customStyle="1" w:styleId="ListLabel2238">
    <w:name w:val="ListLabel 2238"/>
    <w:qFormat/>
    <w:rPr>
      <w:rFonts w:cs="Courier New"/>
    </w:rPr>
  </w:style>
  <w:style w:type="character" w:customStyle="1" w:styleId="ListLabel2239">
    <w:name w:val="ListLabel 2239"/>
    <w:qFormat/>
    <w:rPr>
      <w:rFonts w:cs="Wingdings"/>
    </w:rPr>
  </w:style>
  <w:style w:type="character" w:customStyle="1" w:styleId="ListLabel2240">
    <w:name w:val="ListLabel 2240"/>
    <w:qFormat/>
    <w:rPr>
      <w:rFonts w:cs="Calibri"/>
    </w:rPr>
  </w:style>
  <w:style w:type="character" w:customStyle="1" w:styleId="ListLabel2241">
    <w:name w:val="ListLabel 2241"/>
    <w:qFormat/>
    <w:rPr>
      <w:rFonts w:cs="Courier New"/>
    </w:rPr>
  </w:style>
  <w:style w:type="character" w:customStyle="1" w:styleId="ListLabel2242">
    <w:name w:val="ListLabel 2242"/>
    <w:qFormat/>
    <w:rPr>
      <w:rFonts w:cs="Wingdings"/>
    </w:rPr>
  </w:style>
  <w:style w:type="character" w:customStyle="1" w:styleId="ListLabel2243">
    <w:name w:val="ListLabel 2243"/>
    <w:qFormat/>
    <w:rPr>
      <w:rFonts w:cs="Symbol"/>
    </w:rPr>
  </w:style>
  <w:style w:type="character" w:customStyle="1" w:styleId="ListLabel2244">
    <w:name w:val="ListLabel 2244"/>
    <w:qFormat/>
    <w:rPr>
      <w:rFonts w:cs="Courier New"/>
    </w:rPr>
  </w:style>
  <w:style w:type="character" w:customStyle="1" w:styleId="ListLabel2245">
    <w:name w:val="ListLabel 2245"/>
    <w:qFormat/>
    <w:rPr>
      <w:rFonts w:cs="Wingdings"/>
    </w:rPr>
  </w:style>
  <w:style w:type="character" w:customStyle="1" w:styleId="ListLabel2246">
    <w:name w:val="ListLabel 2246"/>
    <w:qFormat/>
    <w:rPr>
      <w:rFonts w:cs="Symbol"/>
    </w:rPr>
  </w:style>
  <w:style w:type="character" w:customStyle="1" w:styleId="ListLabel2247">
    <w:name w:val="ListLabel 2247"/>
    <w:qFormat/>
    <w:rPr>
      <w:rFonts w:cs="Courier New"/>
    </w:rPr>
  </w:style>
  <w:style w:type="character" w:customStyle="1" w:styleId="ListLabel2248">
    <w:name w:val="ListLabel 2248"/>
    <w:qFormat/>
    <w:rPr>
      <w:rFonts w:cs="Wingdings"/>
    </w:rPr>
  </w:style>
  <w:style w:type="character" w:customStyle="1" w:styleId="ListLabel2249">
    <w:name w:val="ListLabel 2249"/>
    <w:qFormat/>
    <w:rPr>
      <w:rFonts w:cs="Symbol"/>
    </w:rPr>
  </w:style>
  <w:style w:type="character" w:customStyle="1" w:styleId="ListLabel2250">
    <w:name w:val="ListLabel 2250"/>
    <w:qFormat/>
    <w:rPr>
      <w:rFonts w:cs="Courier New"/>
    </w:rPr>
  </w:style>
  <w:style w:type="character" w:customStyle="1" w:styleId="ListLabel2251">
    <w:name w:val="ListLabel 2251"/>
    <w:qFormat/>
    <w:rPr>
      <w:rFonts w:cs="Wingdings"/>
    </w:rPr>
  </w:style>
  <w:style w:type="character" w:customStyle="1" w:styleId="ListLabel2252">
    <w:name w:val="ListLabel 2252"/>
    <w:qFormat/>
    <w:rPr>
      <w:rFonts w:cs="Symbol"/>
    </w:rPr>
  </w:style>
  <w:style w:type="character" w:customStyle="1" w:styleId="ListLabel2253">
    <w:name w:val="ListLabel 2253"/>
    <w:qFormat/>
    <w:rPr>
      <w:rFonts w:cs="Courier New"/>
    </w:rPr>
  </w:style>
  <w:style w:type="character" w:customStyle="1" w:styleId="ListLabel2254">
    <w:name w:val="ListLabel 2254"/>
    <w:qFormat/>
    <w:rPr>
      <w:rFonts w:cs="Wingdings"/>
    </w:rPr>
  </w:style>
  <w:style w:type="character" w:customStyle="1" w:styleId="ListLabel2255">
    <w:name w:val="ListLabel 2255"/>
    <w:qFormat/>
    <w:rPr>
      <w:rFonts w:cs="Symbol"/>
    </w:rPr>
  </w:style>
  <w:style w:type="character" w:customStyle="1" w:styleId="ListLabel2256">
    <w:name w:val="ListLabel 2256"/>
    <w:qFormat/>
    <w:rPr>
      <w:rFonts w:cs="Courier New"/>
    </w:rPr>
  </w:style>
  <w:style w:type="character" w:customStyle="1" w:styleId="ListLabel2257">
    <w:name w:val="ListLabel 2257"/>
    <w:qFormat/>
    <w:rPr>
      <w:rFonts w:cs="Wingdings"/>
    </w:rPr>
  </w:style>
  <w:style w:type="character" w:customStyle="1" w:styleId="ListLabel2258">
    <w:name w:val="ListLabel 2258"/>
    <w:qFormat/>
    <w:rPr>
      <w:rFonts w:cs="Symbol"/>
      <w:sz w:val="24"/>
    </w:rPr>
  </w:style>
  <w:style w:type="character" w:customStyle="1" w:styleId="ListLabel2259">
    <w:name w:val="ListLabel 2259"/>
    <w:qFormat/>
    <w:rPr>
      <w:rFonts w:cs="Courier New"/>
    </w:rPr>
  </w:style>
  <w:style w:type="character" w:customStyle="1" w:styleId="ListLabel2260">
    <w:name w:val="ListLabel 2260"/>
    <w:qFormat/>
    <w:rPr>
      <w:rFonts w:cs="Wingdings"/>
    </w:rPr>
  </w:style>
  <w:style w:type="character" w:customStyle="1" w:styleId="ListLabel2261">
    <w:name w:val="ListLabel 2261"/>
    <w:qFormat/>
    <w:rPr>
      <w:rFonts w:cs="Symbol"/>
    </w:rPr>
  </w:style>
  <w:style w:type="character" w:customStyle="1" w:styleId="ListLabel2262">
    <w:name w:val="ListLabel 2262"/>
    <w:qFormat/>
    <w:rPr>
      <w:rFonts w:cs="Courier New"/>
    </w:rPr>
  </w:style>
  <w:style w:type="character" w:customStyle="1" w:styleId="ListLabel2263">
    <w:name w:val="ListLabel 2263"/>
    <w:qFormat/>
    <w:rPr>
      <w:rFonts w:cs="Wingdings"/>
    </w:rPr>
  </w:style>
  <w:style w:type="character" w:customStyle="1" w:styleId="ListLabel2264">
    <w:name w:val="ListLabel 2264"/>
    <w:qFormat/>
    <w:rPr>
      <w:rFonts w:cs="Symbol"/>
    </w:rPr>
  </w:style>
  <w:style w:type="character" w:customStyle="1" w:styleId="ListLabel2265">
    <w:name w:val="ListLabel 2265"/>
    <w:qFormat/>
    <w:rPr>
      <w:rFonts w:cs="Courier New"/>
    </w:rPr>
  </w:style>
  <w:style w:type="character" w:customStyle="1" w:styleId="ListLabel2266">
    <w:name w:val="ListLabel 2266"/>
    <w:qFormat/>
    <w:rPr>
      <w:rFonts w:cs="Wingdings"/>
    </w:rPr>
  </w:style>
  <w:style w:type="character" w:customStyle="1" w:styleId="ListLabel2267">
    <w:name w:val="ListLabel 2267"/>
    <w:qFormat/>
    <w:rPr>
      <w:rFonts w:cs="Times New Roman"/>
      <w:sz w:val="20"/>
    </w:rPr>
  </w:style>
  <w:style w:type="character" w:customStyle="1" w:styleId="ListLabel2268">
    <w:name w:val="ListLabel 2268"/>
    <w:qFormat/>
    <w:rPr>
      <w:rFonts w:cs="Times New Roman"/>
    </w:rPr>
  </w:style>
  <w:style w:type="character" w:customStyle="1" w:styleId="ListLabel2269">
    <w:name w:val="ListLabel 2269"/>
    <w:qFormat/>
    <w:rPr>
      <w:rFonts w:cs="Times New Roman"/>
    </w:rPr>
  </w:style>
  <w:style w:type="character" w:customStyle="1" w:styleId="ListLabel2270">
    <w:name w:val="ListLabel 2270"/>
    <w:qFormat/>
    <w:rPr>
      <w:rFonts w:cs="Times New Roman"/>
    </w:rPr>
  </w:style>
  <w:style w:type="character" w:customStyle="1" w:styleId="ListLabel2271">
    <w:name w:val="ListLabel 2271"/>
    <w:qFormat/>
    <w:rPr>
      <w:rFonts w:cs="Times New Roman"/>
    </w:rPr>
  </w:style>
  <w:style w:type="character" w:customStyle="1" w:styleId="ListLabel2272">
    <w:name w:val="ListLabel 2272"/>
    <w:qFormat/>
    <w:rPr>
      <w:rFonts w:cs="Times New Roman"/>
    </w:rPr>
  </w:style>
  <w:style w:type="character" w:customStyle="1" w:styleId="ListLabel2273">
    <w:name w:val="ListLabel 2273"/>
    <w:qFormat/>
    <w:rPr>
      <w:rFonts w:cs="Times New Roman"/>
    </w:rPr>
  </w:style>
  <w:style w:type="character" w:customStyle="1" w:styleId="ListLabel2274">
    <w:name w:val="ListLabel 2274"/>
    <w:qFormat/>
    <w:rPr>
      <w:rFonts w:cs="Times New Roman"/>
    </w:rPr>
  </w:style>
  <w:style w:type="character" w:customStyle="1" w:styleId="ListLabel2275">
    <w:name w:val="ListLabel 2275"/>
    <w:qFormat/>
    <w:rPr>
      <w:rFonts w:cs="Times New Roman"/>
    </w:rPr>
  </w:style>
  <w:style w:type="character" w:customStyle="1" w:styleId="ListLabel2276">
    <w:name w:val="ListLabel 2276"/>
    <w:qFormat/>
    <w:rPr>
      <w:rFonts w:cs="Symbol"/>
      <w:sz w:val="20"/>
    </w:rPr>
  </w:style>
  <w:style w:type="character" w:customStyle="1" w:styleId="ListLabel2277">
    <w:name w:val="ListLabel 2277"/>
    <w:qFormat/>
    <w:rPr>
      <w:rFonts w:cs="Times New Roman"/>
    </w:rPr>
  </w:style>
  <w:style w:type="character" w:customStyle="1" w:styleId="ListLabel2278">
    <w:name w:val="ListLabel 2278"/>
    <w:qFormat/>
    <w:rPr>
      <w:rFonts w:cs="Calibri"/>
    </w:rPr>
  </w:style>
  <w:style w:type="character" w:customStyle="1" w:styleId="ListLabel2279">
    <w:name w:val="ListLabel 2279"/>
    <w:qFormat/>
    <w:rPr>
      <w:rFonts w:cs="Wingdings"/>
      <w:sz w:val="20"/>
    </w:rPr>
  </w:style>
  <w:style w:type="character" w:customStyle="1" w:styleId="ListLabel2280">
    <w:name w:val="ListLabel 2280"/>
    <w:qFormat/>
    <w:rPr>
      <w:rFonts w:cs="Wingdings"/>
      <w:sz w:val="20"/>
    </w:rPr>
  </w:style>
  <w:style w:type="character" w:customStyle="1" w:styleId="ListLabel2281">
    <w:name w:val="ListLabel 2281"/>
    <w:qFormat/>
    <w:rPr>
      <w:rFonts w:cs="Wingdings"/>
      <w:sz w:val="20"/>
    </w:rPr>
  </w:style>
  <w:style w:type="character" w:customStyle="1" w:styleId="ListLabel2282">
    <w:name w:val="ListLabel 2282"/>
    <w:qFormat/>
    <w:rPr>
      <w:rFonts w:cs="Wingdings"/>
      <w:sz w:val="20"/>
    </w:rPr>
  </w:style>
  <w:style w:type="character" w:customStyle="1" w:styleId="ListLabel2283">
    <w:name w:val="ListLabel 2283"/>
    <w:qFormat/>
    <w:rPr>
      <w:rFonts w:cs="Wingdings"/>
      <w:sz w:val="20"/>
    </w:rPr>
  </w:style>
  <w:style w:type="character" w:customStyle="1" w:styleId="ListLabel2284">
    <w:name w:val="ListLabel 2284"/>
    <w:qFormat/>
    <w:rPr>
      <w:rFonts w:cs="Wingdings"/>
      <w:sz w:val="20"/>
    </w:rPr>
  </w:style>
  <w:style w:type="character" w:customStyle="1" w:styleId="ListLabel2285">
    <w:name w:val="ListLabel 2285"/>
    <w:qFormat/>
    <w:rPr>
      <w:rFonts w:cs="Symbol"/>
    </w:rPr>
  </w:style>
  <w:style w:type="character" w:customStyle="1" w:styleId="ListLabel2286">
    <w:name w:val="ListLabel 2286"/>
    <w:qFormat/>
    <w:rPr>
      <w:rFonts w:cs="Courier New"/>
    </w:rPr>
  </w:style>
  <w:style w:type="character" w:customStyle="1" w:styleId="ListLabel2287">
    <w:name w:val="ListLabel 2287"/>
    <w:qFormat/>
    <w:rPr>
      <w:rFonts w:cs="Wingdings"/>
    </w:rPr>
  </w:style>
  <w:style w:type="character" w:customStyle="1" w:styleId="ListLabel2288">
    <w:name w:val="ListLabel 2288"/>
    <w:qFormat/>
    <w:rPr>
      <w:rFonts w:cs="Symbol"/>
    </w:rPr>
  </w:style>
  <w:style w:type="character" w:customStyle="1" w:styleId="ListLabel2289">
    <w:name w:val="ListLabel 2289"/>
    <w:qFormat/>
    <w:rPr>
      <w:rFonts w:cs="Courier New"/>
    </w:rPr>
  </w:style>
  <w:style w:type="character" w:customStyle="1" w:styleId="ListLabel2290">
    <w:name w:val="ListLabel 2290"/>
    <w:qFormat/>
    <w:rPr>
      <w:rFonts w:cs="Wingdings"/>
    </w:rPr>
  </w:style>
  <w:style w:type="character" w:customStyle="1" w:styleId="ListLabel2291">
    <w:name w:val="ListLabel 2291"/>
    <w:qFormat/>
    <w:rPr>
      <w:rFonts w:cs="Symbol"/>
    </w:rPr>
  </w:style>
  <w:style w:type="character" w:customStyle="1" w:styleId="ListLabel2292">
    <w:name w:val="ListLabel 2292"/>
    <w:qFormat/>
    <w:rPr>
      <w:rFonts w:cs="Courier New"/>
    </w:rPr>
  </w:style>
  <w:style w:type="character" w:customStyle="1" w:styleId="ListLabel2293">
    <w:name w:val="ListLabel 2293"/>
    <w:qFormat/>
    <w:rPr>
      <w:rFonts w:cs="Wingdings"/>
    </w:rPr>
  </w:style>
  <w:style w:type="character" w:customStyle="1" w:styleId="ListLabel2294">
    <w:name w:val="ListLabel 2294"/>
    <w:qFormat/>
    <w:rPr>
      <w:rFonts w:cs="Times New Roman"/>
      <w:sz w:val="20"/>
    </w:rPr>
  </w:style>
  <w:style w:type="character" w:customStyle="1" w:styleId="ListLabel2295">
    <w:name w:val="ListLabel 2295"/>
    <w:qFormat/>
    <w:rPr>
      <w:rFonts w:cs="Times New Roman"/>
    </w:rPr>
  </w:style>
  <w:style w:type="character" w:customStyle="1" w:styleId="ListLabel2296">
    <w:name w:val="ListLabel 2296"/>
    <w:qFormat/>
    <w:rPr>
      <w:rFonts w:cs="Times New Roman"/>
    </w:rPr>
  </w:style>
  <w:style w:type="character" w:customStyle="1" w:styleId="ListLabel2297">
    <w:name w:val="ListLabel 2297"/>
    <w:qFormat/>
    <w:rPr>
      <w:rFonts w:cs="Times New Roman"/>
    </w:rPr>
  </w:style>
  <w:style w:type="character" w:customStyle="1" w:styleId="ListLabel2298">
    <w:name w:val="ListLabel 2298"/>
    <w:qFormat/>
    <w:rPr>
      <w:rFonts w:cs="Times New Roman"/>
    </w:rPr>
  </w:style>
  <w:style w:type="character" w:customStyle="1" w:styleId="ListLabel2299">
    <w:name w:val="ListLabel 2299"/>
    <w:qFormat/>
    <w:rPr>
      <w:rFonts w:cs="Times New Roman"/>
    </w:rPr>
  </w:style>
  <w:style w:type="character" w:customStyle="1" w:styleId="ListLabel2300">
    <w:name w:val="ListLabel 2300"/>
    <w:qFormat/>
    <w:rPr>
      <w:rFonts w:cs="Times New Roman"/>
    </w:rPr>
  </w:style>
  <w:style w:type="character" w:customStyle="1" w:styleId="ListLabel2301">
    <w:name w:val="ListLabel 2301"/>
    <w:qFormat/>
    <w:rPr>
      <w:rFonts w:cs="Times New Roman"/>
    </w:rPr>
  </w:style>
  <w:style w:type="character" w:customStyle="1" w:styleId="ListLabel2302">
    <w:name w:val="ListLabel 2302"/>
    <w:qFormat/>
    <w:rPr>
      <w:rFonts w:cs="Times New Roman"/>
    </w:rPr>
  </w:style>
  <w:style w:type="character" w:customStyle="1" w:styleId="ListLabel2303">
    <w:name w:val="ListLabel 2303"/>
    <w:qFormat/>
    <w:rPr>
      <w:rFonts w:cs="Calibri"/>
    </w:rPr>
  </w:style>
  <w:style w:type="character" w:customStyle="1" w:styleId="ListLabel2304">
    <w:name w:val="ListLabel 2304"/>
    <w:qFormat/>
    <w:rPr>
      <w:rFonts w:cs="Courier New"/>
    </w:rPr>
  </w:style>
  <w:style w:type="character" w:customStyle="1" w:styleId="ListLabel2305">
    <w:name w:val="ListLabel 2305"/>
    <w:qFormat/>
    <w:rPr>
      <w:rFonts w:cs="Wingdings"/>
    </w:rPr>
  </w:style>
  <w:style w:type="character" w:customStyle="1" w:styleId="ListLabel2306">
    <w:name w:val="ListLabel 2306"/>
    <w:qFormat/>
    <w:rPr>
      <w:rFonts w:cs="Symbol"/>
    </w:rPr>
  </w:style>
  <w:style w:type="character" w:customStyle="1" w:styleId="ListLabel2307">
    <w:name w:val="ListLabel 2307"/>
    <w:qFormat/>
    <w:rPr>
      <w:rFonts w:cs="Courier New"/>
    </w:rPr>
  </w:style>
  <w:style w:type="character" w:customStyle="1" w:styleId="ListLabel2308">
    <w:name w:val="ListLabel 2308"/>
    <w:qFormat/>
    <w:rPr>
      <w:rFonts w:cs="Wingdings"/>
    </w:rPr>
  </w:style>
  <w:style w:type="character" w:customStyle="1" w:styleId="ListLabel2309">
    <w:name w:val="ListLabel 2309"/>
    <w:qFormat/>
    <w:rPr>
      <w:rFonts w:cs="Symbol"/>
    </w:rPr>
  </w:style>
  <w:style w:type="character" w:customStyle="1" w:styleId="ListLabel2310">
    <w:name w:val="ListLabel 2310"/>
    <w:qFormat/>
    <w:rPr>
      <w:rFonts w:cs="Courier New"/>
    </w:rPr>
  </w:style>
  <w:style w:type="character" w:customStyle="1" w:styleId="ListLabel2311">
    <w:name w:val="ListLabel 2311"/>
    <w:qFormat/>
    <w:rPr>
      <w:rFonts w:cs="Wingdings"/>
    </w:rPr>
  </w:style>
  <w:style w:type="character" w:customStyle="1" w:styleId="ListLabel2312">
    <w:name w:val="ListLabel 2312"/>
    <w:qFormat/>
    <w:rPr>
      <w:rFonts w:cs="Calibri"/>
      <w:sz w:val="24"/>
    </w:rPr>
  </w:style>
  <w:style w:type="character" w:customStyle="1" w:styleId="ListLabel2313">
    <w:name w:val="ListLabel 2313"/>
    <w:qFormat/>
    <w:rPr>
      <w:rFonts w:cs="Courier New"/>
    </w:rPr>
  </w:style>
  <w:style w:type="character" w:customStyle="1" w:styleId="ListLabel2314">
    <w:name w:val="ListLabel 2314"/>
    <w:qFormat/>
    <w:rPr>
      <w:rFonts w:cs="Wingdings"/>
    </w:rPr>
  </w:style>
  <w:style w:type="character" w:customStyle="1" w:styleId="ListLabel2315">
    <w:name w:val="ListLabel 2315"/>
    <w:qFormat/>
    <w:rPr>
      <w:rFonts w:cs="Symbol"/>
    </w:rPr>
  </w:style>
  <w:style w:type="character" w:customStyle="1" w:styleId="ListLabel2316">
    <w:name w:val="ListLabel 2316"/>
    <w:qFormat/>
    <w:rPr>
      <w:rFonts w:cs="Courier New"/>
    </w:rPr>
  </w:style>
  <w:style w:type="character" w:customStyle="1" w:styleId="ListLabel2317">
    <w:name w:val="ListLabel 2317"/>
    <w:qFormat/>
    <w:rPr>
      <w:rFonts w:cs="Wingdings"/>
    </w:rPr>
  </w:style>
  <w:style w:type="character" w:customStyle="1" w:styleId="ListLabel2318">
    <w:name w:val="ListLabel 2318"/>
    <w:qFormat/>
    <w:rPr>
      <w:rFonts w:cs="Symbol"/>
    </w:rPr>
  </w:style>
  <w:style w:type="character" w:customStyle="1" w:styleId="ListLabel2319">
    <w:name w:val="ListLabel 2319"/>
    <w:qFormat/>
    <w:rPr>
      <w:rFonts w:cs="Courier New"/>
    </w:rPr>
  </w:style>
  <w:style w:type="character" w:customStyle="1" w:styleId="ListLabel2320">
    <w:name w:val="ListLabel 2320"/>
    <w:qFormat/>
    <w:rPr>
      <w:rFonts w:cs="Wingdings"/>
    </w:rPr>
  </w:style>
  <w:style w:type="character" w:customStyle="1" w:styleId="ListLabel2321">
    <w:name w:val="ListLabel 2321"/>
    <w:qFormat/>
    <w:rPr>
      <w:rFonts w:cs="Calibri"/>
      <w:sz w:val="24"/>
    </w:rPr>
  </w:style>
  <w:style w:type="character" w:customStyle="1" w:styleId="ListLabel2322">
    <w:name w:val="ListLabel 2322"/>
    <w:qFormat/>
    <w:rPr>
      <w:rFonts w:cs="Courier New"/>
    </w:rPr>
  </w:style>
  <w:style w:type="character" w:customStyle="1" w:styleId="ListLabel2323">
    <w:name w:val="ListLabel 2323"/>
    <w:qFormat/>
    <w:rPr>
      <w:rFonts w:cs="Wingdings"/>
    </w:rPr>
  </w:style>
  <w:style w:type="character" w:customStyle="1" w:styleId="ListLabel2324">
    <w:name w:val="ListLabel 2324"/>
    <w:qFormat/>
    <w:rPr>
      <w:rFonts w:cs="Symbol"/>
    </w:rPr>
  </w:style>
  <w:style w:type="character" w:customStyle="1" w:styleId="ListLabel2325">
    <w:name w:val="ListLabel 2325"/>
    <w:qFormat/>
    <w:rPr>
      <w:rFonts w:cs="Courier New"/>
    </w:rPr>
  </w:style>
  <w:style w:type="character" w:customStyle="1" w:styleId="ListLabel2326">
    <w:name w:val="ListLabel 2326"/>
    <w:qFormat/>
    <w:rPr>
      <w:rFonts w:cs="Wingdings"/>
    </w:rPr>
  </w:style>
  <w:style w:type="character" w:customStyle="1" w:styleId="ListLabel2327">
    <w:name w:val="ListLabel 2327"/>
    <w:qFormat/>
    <w:rPr>
      <w:rFonts w:cs="Symbol"/>
    </w:rPr>
  </w:style>
  <w:style w:type="character" w:customStyle="1" w:styleId="ListLabel2328">
    <w:name w:val="ListLabel 2328"/>
    <w:qFormat/>
    <w:rPr>
      <w:rFonts w:cs="Courier New"/>
    </w:rPr>
  </w:style>
  <w:style w:type="character" w:customStyle="1" w:styleId="ListLabel2329">
    <w:name w:val="ListLabel 2329"/>
    <w:qFormat/>
    <w:rPr>
      <w:rFonts w:cs="Wingdings"/>
    </w:rPr>
  </w:style>
  <w:style w:type="character" w:customStyle="1" w:styleId="ListLabel2330">
    <w:name w:val="ListLabel 2330"/>
    <w:qFormat/>
    <w:rPr>
      <w:rFonts w:cs="Calibri"/>
      <w:sz w:val="24"/>
    </w:rPr>
  </w:style>
  <w:style w:type="character" w:customStyle="1" w:styleId="ListLabel2331">
    <w:name w:val="ListLabel 2331"/>
    <w:qFormat/>
    <w:rPr>
      <w:rFonts w:cs="Courier New"/>
    </w:rPr>
  </w:style>
  <w:style w:type="character" w:customStyle="1" w:styleId="ListLabel2332">
    <w:name w:val="ListLabel 2332"/>
    <w:qFormat/>
    <w:rPr>
      <w:rFonts w:cs="Wingdings"/>
    </w:rPr>
  </w:style>
  <w:style w:type="character" w:customStyle="1" w:styleId="ListLabel2333">
    <w:name w:val="ListLabel 2333"/>
    <w:qFormat/>
    <w:rPr>
      <w:rFonts w:cs="Symbol"/>
    </w:rPr>
  </w:style>
  <w:style w:type="character" w:customStyle="1" w:styleId="ListLabel2334">
    <w:name w:val="ListLabel 2334"/>
    <w:qFormat/>
    <w:rPr>
      <w:rFonts w:cs="Courier New"/>
    </w:rPr>
  </w:style>
  <w:style w:type="character" w:customStyle="1" w:styleId="ListLabel2335">
    <w:name w:val="ListLabel 2335"/>
    <w:qFormat/>
    <w:rPr>
      <w:rFonts w:cs="Wingdings"/>
    </w:rPr>
  </w:style>
  <w:style w:type="character" w:customStyle="1" w:styleId="ListLabel2336">
    <w:name w:val="ListLabel 2336"/>
    <w:qFormat/>
    <w:rPr>
      <w:rFonts w:cs="Symbol"/>
    </w:rPr>
  </w:style>
  <w:style w:type="character" w:customStyle="1" w:styleId="ListLabel2337">
    <w:name w:val="ListLabel 2337"/>
    <w:qFormat/>
    <w:rPr>
      <w:rFonts w:cs="Courier New"/>
    </w:rPr>
  </w:style>
  <w:style w:type="character" w:customStyle="1" w:styleId="ListLabel2338">
    <w:name w:val="ListLabel 2338"/>
    <w:qFormat/>
    <w:rPr>
      <w:rFonts w:cs="Wingdings"/>
    </w:rPr>
  </w:style>
  <w:style w:type="character" w:customStyle="1" w:styleId="ListLabel2339">
    <w:name w:val="ListLabel 2339"/>
    <w:qFormat/>
    <w:rPr>
      <w:rFonts w:cs="Calibri"/>
      <w:sz w:val="24"/>
    </w:rPr>
  </w:style>
  <w:style w:type="character" w:customStyle="1" w:styleId="ListLabel2340">
    <w:name w:val="ListLabel 2340"/>
    <w:qFormat/>
    <w:rPr>
      <w:rFonts w:cs="Courier New"/>
    </w:rPr>
  </w:style>
  <w:style w:type="character" w:customStyle="1" w:styleId="ListLabel2341">
    <w:name w:val="ListLabel 2341"/>
    <w:qFormat/>
    <w:rPr>
      <w:rFonts w:cs="Wingdings"/>
    </w:rPr>
  </w:style>
  <w:style w:type="character" w:customStyle="1" w:styleId="ListLabel2342">
    <w:name w:val="ListLabel 2342"/>
    <w:qFormat/>
    <w:rPr>
      <w:rFonts w:cs="Symbol"/>
    </w:rPr>
  </w:style>
  <w:style w:type="character" w:customStyle="1" w:styleId="ListLabel2343">
    <w:name w:val="ListLabel 2343"/>
    <w:qFormat/>
    <w:rPr>
      <w:rFonts w:cs="Courier New"/>
    </w:rPr>
  </w:style>
  <w:style w:type="character" w:customStyle="1" w:styleId="ListLabel2344">
    <w:name w:val="ListLabel 2344"/>
    <w:qFormat/>
    <w:rPr>
      <w:rFonts w:cs="Wingdings"/>
    </w:rPr>
  </w:style>
  <w:style w:type="character" w:customStyle="1" w:styleId="ListLabel2345">
    <w:name w:val="ListLabel 2345"/>
    <w:qFormat/>
    <w:rPr>
      <w:rFonts w:cs="Symbol"/>
    </w:rPr>
  </w:style>
  <w:style w:type="character" w:customStyle="1" w:styleId="ListLabel2346">
    <w:name w:val="ListLabel 2346"/>
    <w:qFormat/>
    <w:rPr>
      <w:rFonts w:cs="Courier New"/>
    </w:rPr>
  </w:style>
  <w:style w:type="character" w:customStyle="1" w:styleId="ListLabel2347">
    <w:name w:val="ListLabel 2347"/>
    <w:qFormat/>
    <w:rPr>
      <w:rFonts w:cs="Wingdings"/>
    </w:rPr>
  </w:style>
  <w:style w:type="character" w:customStyle="1" w:styleId="ListLabel2348">
    <w:name w:val="ListLabel 2348"/>
    <w:qFormat/>
    <w:rPr>
      <w:rFonts w:cs="Calibri"/>
      <w:sz w:val="24"/>
    </w:rPr>
  </w:style>
  <w:style w:type="character" w:customStyle="1" w:styleId="ListLabel2349">
    <w:name w:val="ListLabel 2349"/>
    <w:qFormat/>
    <w:rPr>
      <w:rFonts w:cs="Courier New"/>
    </w:rPr>
  </w:style>
  <w:style w:type="character" w:customStyle="1" w:styleId="ListLabel2350">
    <w:name w:val="ListLabel 2350"/>
    <w:qFormat/>
    <w:rPr>
      <w:rFonts w:cs="Wingdings"/>
    </w:rPr>
  </w:style>
  <w:style w:type="character" w:customStyle="1" w:styleId="ListLabel2351">
    <w:name w:val="ListLabel 2351"/>
    <w:qFormat/>
    <w:rPr>
      <w:rFonts w:cs="Symbol"/>
    </w:rPr>
  </w:style>
  <w:style w:type="character" w:customStyle="1" w:styleId="ListLabel2352">
    <w:name w:val="ListLabel 2352"/>
    <w:qFormat/>
    <w:rPr>
      <w:rFonts w:cs="Courier New"/>
    </w:rPr>
  </w:style>
  <w:style w:type="character" w:customStyle="1" w:styleId="ListLabel2353">
    <w:name w:val="ListLabel 2353"/>
    <w:qFormat/>
    <w:rPr>
      <w:rFonts w:cs="Wingdings"/>
    </w:rPr>
  </w:style>
  <w:style w:type="character" w:customStyle="1" w:styleId="ListLabel2354">
    <w:name w:val="ListLabel 2354"/>
    <w:qFormat/>
    <w:rPr>
      <w:rFonts w:cs="Symbol"/>
    </w:rPr>
  </w:style>
  <w:style w:type="character" w:customStyle="1" w:styleId="ListLabel2355">
    <w:name w:val="ListLabel 2355"/>
    <w:qFormat/>
    <w:rPr>
      <w:rFonts w:cs="Courier New"/>
    </w:rPr>
  </w:style>
  <w:style w:type="character" w:customStyle="1" w:styleId="ListLabel2356">
    <w:name w:val="ListLabel 2356"/>
    <w:qFormat/>
    <w:rPr>
      <w:rFonts w:cs="Wingdings"/>
    </w:rPr>
  </w:style>
  <w:style w:type="character" w:customStyle="1" w:styleId="ListLabel2357">
    <w:name w:val="ListLabel 2357"/>
    <w:qFormat/>
    <w:rPr>
      <w:rFonts w:cs="Symbol"/>
      <w:sz w:val="20"/>
    </w:rPr>
  </w:style>
  <w:style w:type="character" w:customStyle="1" w:styleId="ListLabel2358">
    <w:name w:val="ListLabel 2358"/>
    <w:qFormat/>
    <w:rPr>
      <w:rFonts w:cs="Symbol"/>
      <w:sz w:val="20"/>
    </w:rPr>
  </w:style>
  <w:style w:type="character" w:customStyle="1" w:styleId="ListLabel2359">
    <w:name w:val="ListLabel 2359"/>
    <w:qFormat/>
    <w:rPr>
      <w:rFonts w:cs="Symbol"/>
      <w:sz w:val="20"/>
    </w:rPr>
  </w:style>
  <w:style w:type="character" w:customStyle="1" w:styleId="ListLabel2360">
    <w:name w:val="ListLabel 2360"/>
    <w:qFormat/>
    <w:rPr>
      <w:rFonts w:cs="Symbol"/>
      <w:sz w:val="20"/>
    </w:rPr>
  </w:style>
  <w:style w:type="character" w:customStyle="1" w:styleId="ListLabel2361">
    <w:name w:val="ListLabel 2361"/>
    <w:qFormat/>
    <w:rPr>
      <w:rFonts w:cs="Symbol"/>
      <w:sz w:val="20"/>
    </w:rPr>
  </w:style>
  <w:style w:type="character" w:customStyle="1" w:styleId="ListLabel2362">
    <w:name w:val="ListLabel 2362"/>
    <w:qFormat/>
    <w:rPr>
      <w:rFonts w:cs="Symbol"/>
      <w:sz w:val="20"/>
    </w:rPr>
  </w:style>
  <w:style w:type="character" w:customStyle="1" w:styleId="ListLabel2363">
    <w:name w:val="ListLabel 2363"/>
    <w:qFormat/>
    <w:rPr>
      <w:rFonts w:cs="Symbol"/>
      <w:sz w:val="20"/>
    </w:rPr>
  </w:style>
  <w:style w:type="character" w:customStyle="1" w:styleId="ListLabel2364">
    <w:name w:val="ListLabel 2364"/>
    <w:qFormat/>
    <w:rPr>
      <w:rFonts w:cs="Symbol"/>
      <w:sz w:val="20"/>
    </w:rPr>
  </w:style>
  <w:style w:type="character" w:customStyle="1" w:styleId="ListLabel2365">
    <w:name w:val="ListLabel 2365"/>
    <w:qFormat/>
    <w:rPr>
      <w:rFonts w:cs="Symbol"/>
      <w:sz w:val="20"/>
    </w:rPr>
  </w:style>
  <w:style w:type="character" w:customStyle="1" w:styleId="ListLabel2366">
    <w:name w:val="ListLabel 2366"/>
    <w:qFormat/>
    <w:rPr>
      <w:rFonts w:cs="Symbol"/>
      <w:sz w:val="20"/>
    </w:rPr>
  </w:style>
  <w:style w:type="character" w:customStyle="1" w:styleId="ListLabel2367">
    <w:name w:val="ListLabel 2367"/>
    <w:qFormat/>
    <w:rPr>
      <w:rFonts w:cs="Symbol"/>
      <w:sz w:val="20"/>
    </w:rPr>
  </w:style>
  <w:style w:type="character" w:customStyle="1" w:styleId="ListLabel2368">
    <w:name w:val="ListLabel 2368"/>
    <w:qFormat/>
    <w:rPr>
      <w:rFonts w:cs="Symbol"/>
      <w:sz w:val="20"/>
    </w:rPr>
  </w:style>
  <w:style w:type="character" w:customStyle="1" w:styleId="ListLabel2369">
    <w:name w:val="ListLabel 2369"/>
    <w:qFormat/>
    <w:rPr>
      <w:rFonts w:cs="Symbol"/>
      <w:sz w:val="20"/>
    </w:rPr>
  </w:style>
  <w:style w:type="character" w:customStyle="1" w:styleId="ListLabel2370">
    <w:name w:val="ListLabel 2370"/>
    <w:qFormat/>
    <w:rPr>
      <w:rFonts w:cs="Symbol"/>
      <w:sz w:val="20"/>
    </w:rPr>
  </w:style>
  <w:style w:type="character" w:customStyle="1" w:styleId="ListLabel2371">
    <w:name w:val="ListLabel 2371"/>
    <w:qFormat/>
    <w:rPr>
      <w:rFonts w:cs="Symbol"/>
      <w:sz w:val="20"/>
    </w:rPr>
  </w:style>
  <w:style w:type="character" w:customStyle="1" w:styleId="ListLabel2372">
    <w:name w:val="ListLabel 2372"/>
    <w:qFormat/>
    <w:rPr>
      <w:rFonts w:cs="Symbol"/>
      <w:sz w:val="20"/>
    </w:rPr>
  </w:style>
  <w:style w:type="character" w:customStyle="1" w:styleId="ListLabel2373">
    <w:name w:val="ListLabel 2373"/>
    <w:qFormat/>
    <w:rPr>
      <w:rFonts w:cs="Symbol"/>
      <w:sz w:val="20"/>
    </w:rPr>
  </w:style>
  <w:style w:type="character" w:customStyle="1" w:styleId="ListLabel2374">
    <w:name w:val="ListLabel 2374"/>
    <w:qFormat/>
    <w:rPr>
      <w:rFonts w:cs="Symbol"/>
      <w:sz w:val="20"/>
    </w:rPr>
  </w:style>
  <w:style w:type="character" w:customStyle="1" w:styleId="ListLabel2375">
    <w:name w:val="ListLabel 2375"/>
    <w:qFormat/>
    <w:rPr>
      <w:rFonts w:cs="Times New Roman"/>
      <w:sz w:val="20"/>
    </w:rPr>
  </w:style>
  <w:style w:type="character" w:customStyle="1" w:styleId="ListLabel2376">
    <w:name w:val="ListLabel 2376"/>
    <w:qFormat/>
    <w:rPr>
      <w:rFonts w:cs="Times New Roman"/>
    </w:rPr>
  </w:style>
  <w:style w:type="character" w:customStyle="1" w:styleId="ListLabel2377">
    <w:name w:val="ListLabel 2377"/>
    <w:qFormat/>
    <w:rPr>
      <w:rFonts w:cs="Times New Roman"/>
    </w:rPr>
  </w:style>
  <w:style w:type="character" w:customStyle="1" w:styleId="ListLabel2378">
    <w:name w:val="ListLabel 2378"/>
    <w:qFormat/>
    <w:rPr>
      <w:rFonts w:cs="Times New Roman"/>
    </w:rPr>
  </w:style>
  <w:style w:type="character" w:customStyle="1" w:styleId="ListLabel2379">
    <w:name w:val="ListLabel 2379"/>
    <w:qFormat/>
    <w:rPr>
      <w:rFonts w:cs="Times New Roman"/>
    </w:rPr>
  </w:style>
  <w:style w:type="character" w:customStyle="1" w:styleId="ListLabel2380">
    <w:name w:val="ListLabel 2380"/>
    <w:qFormat/>
    <w:rPr>
      <w:rFonts w:cs="Times New Roman"/>
    </w:rPr>
  </w:style>
  <w:style w:type="character" w:customStyle="1" w:styleId="ListLabel2381">
    <w:name w:val="ListLabel 2381"/>
    <w:qFormat/>
    <w:rPr>
      <w:rFonts w:cs="Times New Roman"/>
    </w:rPr>
  </w:style>
  <w:style w:type="character" w:customStyle="1" w:styleId="ListLabel2382">
    <w:name w:val="ListLabel 2382"/>
    <w:qFormat/>
    <w:rPr>
      <w:rFonts w:cs="Times New Roman"/>
    </w:rPr>
  </w:style>
  <w:style w:type="character" w:customStyle="1" w:styleId="ListLabel2383">
    <w:name w:val="ListLabel 2383"/>
    <w:qFormat/>
    <w:rPr>
      <w:rFonts w:cs="Times New Roman"/>
    </w:rPr>
  </w:style>
  <w:style w:type="character" w:customStyle="1" w:styleId="ListLabel2384">
    <w:name w:val="ListLabel 2384"/>
    <w:qFormat/>
    <w:rPr>
      <w:rFonts w:cs="Calibri"/>
    </w:rPr>
  </w:style>
  <w:style w:type="character" w:customStyle="1" w:styleId="ListLabel2385">
    <w:name w:val="ListLabel 2385"/>
    <w:qFormat/>
    <w:rPr>
      <w:rFonts w:cs="Courier New"/>
    </w:rPr>
  </w:style>
  <w:style w:type="character" w:customStyle="1" w:styleId="ListLabel2386">
    <w:name w:val="ListLabel 2386"/>
    <w:qFormat/>
    <w:rPr>
      <w:rFonts w:cs="Wingdings"/>
    </w:rPr>
  </w:style>
  <w:style w:type="character" w:customStyle="1" w:styleId="ListLabel2387">
    <w:name w:val="ListLabel 2387"/>
    <w:qFormat/>
    <w:rPr>
      <w:rFonts w:cs="Symbol"/>
    </w:rPr>
  </w:style>
  <w:style w:type="character" w:customStyle="1" w:styleId="ListLabel2388">
    <w:name w:val="ListLabel 2388"/>
    <w:qFormat/>
    <w:rPr>
      <w:rFonts w:cs="Courier New"/>
    </w:rPr>
  </w:style>
  <w:style w:type="character" w:customStyle="1" w:styleId="ListLabel2389">
    <w:name w:val="ListLabel 2389"/>
    <w:qFormat/>
    <w:rPr>
      <w:rFonts w:cs="Wingdings"/>
    </w:rPr>
  </w:style>
  <w:style w:type="character" w:customStyle="1" w:styleId="ListLabel2390">
    <w:name w:val="ListLabel 2390"/>
    <w:qFormat/>
    <w:rPr>
      <w:rFonts w:cs="Symbol"/>
    </w:rPr>
  </w:style>
  <w:style w:type="character" w:customStyle="1" w:styleId="ListLabel2391">
    <w:name w:val="ListLabel 2391"/>
    <w:qFormat/>
    <w:rPr>
      <w:rFonts w:cs="Courier New"/>
    </w:rPr>
  </w:style>
  <w:style w:type="character" w:customStyle="1" w:styleId="ListLabel2392">
    <w:name w:val="ListLabel 2392"/>
    <w:qFormat/>
    <w:rPr>
      <w:rFonts w:cs="Wingdings"/>
    </w:rPr>
  </w:style>
  <w:style w:type="character" w:customStyle="1" w:styleId="ListLabel2393">
    <w:name w:val="ListLabel 2393"/>
    <w:qFormat/>
    <w:rPr>
      <w:rFonts w:cs="Calibri"/>
    </w:rPr>
  </w:style>
  <w:style w:type="character" w:customStyle="1" w:styleId="ListLabel2394">
    <w:name w:val="ListLabel 2394"/>
    <w:qFormat/>
    <w:rPr>
      <w:rFonts w:cs="Courier New"/>
    </w:rPr>
  </w:style>
  <w:style w:type="character" w:customStyle="1" w:styleId="ListLabel2395">
    <w:name w:val="ListLabel 2395"/>
    <w:qFormat/>
    <w:rPr>
      <w:rFonts w:cs="Wingdings"/>
    </w:rPr>
  </w:style>
  <w:style w:type="character" w:customStyle="1" w:styleId="ListLabel2396">
    <w:name w:val="ListLabel 2396"/>
    <w:qFormat/>
    <w:rPr>
      <w:rFonts w:cs="Symbol"/>
    </w:rPr>
  </w:style>
  <w:style w:type="character" w:customStyle="1" w:styleId="ListLabel2397">
    <w:name w:val="ListLabel 2397"/>
    <w:qFormat/>
    <w:rPr>
      <w:rFonts w:cs="Courier New"/>
    </w:rPr>
  </w:style>
  <w:style w:type="character" w:customStyle="1" w:styleId="ListLabel2398">
    <w:name w:val="ListLabel 2398"/>
    <w:qFormat/>
    <w:rPr>
      <w:rFonts w:cs="Wingdings"/>
    </w:rPr>
  </w:style>
  <w:style w:type="character" w:customStyle="1" w:styleId="ListLabel2399">
    <w:name w:val="ListLabel 2399"/>
    <w:qFormat/>
    <w:rPr>
      <w:rFonts w:cs="Symbol"/>
    </w:rPr>
  </w:style>
  <w:style w:type="character" w:customStyle="1" w:styleId="ListLabel2400">
    <w:name w:val="ListLabel 2400"/>
    <w:qFormat/>
    <w:rPr>
      <w:rFonts w:cs="Courier New"/>
    </w:rPr>
  </w:style>
  <w:style w:type="character" w:customStyle="1" w:styleId="ListLabel2401">
    <w:name w:val="ListLabel 2401"/>
    <w:qFormat/>
    <w:rPr>
      <w:rFonts w:cs="Wingdings"/>
    </w:rPr>
  </w:style>
  <w:style w:type="character" w:customStyle="1" w:styleId="ListLabel2402">
    <w:name w:val="ListLabel 2402"/>
    <w:qFormat/>
    <w:rPr>
      <w:rFonts w:cs="Calibri"/>
    </w:rPr>
  </w:style>
  <w:style w:type="character" w:customStyle="1" w:styleId="ListLabel2403">
    <w:name w:val="ListLabel 2403"/>
    <w:qFormat/>
    <w:rPr>
      <w:rFonts w:cs="Courier New"/>
    </w:rPr>
  </w:style>
  <w:style w:type="character" w:customStyle="1" w:styleId="ListLabel2404">
    <w:name w:val="ListLabel 2404"/>
    <w:qFormat/>
    <w:rPr>
      <w:rFonts w:cs="Wingdings"/>
    </w:rPr>
  </w:style>
  <w:style w:type="character" w:customStyle="1" w:styleId="ListLabel2405">
    <w:name w:val="ListLabel 2405"/>
    <w:qFormat/>
    <w:rPr>
      <w:rFonts w:cs="Symbol"/>
    </w:rPr>
  </w:style>
  <w:style w:type="character" w:customStyle="1" w:styleId="ListLabel2406">
    <w:name w:val="ListLabel 2406"/>
    <w:qFormat/>
    <w:rPr>
      <w:rFonts w:cs="Courier New"/>
    </w:rPr>
  </w:style>
  <w:style w:type="character" w:customStyle="1" w:styleId="ListLabel2407">
    <w:name w:val="ListLabel 2407"/>
    <w:qFormat/>
    <w:rPr>
      <w:rFonts w:cs="Wingdings"/>
    </w:rPr>
  </w:style>
  <w:style w:type="character" w:customStyle="1" w:styleId="ListLabel2408">
    <w:name w:val="ListLabel 2408"/>
    <w:qFormat/>
    <w:rPr>
      <w:rFonts w:cs="Symbol"/>
    </w:rPr>
  </w:style>
  <w:style w:type="character" w:customStyle="1" w:styleId="ListLabel2409">
    <w:name w:val="ListLabel 2409"/>
    <w:qFormat/>
    <w:rPr>
      <w:rFonts w:cs="Courier New"/>
    </w:rPr>
  </w:style>
  <w:style w:type="character" w:customStyle="1" w:styleId="ListLabel2410">
    <w:name w:val="ListLabel 2410"/>
    <w:qFormat/>
    <w:rPr>
      <w:rFonts w:cs="Wingdings"/>
    </w:rPr>
  </w:style>
  <w:style w:type="character" w:customStyle="1" w:styleId="ListLabel2411">
    <w:name w:val="ListLabel 2411"/>
    <w:qFormat/>
    <w:rPr>
      <w:rFonts w:cs="Calibri"/>
    </w:rPr>
  </w:style>
  <w:style w:type="character" w:customStyle="1" w:styleId="ListLabel2412">
    <w:name w:val="ListLabel 2412"/>
    <w:qFormat/>
    <w:rPr>
      <w:rFonts w:cs="Courier New"/>
    </w:rPr>
  </w:style>
  <w:style w:type="character" w:customStyle="1" w:styleId="ListLabel2413">
    <w:name w:val="ListLabel 2413"/>
    <w:qFormat/>
    <w:rPr>
      <w:rFonts w:cs="Wingdings"/>
    </w:rPr>
  </w:style>
  <w:style w:type="character" w:customStyle="1" w:styleId="ListLabel2414">
    <w:name w:val="ListLabel 2414"/>
    <w:qFormat/>
    <w:rPr>
      <w:rFonts w:cs="Symbol"/>
    </w:rPr>
  </w:style>
  <w:style w:type="character" w:customStyle="1" w:styleId="ListLabel2415">
    <w:name w:val="ListLabel 2415"/>
    <w:qFormat/>
    <w:rPr>
      <w:rFonts w:cs="Courier New"/>
    </w:rPr>
  </w:style>
  <w:style w:type="character" w:customStyle="1" w:styleId="ListLabel2416">
    <w:name w:val="ListLabel 2416"/>
    <w:qFormat/>
    <w:rPr>
      <w:rFonts w:cs="Wingdings"/>
    </w:rPr>
  </w:style>
  <w:style w:type="character" w:customStyle="1" w:styleId="ListLabel2417">
    <w:name w:val="ListLabel 2417"/>
    <w:qFormat/>
    <w:rPr>
      <w:rFonts w:cs="Symbol"/>
    </w:rPr>
  </w:style>
  <w:style w:type="character" w:customStyle="1" w:styleId="ListLabel2418">
    <w:name w:val="ListLabel 2418"/>
    <w:qFormat/>
    <w:rPr>
      <w:rFonts w:cs="Courier New"/>
    </w:rPr>
  </w:style>
  <w:style w:type="character" w:customStyle="1" w:styleId="ListLabel2419">
    <w:name w:val="ListLabel 2419"/>
    <w:qFormat/>
    <w:rPr>
      <w:rFonts w:cs="Wingdings"/>
    </w:rPr>
  </w:style>
  <w:style w:type="character" w:customStyle="1" w:styleId="ListLabel2420">
    <w:name w:val="ListLabel 2420"/>
    <w:qFormat/>
    <w:rPr>
      <w:rFonts w:cs="Calibri"/>
    </w:rPr>
  </w:style>
  <w:style w:type="character" w:customStyle="1" w:styleId="ListLabel2421">
    <w:name w:val="ListLabel 2421"/>
    <w:qFormat/>
    <w:rPr>
      <w:rFonts w:cs="Courier New"/>
    </w:rPr>
  </w:style>
  <w:style w:type="character" w:customStyle="1" w:styleId="ListLabel2422">
    <w:name w:val="ListLabel 2422"/>
    <w:qFormat/>
    <w:rPr>
      <w:rFonts w:cs="Wingdings"/>
    </w:rPr>
  </w:style>
  <w:style w:type="character" w:customStyle="1" w:styleId="ListLabel2423">
    <w:name w:val="ListLabel 2423"/>
    <w:qFormat/>
    <w:rPr>
      <w:rFonts w:cs="Symbol"/>
    </w:rPr>
  </w:style>
  <w:style w:type="character" w:customStyle="1" w:styleId="ListLabel2424">
    <w:name w:val="ListLabel 2424"/>
    <w:qFormat/>
    <w:rPr>
      <w:rFonts w:cs="Courier New"/>
    </w:rPr>
  </w:style>
  <w:style w:type="character" w:customStyle="1" w:styleId="ListLabel2425">
    <w:name w:val="ListLabel 2425"/>
    <w:qFormat/>
    <w:rPr>
      <w:rFonts w:cs="Wingdings"/>
    </w:rPr>
  </w:style>
  <w:style w:type="character" w:customStyle="1" w:styleId="ListLabel2426">
    <w:name w:val="ListLabel 2426"/>
    <w:qFormat/>
    <w:rPr>
      <w:rFonts w:cs="Symbol"/>
    </w:rPr>
  </w:style>
  <w:style w:type="character" w:customStyle="1" w:styleId="ListLabel2427">
    <w:name w:val="ListLabel 2427"/>
    <w:qFormat/>
    <w:rPr>
      <w:rFonts w:cs="Courier New"/>
    </w:rPr>
  </w:style>
  <w:style w:type="character" w:customStyle="1" w:styleId="ListLabel2428">
    <w:name w:val="ListLabel 2428"/>
    <w:qFormat/>
    <w:rPr>
      <w:rFonts w:cs="Wingdings"/>
    </w:rPr>
  </w:style>
  <w:style w:type="character" w:customStyle="1" w:styleId="ListLabel2429">
    <w:name w:val="ListLabel 2429"/>
    <w:qFormat/>
    <w:rPr>
      <w:rFonts w:cs="Calibri"/>
    </w:rPr>
  </w:style>
  <w:style w:type="character" w:customStyle="1" w:styleId="ListLabel2430">
    <w:name w:val="ListLabel 2430"/>
    <w:qFormat/>
    <w:rPr>
      <w:rFonts w:cs="Courier New"/>
    </w:rPr>
  </w:style>
  <w:style w:type="character" w:customStyle="1" w:styleId="ListLabel2431">
    <w:name w:val="ListLabel 2431"/>
    <w:qFormat/>
    <w:rPr>
      <w:rFonts w:cs="Wingdings"/>
    </w:rPr>
  </w:style>
  <w:style w:type="character" w:customStyle="1" w:styleId="ListLabel2432">
    <w:name w:val="ListLabel 2432"/>
    <w:qFormat/>
    <w:rPr>
      <w:rFonts w:cs="Symbol"/>
    </w:rPr>
  </w:style>
  <w:style w:type="character" w:customStyle="1" w:styleId="ListLabel2433">
    <w:name w:val="ListLabel 2433"/>
    <w:qFormat/>
    <w:rPr>
      <w:rFonts w:cs="Courier New"/>
    </w:rPr>
  </w:style>
  <w:style w:type="character" w:customStyle="1" w:styleId="ListLabel2434">
    <w:name w:val="ListLabel 2434"/>
    <w:qFormat/>
    <w:rPr>
      <w:rFonts w:cs="Wingdings"/>
    </w:rPr>
  </w:style>
  <w:style w:type="character" w:customStyle="1" w:styleId="ListLabel2435">
    <w:name w:val="ListLabel 2435"/>
    <w:qFormat/>
    <w:rPr>
      <w:rFonts w:cs="Symbol"/>
    </w:rPr>
  </w:style>
  <w:style w:type="character" w:customStyle="1" w:styleId="ListLabel2436">
    <w:name w:val="ListLabel 2436"/>
    <w:qFormat/>
    <w:rPr>
      <w:rFonts w:cs="Courier New"/>
    </w:rPr>
  </w:style>
  <w:style w:type="character" w:customStyle="1" w:styleId="ListLabel2437">
    <w:name w:val="ListLabel 2437"/>
    <w:qFormat/>
    <w:rPr>
      <w:rFonts w:cs="Wingdings"/>
    </w:rPr>
  </w:style>
  <w:style w:type="character" w:customStyle="1" w:styleId="ListLabel2438">
    <w:name w:val="ListLabel 2438"/>
    <w:qFormat/>
    <w:rPr>
      <w:rFonts w:cs="Calibri"/>
    </w:rPr>
  </w:style>
  <w:style w:type="character" w:customStyle="1" w:styleId="ListLabel2439">
    <w:name w:val="ListLabel 2439"/>
    <w:qFormat/>
    <w:rPr>
      <w:rFonts w:cs="Courier New"/>
    </w:rPr>
  </w:style>
  <w:style w:type="character" w:customStyle="1" w:styleId="ListLabel2440">
    <w:name w:val="ListLabel 2440"/>
    <w:qFormat/>
    <w:rPr>
      <w:rFonts w:cs="Wingdings"/>
    </w:rPr>
  </w:style>
  <w:style w:type="character" w:customStyle="1" w:styleId="ListLabel2441">
    <w:name w:val="ListLabel 2441"/>
    <w:qFormat/>
    <w:rPr>
      <w:rFonts w:cs="Symbol"/>
    </w:rPr>
  </w:style>
  <w:style w:type="character" w:customStyle="1" w:styleId="ListLabel2442">
    <w:name w:val="ListLabel 2442"/>
    <w:qFormat/>
    <w:rPr>
      <w:rFonts w:cs="Courier New"/>
    </w:rPr>
  </w:style>
  <w:style w:type="character" w:customStyle="1" w:styleId="ListLabel2443">
    <w:name w:val="ListLabel 2443"/>
    <w:qFormat/>
    <w:rPr>
      <w:rFonts w:cs="Wingdings"/>
    </w:rPr>
  </w:style>
  <w:style w:type="character" w:customStyle="1" w:styleId="ListLabel2444">
    <w:name w:val="ListLabel 2444"/>
    <w:qFormat/>
    <w:rPr>
      <w:rFonts w:cs="Symbol"/>
    </w:rPr>
  </w:style>
  <w:style w:type="character" w:customStyle="1" w:styleId="ListLabel2445">
    <w:name w:val="ListLabel 2445"/>
    <w:qFormat/>
    <w:rPr>
      <w:rFonts w:cs="Courier New"/>
    </w:rPr>
  </w:style>
  <w:style w:type="character" w:customStyle="1" w:styleId="ListLabel2446">
    <w:name w:val="ListLabel 2446"/>
    <w:qFormat/>
    <w:rPr>
      <w:rFonts w:cs="Wingdings"/>
    </w:rPr>
  </w:style>
  <w:style w:type="character" w:customStyle="1" w:styleId="ListLabel2447">
    <w:name w:val="ListLabel 2447"/>
    <w:qFormat/>
    <w:rPr>
      <w:rFonts w:cs="Calibri"/>
    </w:rPr>
  </w:style>
  <w:style w:type="character" w:customStyle="1" w:styleId="ListLabel2448">
    <w:name w:val="ListLabel 2448"/>
    <w:qFormat/>
    <w:rPr>
      <w:rFonts w:cs="Courier New"/>
    </w:rPr>
  </w:style>
  <w:style w:type="character" w:customStyle="1" w:styleId="ListLabel2449">
    <w:name w:val="ListLabel 2449"/>
    <w:qFormat/>
    <w:rPr>
      <w:rFonts w:cs="Wingdings"/>
    </w:rPr>
  </w:style>
  <w:style w:type="character" w:customStyle="1" w:styleId="ListLabel2450">
    <w:name w:val="ListLabel 2450"/>
    <w:qFormat/>
    <w:rPr>
      <w:rFonts w:cs="Symbol"/>
    </w:rPr>
  </w:style>
  <w:style w:type="character" w:customStyle="1" w:styleId="ListLabel2451">
    <w:name w:val="ListLabel 2451"/>
    <w:qFormat/>
    <w:rPr>
      <w:rFonts w:cs="Courier New"/>
    </w:rPr>
  </w:style>
  <w:style w:type="character" w:customStyle="1" w:styleId="ListLabel2452">
    <w:name w:val="ListLabel 2452"/>
    <w:qFormat/>
    <w:rPr>
      <w:rFonts w:cs="Wingdings"/>
    </w:rPr>
  </w:style>
  <w:style w:type="character" w:customStyle="1" w:styleId="ListLabel2453">
    <w:name w:val="ListLabel 2453"/>
    <w:qFormat/>
    <w:rPr>
      <w:rFonts w:cs="Symbol"/>
    </w:rPr>
  </w:style>
  <w:style w:type="character" w:customStyle="1" w:styleId="ListLabel2454">
    <w:name w:val="ListLabel 2454"/>
    <w:qFormat/>
    <w:rPr>
      <w:rFonts w:cs="Courier New"/>
    </w:rPr>
  </w:style>
  <w:style w:type="character" w:customStyle="1" w:styleId="ListLabel2455">
    <w:name w:val="ListLabel 2455"/>
    <w:qFormat/>
    <w:rPr>
      <w:rFonts w:cs="Wingdings"/>
    </w:rPr>
  </w:style>
  <w:style w:type="character" w:customStyle="1" w:styleId="ListLabel2456">
    <w:name w:val="ListLabel 2456"/>
    <w:qFormat/>
    <w:rPr>
      <w:rFonts w:cs="Calibri"/>
    </w:rPr>
  </w:style>
  <w:style w:type="character" w:customStyle="1" w:styleId="ListLabel2457">
    <w:name w:val="ListLabel 2457"/>
    <w:qFormat/>
    <w:rPr>
      <w:rFonts w:cs="Courier New"/>
    </w:rPr>
  </w:style>
  <w:style w:type="character" w:customStyle="1" w:styleId="ListLabel2458">
    <w:name w:val="ListLabel 2458"/>
    <w:qFormat/>
    <w:rPr>
      <w:rFonts w:cs="Wingdings"/>
    </w:rPr>
  </w:style>
  <w:style w:type="character" w:customStyle="1" w:styleId="ListLabel2459">
    <w:name w:val="ListLabel 2459"/>
    <w:qFormat/>
    <w:rPr>
      <w:rFonts w:cs="Symbol"/>
    </w:rPr>
  </w:style>
  <w:style w:type="character" w:customStyle="1" w:styleId="ListLabel2460">
    <w:name w:val="ListLabel 2460"/>
    <w:qFormat/>
    <w:rPr>
      <w:rFonts w:cs="Courier New"/>
    </w:rPr>
  </w:style>
  <w:style w:type="character" w:customStyle="1" w:styleId="ListLabel2461">
    <w:name w:val="ListLabel 2461"/>
    <w:qFormat/>
    <w:rPr>
      <w:rFonts w:cs="Wingdings"/>
    </w:rPr>
  </w:style>
  <w:style w:type="character" w:customStyle="1" w:styleId="ListLabel2462">
    <w:name w:val="ListLabel 2462"/>
    <w:qFormat/>
    <w:rPr>
      <w:rFonts w:cs="Symbol"/>
    </w:rPr>
  </w:style>
  <w:style w:type="character" w:customStyle="1" w:styleId="ListLabel2463">
    <w:name w:val="ListLabel 2463"/>
    <w:qFormat/>
    <w:rPr>
      <w:rFonts w:cs="Courier New"/>
    </w:rPr>
  </w:style>
  <w:style w:type="character" w:customStyle="1" w:styleId="ListLabel2464">
    <w:name w:val="ListLabel 2464"/>
    <w:qFormat/>
    <w:rPr>
      <w:rFonts w:cs="Wingdings"/>
    </w:rPr>
  </w:style>
  <w:style w:type="character" w:customStyle="1" w:styleId="ListLabel2465">
    <w:name w:val="ListLabel 2465"/>
    <w:qFormat/>
    <w:rPr>
      <w:rFonts w:cs="Symbol"/>
    </w:rPr>
  </w:style>
  <w:style w:type="character" w:customStyle="1" w:styleId="ListLabel2466">
    <w:name w:val="ListLabel 2466"/>
    <w:qFormat/>
    <w:rPr>
      <w:rFonts w:cs="Courier New"/>
    </w:rPr>
  </w:style>
  <w:style w:type="character" w:customStyle="1" w:styleId="ListLabel2467">
    <w:name w:val="ListLabel 2467"/>
    <w:qFormat/>
    <w:rPr>
      <w:rFonts w:cs="Wingdings"/>
    </w:rPr>
  </w:style>
  <w:style w:type="character" w:customStyle="1" w:styleId="ListLabel2468">
    <w:name w:val="ListLabel 2468"/>
    <w:qFormat/>
    <w:rPr>
      <w:rFonts w:cs="Symbol"/>
    </w:rPr>
  </w:style>
  <w:style w:type="character" w:customStyle="1" w:styleId="ListLabel2469">
    <w:name w:val="ListLabel 2469"/>
    <w:qFormat/>
    <w:rPr>
      <w:rFonts w:cs="Courier New"/>
    </w:rPr>
  </w:style>
  <w:style w:type="character" w:customStyle="1" w:styleId="ListLabel2470">
    <w:name w:val="ListLabel 2470"/>
    <w:qFormat/>
    <w:rPr>
      <w:rFonts w:cs="Wingdings"/>
    </w:rPr>
  </w:style>
  <w:style w:type="character" w:customStyle="1" w:styleId="ListLabel2471">
    <w:name w:val="ListLabel 2471"/>
    <w:qFormat/>
    <w:rPr>
      <w:rFonts w:cs="Symbol"/>
    </w:rPr>
  </w:style>
  <w:style w:type="character" w:customStyle="1" w:styleId="ListLabel2472">
    <w:name w:val="ListLabel 2472"/>
    <w:qFormat/>
    <w:rPr>
      <w:rFonts w:cs="Courier New"/>
    </w:rPr>
  </w:style>
  <w:style w:type="character" w:customStyle="1" w:styleId="ListLabel2473">
    <w:name w:val="ListLabel 2473"/>
    <w:qFormat/>
    <w:rPr>
      <w:rFonts w:cs="Wingdings"/>
    </w:rPr>
  </w:style>
  <w:style w:type="character" w:customStyle="1" w:styleId="ListLabel2474">
    <w:name w:val="ListLabel 2474"/>
    <w:qFormat/>
    <w:rPr>
      <w:rFonts w:cs="Arial"/>
      <w:b/>
    </w:rPr>
  </w:style>
  <w:style w:type="character" w:customStyle="1" w:styleId="ListLabel2475">
    <w:name w:val="ListLabel 2475"/>
    <w:qFormat/>
    <w:rPr>
      <w:rFonts w:cs="Courier New"/>
    </w:rPr>
  </w:style>
  <w:style w:type="character" w:customStyle="1" w:styleId="ListLabel2476">
    <w:name w:val="ListLabel 2476"/>
    <w:qFormat/>
    <w:rPr>
      <w:rFonts w:cs="Wingdings"/>
    </w:rPr>
  </w:style>
  <w:style w:type="character" w:customStyle="1" w:styleId="ListLabel2477">
    <w:name w:val="ListLabel 2477"/>
    <w:qFormat/>
    <w:rPr>
      <w:rFonts w:cs="Symbol"/>
    </w:rPr>
  </w:style>
  <w:style w:type="character" w:customStyle="1" w:styleId="ListLabel2478">
    <w:name w:val="ListLabel 2478"/>
    <w:qFormat/>
    <w:rPr>
      <w:rFonts w:cs="Courier New"/>
    </w:rPr>
  </w:style>
  <w:style w:type="character" w:customStyle="1" w:styleId="ListLabel2479">
    <w:name w:val="ListLabel 2479"/>
    <w:qFormat/>
    <w:rPr>
      <w:rFonts w:cs="Wingdings"/>
    </w:rPr>
  </w:style>
  <w:style w:type="character" w:customStyle="1" w:styleId="ListLabel2480">
    <w:name w:val="ListLabel 2480"/>
    <w:qFormat/>
    <w:rPr>
      <w:rFonts w:cs="Symbol"/>
    </w:rPr>
  </w:style>
  <w:style w:type="character" w:customStyle="1" w:styleId="ListLabel2481">
    <w:name w:val="ListLabel 2481"/>
    <w:qFormat/>
    <w:rPr>
      <w:rFonts w:cs="Courier New"/>
    </w:rPr>
  </w:style>
  <w:style w:type="character" w:customStyle="1" w:styleId="ListLabel2482">
    <w:name w:val="ListLabel 2482"/>
    <w:qFormat/>
    <w:rPr>
      <w:rFonts w:cs="Wingdings"/>
    </w:rPr>
  </w:style>
  <w:style w:type="character" w:customStyle="1" w:styleId="ListLabel2483">
    <w:name w:val="ListLabel 2483"/>
    <w:qFormat/>
    <w:rPr>
      <w:rFonts w:cs="Calibri"/>
    </w:rPr>
  </w:style>
  <w:style w:type="character" w:customStyle="1" w:styleId="ListLabel2484">
    <w:name w:val="ListLabel 2484"/>
    <w:qFormat/>
    <w:rPr>
      <w:rFonts w:cs="Courier New"/>
    </w:rPr>
  </w:style>
  <w:style w:type="character" w:customStyle="1" w:styleId="ListLabel2485">
    <w:name w:val="ListLabel 2485"/>
    <w:qFormat/>
    <w:rPr>
      <w:rFonts w:cs="Wingdings"/>
    </w:rPr>
  </w:style>
  <w:style w:type="character" w:customStyle="1" w:styleId="ListLabel2486">
    <w:name w:val="ListLabel 2486"/>
    <w:qFormat/>
    <w:rPr>
      <w:rFonts w:cs="Symbol"/>
    </w:rPr>
  </w:style>
  <w:style w:type="character" w:customStyle="1" w:styleId="ListLabel2487">
    <w:name w:val="ListLabel 2487"/>
    <w:qFormat/>
    <w:rPr>
      <w:rFonts w:cs="Courier New"/>
    </w:rPr>
  </w:style>
  <w:style w:type="character" w:customStyle="1" w:styleId="ListLabel2488">
    <w:name w:val="ListLabel 2488"/>
    <w:qFormat/>
    <w:rPr>
      <w:rFonts w:cs="Wingdings"/>
    </w:rPr>
  </w:style>
  <w:style w:type="character" w:customStyle="1" w:styleId="ListLabel2489">
    <w:name w:val="ListLabel 2489"/>
    <w:qFormat/>
    <w:rPr>
      <w:rFonts w:cs="Symbol"/>
    </w:rPr>
  </w:style>
  <w:style w:type="character" w:customStyle="1" w:styleId="ListLabel2490">
    <w:name w:val="ListLabel 2490"/>
    <w:qFormat/>
    <w:rPr>
      <w:rFonts w:cs="Courier New"/>
    </w:rPr>
  </w:style>
  <w:style w:type="character" w:customStyle="1" w:styleId="ListLabel2491">
    <w:name w:val="ListLabel 2491"/>
    <w:qFormat/>
    <w:rPr>
      <w:rFonts w:cs="Wingdings"/>
    </w:rPr>
  </w:style>
  <w:style w:type="character" w:customStyle="1" w:styleId="ListLabel2492">
    <w:name w:val="ListLabel 2492"/>
    <w:qFormat/>
    <w:rPr>
      <w:rFonts w:cs="Calibri"/>
    </w:rPr>
  </w:style>
  <w:style w:type="character" w:customStyle="1" w:styleId="ListLabel2493">
    <w:name w:val="ListLabel 2493"/>
    <w:qFormat/>
    <w:rPr>
      <w:rFonts w:cs="Courier New"/>
    </w:rPr>
  </w:style>
  <w:style w:type="character" w:customStyle="1" w:styleId="ListLabel2494">
    <w:name w:val="ListLabel 2494"/>
    <w:qFormat/>
    <w:rPr>
      <w:rFonts w:cs="Wingdings"/>
    </w:rPr>
  </w:style>
  <w:style w:type="character" w:customStyle="1" w:styleId="ListLabel2495">
    <w:name w:val="ListLabel 2495"/>
    <w:qFormat/>
    <w:rPr>
      <w:rFonts w:cs="Symbol"/>
    </w:rPr>
  </w:style>
  <w:style w:type="character" w:customStyle="1" w:styleId="ListLabel2496">
    <w:name w:val="ListLabel 2496"/>
    <w:qFormat/>
    <w:rPr>
      <w:rFonts w:cs="Courier New"/>
    </w:rPr>
  </w:style>
  <w:style w:type="character" w:customStyle="1" w:styleId="ListLabel2497">
    <w:name w:val="ListLabel 2497"/>
    <w:qFormat/>
    <w:rPr>
      <w:rFonts w:cs="Wingdings"/>
    </w:rPr>
  </w:style>
  <w:style w:type="character" w:customStyle="1" w:styleId="ListLabel2498">
    <w:name w:val="ListLabel 2498"/>
    <w:qFormat/>
    <w:rPr>
      <w:rFonts w:cs="Symbol"/>
    </w:rPr>
  </w:style>
  <w:style w:type="character" w:customStyle="1" w:styleId="ListLabel2499">
    <w:name w:val="ListLabel 2499"/>
    <w:qFormat/>
    <w:rPr>
      <w:rFonts w:cs="Courier New"/>
    </w:rPr>
  </w:style>
  <w:style w:type="character" w:customStyle="1" w:styleId="ListLabel2500">
    <w:name w:val="ListLabel 2500"/>
    <w:qFormat/>
    <w:rPr>
      <w:rFonts w:cs="Wingdings"/>
    </w:rPr>
  </w:style>
  <w:style w:type="character" w:customStyle="1" w:styleId="ListLabel2501">
    <w:name w:val="ListLabel 2501"/>
    <w:qFormat/>
    <w:rPr>
      <w:rFonts w:cs="Symbol"/>
    </w:rPr>
  </w:style>
  <w:style w:type="character" w:customStyle="1" w:styleId="ListLabel2502">
    <w:name w:val="ListLabel 2502"/>
    <w:qFormat/>
    <w:rPr>
      <w:rFonts w:cs="Courier New"/>
    </w:rPr>
  </w:style>
  <w:style w:type="character" w:customStyle="1" w:styleId="ListLabel2503">
    <w:name w:val="ListLabel 2503"/>
    <w:qFormat/>
    <w:rPr>
      <w:rFonts w:cs="Wingdings"/>
    </w:rPr>
  </w:style>
  <w:style w:type="character" w:customStyle="1" w:styleId="ListLabel2504">
    <w:name w:val="ListLabel 2504"/>
    <w:qFormat/>
    <w:rPr>
      <w:rFonts w:cs="Symbol"/>
    </w:rPr>
  </w:style>
  <w:style w:type="character" w:customStyle="1" w:styleId="ListLabel2505">
    <w:name w:val="ListLabel 2505"/>
    <w:qFormat/>
    <w:rPr>
      <w:rFonts w:cs="Courier New"/>
    </w:rPr>
  </w:style>
  <w:style w:type="character" w:customStyle="1" w:styleId="ListLabel2506">
    <w:name w:val="ListLabel 2506"/>
    <w:qFormat/>
    <w:rPr>
      <w:rFonts w:cs="Wingdings"/>
    </w:rPr>
  </w:style>
  <w:style w:type="character" w:customStyle="1" w:styleId="ListLabel2507">
    <w:name w:val="ListLabel 2507"/>
    <w:qFormat/>
    <w:rPr>
      <w:rFonts w:cs="Symbol"/>
    </w:rPr>
  </w:style>
  <w:style w:type="character" w:customStyle="1" w:styleId="ListLabel2508">
    <w:name w:val="ListLabel 2508"/>
    <w:qFormat/>
    <w:rPr>
      <w:rFonts w:cs="Courier New"/>
    </w:rPr>
  </w:style>
  <w:style w:type="character" w:customStyle="1" w:styleId="ListLabel2509">
    <w:name w:val="ListLabel 2509"/>
    <w:qFormat/>
    <w:rPr>
      <w:rFonts w:cs="Wingdings"/>
    </w:rPr>
  </w:style>
  <w:style w:type="character" w:customStyle="1" w:styleId="ListLabel2510">
    <w:name w:val="ListLabel 2510"/>
    <w:qFormat/>
    <w:rPr>
      <w:rFonts w:cs="Symbol"/>
    </w:rPr>
  </w:style>
  <w:style w:type="character" w:customStyle="1" w:styleId="ListLabel2511">
    <w:name w:val="ListLabel 2511"/>
    <w:qFormat/>
    <w:rPr>
      <w:rFonts w:cs="Courier New"/>
    </w:rPr>
  </w:style>
  <w:style w:type="character" w:customStyle="1" w:styleId="ListLabel2512">
    <w:name w:val="ListLabel 2512"/>
    <w:qFormat/>
    <w:rPr>
      <w:rFonts w:cs="Wingdings"/>
    </w:rPr>
  </w:style>
  <w:style w:type="character" w:customStyle="1" w:styleId="ListLabel2513">
    <w:name w:val="ListLabel 2513"/>
    <w:qFormat/>
    <w:rPr>
      <w:rFonts w:cs="Symbol"/>
    </w:rPr>
  </w:style>
  <w:style w:type="character" w:customStyle="1" w:styleId="ListLabel2514">
    <w:name w:val="ListLabel 2514"/>
    <w:qFormat/>
    <w:rPr>
      <w:rFonts w:cs="Courier New"/>
    </w:rPr>
  </w:style>
  <w:style w:type="character" w:customStyle="1" w:styleId="ListLabel2515">
    <w:name w:val="ListLabel 2515"/>
    <w:qFormat/>
    <w:rPr>
      <w:rFonts w:cs="Wingdings"/>
    </w:rPr>
  </w:style>
  <w:style w:type="character" w:customStyle="1" w:styleId="ListLabel2516">
    <w:name w:val="ListLabel 2516"/>
    <w:qFormat/>
    <w:rPr>
      <w:rFonts w:cs="Symbol"/>
    </w:rPr>
  </w:style>
  <w:style w:type="character" w:customStyle="1" w:styleId="ListLabel2517">
    <w:name w:val="ListLabel 2517"/>
    <w:qFormat/>
    <w:rPr>
      <w:rFonts w:cs="Courier New"/>
    </w:rPr>
  </w:style>
  <w:style w:type="character" w:customStyle="1" w:styleId="ListLabel2518">
    <w:name w:val="ListLabel 2518"/>
    <w:qFormat/>
    <w:rPr>
      <w:rFonts w:cs="Wingdings"/>
    </w:rPr>
  </w:style>
  <w:style w:type="character" w:customStyle="1" w:styleId="ListLabel2519">
    <w:name w:val="ListLabel 2519"/>
    <w:qFormat/>
    <w:rPr>
      <w:rFonts w:cs="Symbol"/>
      <w:b/>
    </w:rPr>
  </w:style>
  <w:style w:type="character" w:customStyle="1" w:styleId="ListLabel2520">
    <w:name w:val="ListLabel 2520"/>
    <w:qFormat/>
    <w:rPr>
      <w:rFonts w:cs="Courier New"/>
    </w:rPr>
  </w:style>
  <w:style w:type="character" w:customStyle="1" w:styleId="ListLabel2521">
    <w:name w:val="ListLabel 2521"/>
    <w:qFormat/>
    <w:rPr>
      <w:rFonts w:cs="Wingdings"/>
    </w:rPr>
  </w:style>
  <w:style w:type="character" w:customStyle="1" w:styleId="ListLabel2522">
    <w:name w:val="ListLabel 2522"/>
    <w:qFormat/>
    <w:rPr>
      <w:rFonts w:cs="Symbol"/>
    </w:rPr>
  </w:style>
  <w:style w:type="character" w:customStyle="1" w:styleId="ListLabel2523">
    <w:name w:val="ListLabel 2523"/>
    <w:qFormat/>
    <w:rPr>
      <w:rFonts w:cs="Courier New"/>
    </w:rPr>
  </w:style>
  <w:style w:type="character" w:customStyle="1" w:styleId="ListLabel2524">
    <w:name w:val="ListLabel 2524"/>
    <w:qFormat/>
    <w:rPr>
      <w:rFonts w:cs="Wingdings"/>
    </w:rPr>
  </w:style>
  <w:style w:type="character" w:customStyle="1" w:styleId="ListLabel2525">
    <w:name w:val="ListLabel 2525"/>
    <w:qFormat/>
    <w:rPr>
      <w:rFonts w:cs="Symbol"/>
    </w:rPr>
  </w:style>
  <w:style w:type="character" w:customStyle="1" w:styleId="ListLabel2526">
    <w:name w:val="ListLabel 2526"/>
    <w:qFormat/>
    <w:rPr>
      <w:rFonts w:cs="Courier New"/>
    </w:rPr>
  </w:style>
  <w:style w:type="character" w:customStyle="1" w:styleId="ListLabel2527">
    <w:name w:val="ListLabel 2527"/>
    <w:qFormat/>
    <w:rPr>
      <w:rFonts w:cs="Wingdings"/>
    </w:rPr>
  </w:style>
  <w:style w:type="character" w:customStyle="1" w:styleId="ListLabel2528">
    <w:name w:val="ListLabel 2528"/>
    <w:qFormat/>
    <w:rPr>
      <w:rFonts w:cs="Symbol"/>
    </w:rPr>
  </w:style>
  <w:style w:type="character" w:customStyle="1" w:styleId="ListLabel2529">
    <w:name w:val="ListLabel 2529"/>
    <w:qFormat/>
    <w:rPr>
      <w:rFonts w:cs="Courier New"/>
    </w:rPr>
  </w:style>
  <w:style w:type="character" w:customStyle="1" w:styleId="ListLabel2530">
    <w:name w:val="ListLabel 2530"/>
    <w:qFormat/>
    <w:rPr>
      <w:rFonts w:cs="Wingdings"/>
    </w:rPr>
  </w:style>
  <w:style w:type="character" w:customStyle="1" w:styleId="ListLabel2531">
    <w:name w:val="ListLabel 2531"/>
    <w:qFormat/>
    <w:rPr>
      <w:rFonts w:cs="Symbol"/>
    </w:rPr>
  </w:style>
  <w:style w:type="character" w:customStyle="1" w:styleId="ListLabel2532">
    <w:name w:val="ListLabel 2532"/>
    <w:qFormat/>
    <w:rPr>
      <w:rFonts w:cs="Courier New"/>
    </w:rPr>
  </w:style>
  <w:style w:type="character" w:customStyle="1" w:styleId="ListLabel2533">
    <w:name w:val="ListLabel 2533"/>
    <w:qFormat/>
    <w:rPr>
      <w:rFonts w:cs="Wingdings"/>
    </w:rPr>
  </w:style>
  <w:style w:type="character" w:customStyle="1" w:styleId="ListLabel2534">
    <w:name w:val="ListLabel 2534"/>
    <w:qFormat/>
    <w:rPr>
      <w:rFonts w:cs="Symbol"/>
    </w:rPr>
  </w:style>
  <w:style w:type="character" w:customStyle="1" w:styleId="ListLabel2535">
    <w:name w:val="ListLabel 2535"/>
    <w:qFormat/>
    <w:rPr>
      <w:rFonts w:cs="Courier New"/>
    </w:rPr>
  </w:style>
  <w:style w:type="character" w:customStyle="1" w:styleId="ListLabel2536">
    <w:name w:val="ListLabel 2536"/>
    <w:qFormat/>
    <w:rPr>
      <w:rFonts w:cs="Wingdings"/>
    </w:rPr>
  </w:style>
  <w:style w:type="character" w:customStyle="1" w:styleId="ListLabel2537">
    <w:name w:val="ListLabel 2537"/>
    <w:qFormat/>
    <w:rPr>
      <w:rFonts w:cs="Symbol"/>
      <w:b/>
    </w:rPr>
  </w:style>
  <w:style w:type="character" w:customStyle="1" w:styleId="ListLabel2538">
    <w:name w:val="ListLabel 2538"/>
    <w:qFormat/>
    <w:rPr>
      <w:rFonts w:cs="Courier New"/>
    </w:rPr>
  </w:style>
  <w:style w:type="character" w:customStyle="1" w:styleId="ListLabel2539">
    <w:name w:val="ListLabel 2539"/>
    <w:qFormat/>
    <w:rPr>
      <w:rFonts w:cs="Wingdings"/>
    </w:rPr>
  </w:style>
  <w:style w:type="character" w:customStyle="1" w:styleId="ListLabel2540">
    <w:name w:val="ListLabel 2540"/>
    <w:qFormat/>
    <w:rPr>
      <w:rFonts w:cs="Symbol"/>
    </w:rPr>
  </w:style>
  <w:style w:type="character" w:customStyle="1" w:styleId="ListLabel2541">
    <w:name w:val="ListLabel 2541"/>
    <w:qFormat/>
    <w:rPr>
      <w:rFonts w:cs="Courier New"/>
    </w:rPr>
  </w:style>
  <w:style w:type="character" w:customStyle="1" w:styleId="ListLabel2542">
    <w:name w:val="ListLabel 2542"/>
    <w:qFormat/>
    <w:rPr>
      <w:rFonts w:cs="Wingdings"/>
    </w:rPr>
  </w:style>
  <w:style w:type="character" w:customStyle="1" w:styleId="ListLabel2543">
    <w:name w:val="ListLabel 2543"/>
    <w:qFormat/>
    <w:rPr>
      <w:rFonts w:cs="Symbol"/>
    </w:rPr>
  </w:style>
  <w:style w:type="character" w:customStyle="1" w:styleId="ListLabel2544">
    <w:name w:val="ListLabel 2544"/>
    <w:qFormat/>
    <w:rPr>
      <w:rFonts w:cs="Courier New"/>
    </w:rPr>
  </w:style>
  <w:style w:type="character" w:customStyle="1" w:styleId="ListLabel2545">
    <w:name w:val="ListLabel 2545"/>
    <w:qFormat/>
    <w:rPr>
      <w:rFonts w:cs="Wingdings"/>
    </w:rPr>
  </w:style>
  <w:style w:type="character" w:customStyle="1" w:styleId="ListLabel2546">
    <w:name w:val="ListLabel 2546"/>
    <w:qFormat/>
    <w:rPr>
      <w:rFonts w:cs="Times New Roman"/>
      <w:b w:val="0"/>
    </w:rPr>
  </w:style>
  <w:style w:type="character" w:customStyle="1" w:styleId="ListLabel2547">
    <w:name w:val="ListLabel 2547"/>
    <w:qFormat/>
    <w:rPr>
      <w:rFonts w:cs="Times New Roman"/>
    </w:rPr>
  </w:style>
  <w:style w:type="character" w:customStyle="1" w:styleId="ListLabel2548">
    <w:name w:val="ListLabel 2548"/>
    <w:qFormat/>
    <w:rPr>
      <w:rFonts w:cs="Times New Roman"/>
    </w:rPr>
  </w:style>
  <w:style w:type="character" w:customStyle="1" w:styleId="ListLabel2549">
    <w:name w:val="ListLabel 2549"/>
    <w:qFormat/>
    <w:rPr>
      <w:rFonts w:cs="Times New Roman"/>
    </w:rPr>
  </w:style>
  <w:style w:type="character" w:customStyle="1" w:styleId="ListLabel2550">
    <w:name w:val="ListLabel 2550"/>
    <w:qFormat/>
    <w:rPr>
      <w:rFonts w:cs="Times New Roman"/>
    </w:rPr>
  </w:style>
  <w:style w:type="character" w:customStyle="1" w:styleId="ListLabel2551">
    <w:name w:val="ListLabel 2551"/>
    <w:qFormat/>
    <w:rPr>
      <w:rFonts w:cs="Times New Roman"/>
    </w:rPr>
  </w:style>
  <w:style w:type="character" w:customStyle="1" w:styleId="ListLabel2552">
    <w:name w:val="ListLabel 2552"/>
    <w:qFormat/>
    <w:rPr>
      <w:rFonts w:cs="Times New Roman"/>
    </w:rPr>
  </w:style>
  <w:style w:type="character" w:customStyle="1" w:styleId="ListLabel2553">
    <w:name w:val="ListLabel 2553"/>
    <w:qFormat/>
    <w:rPr>
      <w:rFonts w:cs="Times New Roman"/>
    </w:rPr>
  </w:style>
  <w:style w:type="character" w:customStyle="1" w:styleId="ListLabel2554">
    <w:name w:val="ListLabel 2554"/>
    <w:qFormat/>
    <w:rPr>
      <w:rFonts w:cs="Times New Roman"/>
    </w:rPr>
  </w:style>
  <w:style w:type="character" w:customStyle="1" w:styleId="ListLabel2555">
    <w:name w:val="ListLabel 2555"/>
    <w:qFormat/>
    <w:rPr>
      <w:rFonts w:cs="Calibri"/>
    </w:rPr>
  </w:style>
  <w:style w:type="character" w:customStyle="1" w:styleId="ListLabel2556">
    <w:name w:val="ListLabel 2556"/>
    <w:qFormat/>
    <w:rPr>
      <w:rFonts w:cs="Courier New"/>
    </w:rPr>
  </w:style>
  <w:style w:type="character" w:customStyle="1" w:styleId="ListLabel2557">
    <w:name w:val="ListLabel 2557"/>
    <w:qFormat/>
    <w:rPr>
      <w:rFonts w:cs="Wingdings"/>
    </w:rPr>
  </w:style>
  <w:style w:type="character" w:customStyle="1" w:styleId="ListLabel2558">
    <w:name w:val="ListLabel 2558"/>
    <w:qFormat/>
    <w:rPr>
      <w:rFonts w:cs="Symbol"/>
    </w:rPr>
  </w:style>
  <w:style w:type="character" w:customStyle="1" w:styleId="ListLabel2559">
    <w:name w:val="ListLabel 2559"/>
    <w:qFormat/>
    <w:rPr>
      <w:rFonts w:cs="Courier New"/>
    </w:rPr>
  </w:style>
  <w:style w:type="character" w:customStyle="1" w:styleId="ListLabel2560">
    <w:name w:val="ListLabel 2560"/>
    <w:qFormat/>
    <w:rPr>
      <w:rFonts w:cs="Wingdings"/>
    </w:rPr>
  </w:style>
  <w:style w:type="character" w:customStyle="1" w:styleId="ListLabel2561">
    <w:name w:val="ListLabel 2561"/>
    <w:qFormat/>
    <w:rPr>
      <w:rFonts w:cs="Symbol"/>
    </w:rPr>
  </w:style>
  <w:style w:type="character" w:customStyle="1" w:styleId="ListLabel2562">
    <w:name w:val="ListLabel 2562"/>
    <w:qFormat/>
    <w:rPr>
      <w:rFonts w:cs="Courier New"/>
    </w:rPr>
  </w:style>
  <w:style w:type="character" w:customStyle="1" w:styleId="ListLabel2563">
    <w:name w:val="ListLabel 2563"/>
    <w:qFormat/>
    <w:rPr>
      <w:rFonts w:cs="Wingdings"/>
    </w:rPr>
  </w:style>
  <w:style w:type="character" w:customStyle="1" w:styleId="ListLabel2564">
    <w:name w:val="ListLabel 2564"/>
    <w:qFormat/>
    <w:rPr>
      <w:rFonts w:cs="Calibri"/>
    </w:rPr>
  </w:style>
  <w:style w:type="character" w:customStyle="1" w:styleId="ListLabel2565">
    <w:name w:val="ListLabel 2565"/>
    <w:qFormat/>
    <w:rPr>
      <w:rFonts w:cs="Courier New"/>
    </w:rPr>
  </w:style>
  <w:style w:type="character" w:customStyle="1" w:styleId="ListLabel2566">
    <w:name w:val="ListLabel 2566"/>
    <w:qFormat/>
    <w:rPr>
      <w:rFonts w:cs="Wingdings"/>
    </w:rPr>
  </w:style>
  <w:style w:type="character" w:customStyle="1" w:styleId="ListLabel2567">
    <w:name w:val="ListLabel 2567"/>
    <w:qFormat/>
    <w:rPr>
      <w:rFonts w:cs="Symbol"/>
    </w:rPr>
  </w:style>
  <w:style w:type="character" w:customStyle="1" w:styleId="ListLabel2568">
    <w:name w:val="ListLabel 2568"/>
    <w:qFormat/>
    <w:rPr>
      <w:rFonts w:cs="Courier New"/>
    </w:rPr>
  </w:style>
  <w:style w:type="character" w:customStyle="1" w:styleId="ListLabel2569">
    <w:name w:val="ListLabel 2569"/>
    <w:qFormat/>
    <w:rPr>
      <w:rFonts w:cs="Wingdings"/>
    </w:rPr>
  </w:style>
  <w:style w:type="character" w:customStyle="1" w:styleId="ListLabel2570">
    <w:name w:val="ListLabel 2570"/>
    <w:qFormat/>
    <w:rPr>
      <w:rFonts w:cs="Symbol"/>
    </w:rPr>
  </w:style>
  <w:style w:type="character" w:customStyle="1" w:styleId="ListLabel2571">
    <w:name w:val="ListLabel 2571"/>
    <w:qFormat/>
    <w:rPr>
      <w:rFonts w:cs="Courier New"/>
    </w:rPr>
  </w:style>
  <w:style w:type="character" w:customStyle="1" w:styleId="ListLabel2572">
    <w:name w:val="ListLabel 2572"/>
    <w:qFormat/>
    <w:rPr>
      <w:rFonts w:cs="Wingdings"/>
    </w:rPr>
  </w:style>
  <w:style w:type="character" w:customStyle="1" w:styleId="ListLabel2573">
    <w:name w:val="ListLabel 2573"/>
    <w:qFormat/>
    <w:rPr>
      <w:rFonts w:cs="Times New Roman"/>
      <w:sz w:val="20"/>
    </w:rPr>
  </w:style>
  <w:style w:type="character" w:customStyle="1" w:styleId="ListLabel2574">
    <w:name w:val="ListLabel 2574"/>
    <w:qFormat/>
    <w:rPr>
      <w:rFonts w:cs="Times New Roman"/>
    </w:rPr>
  </w:style>
  <w:style w:type="character" w:customStyle="1" w:styleId="ListLabel2575">
    <w:name w:val="ListLabel 2575"/>
    <w:qFormat/>
    <w:rPr>
      <w:rFonts w:cs="Times New Roman"/>
    </w:rPr>
  </w:style>
  <w:style w:type="character" w:customStyle="1" w:styleId="ListLabel2576">
    <w:name w:val="ListLabel 2576"/>
    <w:qFormat/>
    <w:rPr>
      <w:rFonts w:cs="Times New Roman"/>
    </w:rPr>
  </w:style>
  <w:style w:type="character" w:customStyle="1" w:styleId="ListLabel2577">
    <w:name w:val="ListLabel 2577"/>
    <w:qFormat/>
    <w:rPr>
      <w:rFonts w:cs="Times New Roman"/>
    </w:rPr>
  </w:style>
  <w:style w:type="character" w:customStyle="1" w:styleId="ListLabel2578">
    <w:name w:val="ListLabel 2578"/>
    <w:qFormat/>
    <w:rPr>
      <w:rFonts w:cs="Times New Roman"/>
    </w:rPr>
  </w:style>
  <w:style w:type="character" w:customStyle="1" w:styleId="ListLabel2579">
    <w:name w:val="ListLabel 2579"/>
    <w:qFormat/>
    <w:rPr>
      <w:rFonts w:cs="Times New Roman"/>
    </w:rPr>
  </w:style>
  <w:style w:type="character" w:customStyle="1" w:styleId="ListLabel2580">
    <w:name w:val="ListLabel 2580"/>
    <w:qFormat/>
    <w:rPr>
      <w:rFonts w:cs="Times New Roman"/>
    </w:rPr>
  </w:style>
  <w:style w:type="character" w:customStyle="1" w:styleId="ListLabel2581">
    <w:name w:val="ListLabel 2581"/>
    <w:qFormat/>
    <w:rPr>
      <w:rFonts w:cs="Times New Roman"/>
    </w:rPr>
  </w:style>
  <w:style w:type="character" w:customStyle="1" w:styleId="ListLabel2582">
    <w:name w:val="ListLabel 2582"/>
    <w:qFormat/>
    <w:rPr>
      <w:rFonts w:cs="Symbol"/>
      <w:b/>
      <w:sz w:val="22"/>
    </w:rPr>
  </w:style>
  <w:style w:type="character" w:customStyle="1" w:styleId="ListLabel2583">
    <w:name w:val="ListLabel 2583"/>
    <w:qFormat/>
    <w:rPr>
      <w:rFonts w:cs="Courier New"/>
    </w:rPr>
  </w:style>
  <w:style w:type="character" w:customStyle="1" w:styleId="ListLabel2584">
    <w:name w:val="ListLabel 2584"/>
    <w:qFormat/>
    <w:rPr>
      <w:rFonts w:cs="Wingdings"/>
    </w:rPr>
  </w:style>
  <w:style w:type="character" w:customStyle="1" w:styleId="ListLabel2585">
    <w:name w:val="ListLabel 2585"/>
    <w:qFormat/>
    <w:rPr>
      <w:rFonts w:cs="Symbol"/>
    </w:rPr>
  </w:style>
  <w:style w:type="character" w:customStyle="1" w:styleId="ListLabel2586">
    <w:name w:val="ListLabel 2586"/>
    <w:qFormat/>
    <w:rPr>
      <w:rFonts w:cs="Courier New"/>
    </w:rPr>
  </w:style>
  <w:style w:type="character" w:customStyle="1" w:styleId="ListLabel2587">
    <w:name w:val="ListLabel 2587"/>
    <w:qFormat/>
    <w:rPr>
      <w:rFonts w:cs="Wingdings"/>
    </w:rPr>
  </w:style>
  <w:style w:type="character" w:customStyle="1" w:styleId="ListLabel2588">
    <w:name w:val="ListLabel 2588"/>
    <w:qFormat/>
    <w:rPr>
      <w:rFonts w:cs="Symbol"/>
    </w:rPr>
  </w:style>
  <w:style w:type="character" w:customStyle="1" w:styleId="ListLabel2589">
    <w:name w:val="ListLabel 2589"/>
    <w:qFormat/>
    <w:rPr>
      <w:rFonts w:cs="Courier New"/>
    </w:rPr>
  </w:style>
  <w:style w:type="character" w:customStyle="1" w:styleId="ListLabel2590">
    <w:name w:val="ListLabel 2590"/>
    <w:qFormat/>
    <w:rPr>
      <w:rFonts w:cs="Wingdings"/>
    </w:rPr>
  </w:style>
  <w:style w:type="character" w:customStyle="1" w:styleId="ListLabel2591">
    <w:name w:val="ListLabel 2591"/>
    <w:qFormat/>
    <w:rPr>
      <w:rFonts w:cs="Times New Roman"/>
      <w:sz w:val="20"/>
    </w:rPr>
  </w:style>
  <w:style w:type="character" w:customStyle="1" w:styleId="ListLabel2592">
    <w:name w:val="ListLabel 2592"/>
    <w:qFormat/>
    <w:rPr>
      <w:rFonts w:cs="Times New Roman"/>
    </w:rPr>
  </w:style>
  <w:style w:type="character" w:customStyle="1" w:styleId="ListLabel2593">
    <w:name w:val="ListLabel 2593"/>
    <w:qFormat/>
    <w:rPr>
      <w:rFonts w:cs="Times New Roman"/>
    </w:rPr>
  </w:style>
  <w:style w:type="character" w:customStyle="1" w:styleId="ListLabel2594">
    <w:name w:val="ListLabel 2594"/>
    <w:qFormat/>
    <w:rPr>
      <w:rFonts w:cs="Times New Roman"/>
    </w:rPr>
  </w:style>
  <w:style w:type="character" w:customStyle="1" w:styleId="ListLabel2595">
    <w:name w:val="ListLabel 2595"/>
    <w:qFormat/>
    <w:rPr>
      <w:rFonts w:cs="Times New Roman"/>
    </w:rPr>
  </w:style>
  <w:style w:type="character" w:customStyle="1" w:styleId="ListLabel2596">
    <w:name w:val="ListLabel 2596"/>
    <w:qFormat/>
    <w:rPr>
      <w:rFonts w:cs="Times New Roman"/>
    </w:rPr>
  </w:style>
  <w:style w:type="character" w:customStyle="1" w:styleId="ListLabel2597">
    <w:name w:val="ListLabel 2597"/>
    <w:qFormat/>
    <w:rPr>
      <w:rFonts w:cs="Times New Roman"/>
    </w:rPr>
  </w:style>
  <w:style w:type="character" w:customStyle="1" w:styleId="ListLabel2598">
    <w:name w:val="ListLabel 2598"/>
    <w:qFormat/>
    <w:rPr>
      <w:rFonts w:cs="Times New Roman"/>
    </w:rPr>
  </w:style>
  <w:style w:type="character" w:customStyle="1" w:styleId="ListLabel2599">
    <w:name w:val="ListLabel 2599"/>
    <w:qFormat/>
    <w:rPr>
      <w:rFonts w:cs="Times New Roman"/>
    </w:rPr>
  </w:style>
  <w:style w:type="character" w:customStyle="1" w:styleId="ListLabel2600">
    <w:name w:val="ListLabel 2600"/>
    <w:qFormat/>
    <w:rPr>
      <w:rFonts w:cs="Symbol"/>
    </w:rPr>
  </w:style>
  <w:style w:type="character" w:customStyle="1" w:styleId="ListLabel2601">
    <w:name w:val="ListLabel 2601"/>
    <w:qFormat/>
    <w:rPr>
      <w:rFonts w:cs="Courier New"/>
    </w:rPr>
  </w:style>
  <w:style w:type="character" w:customStyle="1" w:styleId="ListLabel2602">
    <w:name w:val="ListLabel 2602"/>
    <w:qFormat/>
    <w:rPr>
      <w:rFonts w:cs="Wingdings"/>
    </w:rPr>
  </w:style>
  <w:style w:type="character" w:customStyle="1" w:styleId="ListLabel2603">
    <w:name w:val="ListLabel 2603"/>
    <w:qFormat/>
    <w:rPr>
      <w:rFonts w:cs="Symbol"/>
    </w:rPr>
  </w:style>
  <w:style w:type="character" w:customStyle="1" w:styleId="ListLabel2604">
    <w:name w:val="ListLabel 2604"/>
    <w:qFormat/>
    <w:rPr>
      <w:rFonts w:cs="Courier New"/>
    </w:rPr>
  </w:style>
  <w:style w:type="character" w:customStyle="1" w:styleId="ListLabel2605">
    <w:name w:val="ListLabel 2605"/>
    <w:qFormat/>
    <w:rPr>
      <w:rFonts w:cs="Wingdings"/>
    </w:rPr>
  </w:style>
  <w:style w:type="character" w:customStyle="1" w:styleId="ListLabel2606">
    <w:name w:val="ListLabel 2606"/>
    <w:qFormat/>
    <w:rPr>
      <w:rFonts w:cs="Symbol"/>
    </w:rPr>
  </w:style>
  <w:style w:type="character" w:customStyle="1" w:styleId="ListLabel2607">
    <w:name w:val="ListLabel 2607"/>
    <w:qFormat/>
    <w:rPr>
      <w:rFonts w:cs="Courier New"/>
    </w:rPr>
  </w:style>
  <w:style w:type="character" w:customStyle="1" w:styleId="ListLabel2608">
    <w:name w:val="ListLabel 2608"/>
    <w:qFormat/>
    <w:rPr>
      <w:rFonts w:cs="Wingdings"/>
    </w:rPr>
  </w:style>
  <w:style w:type="character" w:customStyle="1" w:styleId="ListLabel2609">
    <w:name w:val="ListLabel 2609"/>
    <w:qFormat/>
    <w:rPr>
      <w:rFonts w:cs="Calibri"/>
      <w:sz w:val="24"/>
    </w:rPr>
  </w:style>
  <w:style w:type="character" w:customStyle="1" w:styleId="ListLabel2610">
    <w:name w:val="ListLabel 2610"/>
    <w:qFormat/>
    <w:rPr>
      <w:rFonts w:cs="Courier New"/>
    </w:rPr>
  </w:style>
  <w:style w:type="character" w:customStyle="1" w:styleId="ListLabel2611">
    <w:name w:val="ListLabel 2611"/>
    <w:qFormat/>
    <w:rPr>
      <w:rFonts w:cs="Wingdings"/>
    </w:rPr>
  </w:style>
  <w:style w:type="character" w:customStyle="1" w:styleId="ListLabel2612">
    <w:name w:val="ListLabel 2612"/>
    <w:qFormat/>
    <w:rPr>
      <w:rFonts w:cs="Symbol"/>
    </w:rPr>
  </w:style>
  <w:style w:type="character" w:customStyle="1" w:styleId="ListLabel2613">
    <w:name w:val="ListLabel 2613"/>
    <w:qFormat/>
    <w:rPr>
      <w:rFonts w:cs="Courier New"/>
    </w:rPr>
  </w:style>
  <w:style w:type="character" w:customStyle="1" w:styleId="ListLabel2614">
    <w:name w:val="ListLabel 2614"/>
    <w:qFormat/>
    <w:rPr>
      <w:rFonts w:cs="Wingdings"/>
    </w:rPr>
  </w:style>
  <w:style w:type="character" w:customStyle="1" w:styleId="ListLabel2615">
    <w:name w:val="ListLabel 2615"/>
    <w:qFormat/>
    <w:rPr>
      <w:rFonts w:cs="Symbol"/>
    </w:rPr>
  </w:style>
  <w:style w:type="character" w:customStyle="1" w:styleId="ListLabel2616">
    <w:name w:val="ListLabel 2616"/>
    <w:qFormat/>
    <w:rPr>
      <w:rFonts w:cs="Courier New"/>
    </w:rPr>
  </w:style>
  <w:style w:type="character" w:customStyle="1" w:styleId="ListLabel2617">
    <w:name w:val="ListLabel 2617"/>
    <w:qFormat/>
    <w:rPr>
      <w:rFonts w:cs="Wingdings"/>
    </w:rPr>
  </w:style>
  <w:style w:type="character" w:customStyle="1" w:styleId="ListLabel2618">
    <w:name w:val="ListLabel 2618"/>
    <w:qFormat/>
    <w:rPr>
      <w:rFonts w:cs="Times New Roman"/>
      <w:b/>
    </w:rPr>
  </w:style>
  <w:style w:type="character" w:customStyle="1" w:styleId="ListLabel2619">
    <w:name w:val="ListLabel 2619"/>
    <w:qFormat/>
    <w:rPr>
      <w:rFonts w:cs="Courier New"/>
    </w:rPr>
  </w:style>
  <w:style w:type="character" w:customStyle="1" w:styleId="ListLabel2620">
    <w:name w:val="ListLabel 2620"/>
    <w:qFormat/>
    <w:rPr>
      <w:rFonts w:cs="Wingdings"/>
    </w:rPr>
  </w:style>
  <w:style w:type="character" w:customStyle="1" w:styleId="ListLabel2621">
    <w:name w:val="ListLabel 2621"/>
    <w:qFormat/>
    <w:rPr>
      <w:rFonts w:cs="Symbol"/>
    </w:rPr>
  </w:style>
  <w:style w:type="character" w:customStyle="1" w:styleId="ListLabel2622">
    <w:name w:val="ListLabel 2622"/>
    <w:qFormat/>
    <w:rPr>
      <w:rFonts w:cs="Courier New"/>
    </w:rPr>
  </w:style>
  <w:style w:type="character" w:customStyle="1" w:styleId="ListLabel2623">
    <w:name w:val="ListLabel 2623"/>
    <w:qFormat/>
    <w:rPr>
      <w:rFonts w:cs="Wingdings"/>
    </w:rPr>
  </w:style>
  <w:style w:type="character" w:customStyle="1" w:styleId="ListLabel2624">
    <w:name w:val="ListLabel 2624"/>
    <w:qFormat/>
    <w:rPr>
      <w:rFonts w:cs="Symbol"/>
    </w:rPr>
  </w:style>
  <w:style w:type="character" w:customStyle="1" w:styleId="ListLabel2625">
    <w:name w:val="ListLabel 2625"/>
    <w:qFormat/>
    <w:rPr>
      <w:rFonts w:cs="Courier New"/>
    </w:rPr>
  </w:style>
  <w:style w:type="character" w:customStyle="1" w:styleId="ListLabel2626">
    <w:name w:val="ListLabel 2626"/>
    <w:qFormat/>
    <w:rPr>
      <w:rFonts w:cs="Wingdings"/>
    </w:rPr>
  </w:style>
  <w:style w:type="character" w:customStyle="1" w:styleId="ListLabel2627">
    <w:name w:val="ListLabel 2627"/>
    <w:qFormat/>
    <w:rPr>
      <w:rFonts w:cs="Times New Roman"/>
    </w:rPr>
  </w:style>
  <w:style w:type="character" w:customStyle="1" w:styleId="ListLabel2628">
    <w:name w:val="ListLabel 2628"/>
    <w:qFormat/>
    <w:rPr>
      <w:rFonts w:cs="Courier New"/>
    </w:rPr>
  </w:style>
  <w:style w:type="character" w:customStyle="1" w:styleId="ListLabel2629">
    <w:name w:val="ListLabel 2629"/>
    <w:qFormat/>
    <w:rPr>
      <w:rFonts w:cs="Wingdings"/>
    </w:rPr>
  </w:style>
  <w:style w:type="character" w:customStyle="1" w:styleId="ListLabel2630">
    <w:name w:val="ListLabel 2630"/>
    <w:qFormat/>
    <w:rPr>
      <w:rFonts w:cs="Symbol"/>
    </w:rPr>
  </w:style>
  <w:style w:type="character" w:customStyle="1" w:styleId="ListLabel2631">
    <w:name w:val="ListLabel 2631"/>
    <w:qFormat/>
    <w:rPr>
      <w:rFonts w:cs="Courier New"/>
    </w:rPr>
  </w:style>
  <w:style w:type="character" w:customStyle="1" w:styleId="ListLabel2632">
    <w:name w:val="ListLabel 2632"/>
    <w:qFormat/>
    <w:rPr>
      <w:rFonts w:cs="Wingdings"/>
    </w:rPr>
  </w:style>
  <w:style w:type="character" w:customStyle="1" w:styleId="ListLabel2633">
    <w:name w:val="ListLabel 2633"/>
    <w:qFormat/>
    <w:rPr>
      <w:rFonts w:cs="Symbol"/>
    </w:rPr>
  </w:style>
  <w:style w:type="character" w:customStyle="1" w:styleId="ListLabel2634">
    <w:name w:val="ListLabel 2634"/>
    <w:qFormat/>
    <w:rPr>
      <w:rFonts w:cs="Courier New"/>
    </w:rPr>
  </w:style>
  <w:style w:type="character" w:customStyle="1" w:styleId="ListLabel2635">
    <w:name w:val="ListLabel 2635"/>
    <w:qFormat/>
    <w:rPr>
      <w:rFonts w:cs="Wingdings"/>
    </w:rPr>
  </w:style>
  <w:style w:type="character" w:customStyle="1" w:styleId="ListLabel2636">
    <w:name w:val="ListLabel 2636"/>
    <w:qFormat/>
    <w:rPr>
      <w:rFonts w:cs="Calibri"/>
      <w:sz w:val="24"/>
    </w:rPr>
  </w:style>
  <w:style w:type="character" w:customStyle="1" w:styleId="ListLabel2637">
    <w:name w:val="ListLabel 2637"/>
    <w:qFormat/>
    <w:rPr>
      <w:rFonts w:cs="Courier New"/>
    </w:rPr>
  </w:style>
  <w:style w:type="character" w:customStyle="1" w:styleId="ListLabel2638">
    <w:name w:val="ListLabel 2638"/>
    <w:qFormat/>
    <w:rPr>
      <w:rFonts w:cs="Wingdings"/>
    </w:rPr>
  </w:style>
  <w:style w:type="character" w:customStyle="1" w:styleId="ListLabel2639">
    <w:name w:val="ListLabel 2639"/>
    <w:qFormat/>
    <w:rPr>
      <w:rFonts w:cs="Symbol"/>
    </w:rPr>
  </w:style>
  <w:style w:type="character" w:customStyle="1" w:styleId="ListLabel2640">
    <w:name w:val="ListLabel 2640"/>
    <w:qFormat/>
    <w:rPr>
      <w:rFonts w:cs="Courier New"/>
    </w:rPr>
  </w:style>
  <w:style w:type="character" w:customStyle="1" w:styleId="ListLabel2641">
    <w:name w:val="ListLabel 2641"/>
    <w:qFormat/>
    <w:rPr>
      <w:rFonts w:cs="Wingdings"/>
    </w:rPr>
  </w:style>
  <w:style w:type="character" w:customStyle="1" w:styleId="ListLabel2642">
    <w:name w:val="ListLabel 2642"/>
    <w:qFormat/>
    <w:rPr>
      <w:rFonts w:cs="Symbol"/>
    </w:rPr>
  </w:style>
  <w:style w:type="character" w:customStyle="1" w:styleId="ListLabel2643">
    <w:name w:val="ListLabel 2643"/>
    <w:qFormat/>
    <w:rPr>
      <w:rFonts w:cs="Courier New"/>
    </w:rPr>
  </w:style>
  <w:style w:type="character" w:customStyle="1" w:styleId="ListLabel2644">
    <w:name w:val="ListLabel 2644"/>
    <w:qFormat/>
    <w:rPr>
      <w:rFonts w:cs="Wingdings"/>
    </w:rPr>
  </w:style>
  <w:style w:type="character" w:customStyle="1" w:styleId="ListLabel2645">
    <w:name w:val="ListLabel 2645"/>
    <w:qFormat/>
    <w:rPr>
      <w:rFonts w:cs="Calibri"/>
    </w:rPr>
  </w:style>
  <w:style w:type="character" w:customStyle="1" w:styleId="ListLabel2646">
    <w:name w:val="ListLabel 2646"/>
    <w:qFormat/>
    <w:rPr>
      <w:rFonts w:cs="Courier New"/>
    </w:rPr>
  </w:style>
  <w:style w:type="character" w:customStyle="1" w:styleId="ListLabel2647">
    <w:name w:val="ListLabel 2647"/>
    <w:qFormat/>
    <w:rPr>
      <w:rFonts w:cs="Wingdings"/>
    </w:rPr>
  </w:style>
  <w:style w:type="character" w:customStyle="1" w:styleId="ListLabel2648">
    <w:name w:val="ListLabel 2648"/>
    <w:qFormat/>
    <w:rPr>
      <w:rFonts w:cs="Symbol"/>
    </w:rPr>
  </w:style>
  <w:style w:type="character" w:customStyle="1" w:styleId="ListLabel2649">
    <w:name w:val="ListLabel 2649"/>
    <w:qFormat/>
    <w:rPr>
      <w:rFonts w:cs="Courier New"/>
    </w:rPr>
  </w:style>
  <w:style w:type="character" w:customStyle="1" w:styleId="ListLabel2650">
    <w:name w:val="ListLabel 2650"/>
    <w:qFormat/>
    <w:rPr>
      <w:rFonts w:cs="Wingdings"/>
    </w:rPr>
  </w:style>
  <w:style w:type="character" w:customStyle="1" w:styleId="ListLabel2651">
    <w:name w:val="ListLabel 2651"/>
    <w:qFormat/>
    <w:rPr>
      <w:rFonts w:cs="Symbol"/>
    </w:rPr>
  </w:style>
  <w:style w:type="character" w:customStyle="1" w:styleId="ListLabel2652">
    <w:name w:val="ListLabel 2652"/>
    <w:qFormat/>
    <w:rPr>
      <w:rFonts w:cs="Courier New"/>
    </w:rPr>
  </w:style>
  <w:style w:type="character" w:customStyle="1" w:styleId="ListLabel2653">
    <w:name w:val="ListLabel 2653"/>
    <w:qFormat/>
    <w:rPr>
      <w:rFonts w:cs="Wingdings"/>
    </w:rPr>
  </w:style>
  <w:style w:type="character" w:customStyle="1" w:styleId="ListLabel2654">
    <w:name w:val="ListLabel 2654"/>
    <w:qFormat/>
    <w:rPr>
      <w:rFonts w:cs="Calibri"/>
    </w:rPr>
  </w:style>
  <w:style w:type="character" w:customStyle="1" w:styleId="ListLabel2655">
    <w:name w:val="ListLabel 2655"/>
    <w:qFormat/>
    <w:rPr>
      <w:rFonts w:cs="Courier New"/>
    </w:rPr>
  </w:style>
  <w:style w:type="character" w:customStyle="1" w:styleId="ListLabel2656">
    <w:name w:val="ListLabel 2656"/>
    <w:qFormat/>
    <w:rPr>
      <w:rFonts w:cs="Wingdings"/>
    </w:rPr>
  </w:style>
  <w:style w:type="character" w:customStyle="1" w:styleId="ListLabel2657">
    <w:name w:val="ListLabel 2657"/>
    <w:qFormat/>
    <w:rPr>
      <w:rFonts w:cs="Symbol"/>
    </w:rPr>
  </w:style>
  <w:style w:type="character" w:customStyle="1" w:styleId="ListLabel2658">
    <w:name w:val="ListLabel 2658"/>
    <w:qFormat/>
    <w:rPr>
      <w:rFonts w:cs="Courier New"/>
    </w:rPr>
  </w:style>
  <w:style w:type="character" w:customStyle="1" w:styleId="ListLabel2659">
    <w:name w:val="ListLabel 2659"/>
    <w:qFormat/>
    <w:rPr>
      <w:rFonts w:cs="Wingdings"/>
    </w:rPr>
  </w:style>
  <w:style w:type="character" w:customStyle="1" w:styleId="ListLabel2660">
    <w:name w:val="ListLabel 2660"/>
    <w:qFormat/>
    <w:rPr>
      <w:rFonts w:cs="Symbol"/>
    </w:rPr>
  </w:style>
  <w:style w:type="character" w:customStyle="1" w:styleId="ListLabel2661">
    <w:name w:val="ListLabel 2661"/>
    <w:qFormat/>
    <w:rPr>
      <w:rFonts w:cs="Courier New"/>
    </w:rPr>
  </w:style>
  <w:style w:type="character" w:customStyle="1" w:styleId="ListLabel2662">
    <w:name w:val="ListLabel 2662"/>
    <w:qFormat/>
    <w:rPr>
      <w:rFonts w:cs="Wingdings"/>
    </w:rPr>
  </w:style>
  <w:style w:type="character" w:customStyle="1" w:styleId="ListLabel2663">
    <w:name w:val="ListLabel 2663"/>
    <w:qFormat/>
    <w:rPr>
      <w:rFonts w:cs="Symbol"/>
      <w:b/>
      <w:sz w:val="24"/>
    </w:rPr>
  </w:style>
  <w:style w:type="character" w:customStyle="1" w:styleId="ListLabel2664">
    <w:name w:val="ListLabel 2664"/>
    <w:qFormat/>
    <w:rPr>
      <w:rFonts w:cs="Courier New"/>
    </w:rPr>
  </w:style>
  <w:style w:type="character" w:customStyle="1" w:styleId="ListLabel2665">
    <w:name w:val="ListLabel 2665"/>
    <w:qFormat/>
    <w:rPr>
      <w:rFonts w:cs="Wingdings"/>
    </w:rPr>
  </w:style>
  <w:style w:type="character" w:customStyle="1" w:styleId="ListLabel2666">
    <w:name w:val="ListLabel 2666"/>
    <w:qFormat/>
    <w:rPr>
      <w:rFonts w:cs="Symbol"/>
    </w:rPr>
  </w:style>
  <w:style w:type="character" w:customStyle="1" w:styleId="ListLabel2667">
    <w:name w:val="ListLabel 2667"/>
    <w:qFormat/>
    <w:rPr>
      <w:rFonts w:cs="Courier New"/>
    </w:rPr>
  </w:style>
  <w:style w:type="character" w:customStyle="1" w:styleId="ListLabel2668">
    <w:name w:val="ListLabel 2668"/>
    <w:qFormat/>
    <w:rPr>
      <w:rFonts w:cs="Wingdings"/>
    </w:rPr>
  </w:style>
  <w:style w:type="character" w:customStyle="1" w:styleId="ListLabel2669">
    <w:name w:val="ListLabel 2669"/>
    <w:qFormat/>
    <w:rPr>
      <w:rFonts w:cs="Symbol"/>
    </w:rPr>
  </w:style>
  <w:style w:type="character" w:customStyle="1" w:styleId="ListLabel2670">
    <w:name w:val="ListLabel 2670"/>
    <w:qFormat/>
    <w:rPr>
      <w:rFonts w:cs="Courier New"/>
    </w:rPr>
  </w:style>
  <w:style w:type="character" w:customStyle="1" w:styleId="ListLabel2671">
    <w:name w:val="ListLabel 2671"/>
    <w:qFormat/>
    <w:rPr>
      <w:rFonts w:cs="Wingdings"/>
    </w:rPr>
  </w:style>
  <w:style w:type="character" w:customStyle="1" w:styleId="ListLabel2672">
    <w:name w:val="ListLabel 2672"/>
    <w:qFormat/>
    <w:rPr>
      <w:rFonts w:cs="Symbol"/>
    </w:rPr>
  </w:style>
  <w:style w:type="character" w:customStyle="1" w:styleId="ListLabel2673">
    <w:name w:val="ListLabel 2673"/>
    <w:qFormat/>
    <w:rPr>
      <w:rFonts w:cs="Courier New"/>
    </w:rPr>
  </w:style>
  <w:style w:type="character" w:customStyle="1" w:styleId="ListLabel2674">
    <w:name w:val="ListLabel 2674"/>
    <w:qFormat/>
    <w:rPr>
      <w:rFonts w:cs="Wingdings"/>
    </w:rPr>
  </w:style>
  <w:style w:type="character" w:customStyle="1" w:styleId="ListLabel2675">
    <w:name w:val="ListLabel 2675"/>
    <w:qFormat/>
    <w:rPr>
      <w:rFonts w:cs="Symbol"/>
    </w:rPr>
  </w:style>
  <w:style w:type="character" w:customStyle="1" w:styleId="ListLabel2676">
    <w:name w:val="ListLabel 2676"/>
    <w:qFormat/>
    <w:rPr>
      <w:rFonts w:cs="Courier New"/>
    </w:rPr>
  </w:style>
  <w:style w:type="character" w:customStyle="1" w:styleId="ListLabel2677">
    <w:name w:val="ListLabel 2677"/>
    <w:qFormat/>
    <w:rPr>
      <w:rFonts w:cs="Wingdings"/>
    </w:rPr>
  </w:style>
  <w:style w:type="character" w:customStyle="1" w:styleId="ListLabel2678">
    <w:name w:val="ListLabel 2678"/>
    <w:qFormat/>
    <w:rPr>
      <w:rFonts w:cs="Symbol"/>
    </w:rPr>
  </w:style>
  <w:style w:type="character" w:customStyle="1" w:styleId="ListLabel2679">
    <w:name w:val="ListLabel 2679"/>
    <w:qFormat/>
    <w:rPr>
      <w:rFonts w:cs="Courier New"/>
    </w:rPr>
  </w:style>
  <w:style w:type="character" w:customStyle="1" w:styleId="ListLabel2680">
    <w:name w:val="ListLabel 2680"/>
    <w:qFormat/>
    <w:rPr>
      <w:rFonts w:cs="Wingdings"/>
    </w:rPr>
  </w:style>
  <w:style w:type="character" w:customStyle="1" w:styleId="ListLabel2681">
    <w:name w:val="ListLabel 2681"/>
    <w:qFormat/>
    <w:rPr>
      <w:rFonts w:cs="Symbol"/>
      <w:b/>
      <w:sz w:val="24"/>
    </w:rPr>
  </w:style>
  <w:style w:type="character" w:customStyle="1" w:styleId="ListLabel2682">
    <w:name w:val="ListLabel 2682"/>
    <w:qFormat/>
    <w:rPr>
      <w:rFonts w:cs="Courier New"/>
    </w:rPr>
  </w:style>
  <w:style w:type="character" w:customStyle="1" w:styleId="ListLabel2683">
    <w:name w:val="ListLabel 2683"/>
    <w:qFormat/>
    <w:rPr>
      <w:rFonts w:cs="Wingdings"/>
    </w:rPr>
  </w:style>
  <w:style w:type="character" w:customStyle="1" w:styleId="ListLabel2684">
    <w:name w:val="ListLabel 2684"/>
    <w:qFormat/>
    <w:rPr>
      <w:rFonts w:cs="Symbol"/>
    </w:rPr>
  </w:style>
  <w:style w:type="character" w:customStyle="1" w:styleId="ListLabel2685">
    <w:name w:val="ListLabel 2685"/>
    <w:qFormat/>
    <w:rPr>
      <w:rFonts w:cs="Courier New"/>
    </w:rPr>
  </w:style>
  <w:style w:type="character" w:customStyle="1" w:styleId="ListLabel2686">
    <w:name w:val="ListLabel 2686"/>
    <w:qFormat/>
    <w:rPr>
      <w:rFonts w:cs="Wingdings"/>
    </w:rPr>
  </w:style>
  <w:style w:type="character" w:customStyle="1" w:styleId="ListLabel2687">
    <w:name w:val="ListLabel 2687"/>
    <w:qFormat/>
    <w:rPr>
      <w:rFonts w:cs="Symbol"/>
    </w:rPr>
  </w:style>
  <w:style w:type="character" w:customStyle="1" w:styleId="ListLabel2688">
    <w:name w:val="ListLabel 2688"/>
    <w:qFormat/>
    <w:rPr>
      <w:rFonts w:cs="Courier New"/>
    </w:rPr>
  </w:style>
  <w:style w:type="character" w:customStyle="1" w:styleId="ListLabel2689">
    <w:name w:val="ListLabel 2689"/>
    <w:qFormat/>
    <w:rPr>
      <w:rFonts w:cs="Wingdings"/>
    </w:rPr>
  </w:style>
  <w:style w:type="character" w:customStyle="1" w:styleId="ListLabel2690">
    <w:name w:val="ListLabel 2690"/>
    <w:qFormat/>
    <w:rPr>
      <w:rFonts w:cs="Calibri"/>
    </w:rPr>
  </w:style>
  <w:style w:type="character" w:customStyle="1" w:styleId="ListLabel2691">
    <w:name w:val="ListLabel 2691"/>
    <w:qFormat/>
    <w:rPr>
      <w:rFonts w:cs="Courier New"/>
    </w:rPr>
  </w:style>
  <w:style w:type="character" w:customStyle="1" w:styleId="ListLabel2692">
    <w:name w:val="ListLabel 2692"/>
    <w:qFormat/>
    <w:rPr>
      <w:rFonts w:cs="Wingdings"/>
    </w:rPr>
  </w:style>
  <w:style w:type="character" w:customStyle="1" w:styleId="ListLabel2693">
    <w:name w:val="ListLabel 2693"/>
    <w:qFormat/>
    <w:rPr>
      <w:rFonts w:cs="Symbol"/>
    </w:rPr>
  </w:style>
  <w:style w:type="character" w:customStyle="1" w:styleId="ListLabel2694">
    <w:name w:val="ListLabel 2694"/>
    <w:qFormat/>
    <w:rPr>
      <w:rFonts w:cs="Courier New"/>
    </w:rPr>
  </w:style>
  <w:style w:type="character" w:customStyle="1" w:styleId="ListLabel2695">
    <w:name w:val="ListLabel 2695"/>
    <w:qFormat/>
    <w:rPr>
      <w:rFonts w:cs="Wingdings"/>
    </w:rPr>
  </w:style>
  <w:style w:type="character" w:customStyle="1" w:styleId="ListLabel2696">
    <w:name w:val="ListLabel 2696"/>
    <w:qFormat/>
    <w:rPr>
      <w:rFonts w:cs="Symbol"/>
    </w:rPr>
  </w:style>
  <w:style w:type="character" w:customStyle="1" w:styleId="ListLabel2697">
    <w:name w:val="ListLabel 2697"/>
    <w:qFormat/>
    <w:rPr>
      <w:rFonts w:cs="Courier New"/>
    </w:rPr>
  </w:style>
  <w:style w:type="character" w:customStyle="1" w:styleId="ListLabel2698">
    <w:name w:val="ListLabel 2698"/>
    <w:qFormat/>
    <w:rPr>
      <w:rFonts w:cs="Wingdings"/>
    </w:rPr>
  </w:style>
  <w:style w:type="character" w:customStyle="1" w:styleId="ListLabel2699">
    <w:name w:val="ListLabel 2699"/>
    <w:qFormat/>
    <w:rPr>
      <w:rFonts w:cs="Times New Roman"/>
      <w:b/>
    </w:rPr>
  </w:style>
  <w:style w:type="character" w:customStyle="1" w:styleId="ListLabel2700">
    <w:name w:val="ListLabel 2700"/>
    <w:qFormat/>
    <w:rPr>
      <w:rFonts w:cs="Times New Roman"/>
    </w:rPr>
  </w:style>
  <w:style w:type="character" w:customStyle="1" w:styleId="ListLabel2701">
    <w:name w:val="ListLabel 2701"/>
    <w:qFormat/>
    <w:rPr>
      <w:rFonts w:cs="Times New Roman"/>
    </w:rPr>
  </w:style>
  <w:style w:type="character" w:customStyle="1" w:styleId="ListLabel2702">
    <w:name w:val="ListLabel 2702"/>
    <w:qFormat/>
    <w:rPr>
      <w:rFonts w:cs="Times New Roman"/>
    </w:rPr>
  </w:style>
  <w:style w:type="character" w:customStyle="1" w:styleId="ListLabel2703">
    <w:name w:val="ListLabel 2703"/>
    <w:qFormat/>
    <w:rPr>
      <w:rFonts w:cs="Times New Roman"/>
    </w:rPr>
  </w:style>
  <w:style w:type="character" w:customStyle="1" w:styleId="ListLabel2704">
    <w:name w:val="ListLabel 2704"/>
    <w:qFormat/>
    <w:rPr>
      <w:rFonts w:cs="Times New Roman"/>
    </w:rPr>
  </w:style>
  <w:style w:type="character" w:customStyle="1" w:styleId="ListLabel2705">
    <w:name w:val="ListLabel 2705"/>
    <w:qFormat/>
    <w:rPr>
      <w:rFonts w:cs="Times New Roman"/>
    </w:rPr>
  </w:style>
  <w:style w:type="character" w:customStyle="1" w:styleId="ListLabel2706">
    <w:name w:val="ListLabel 2706"/>
    <w:qFormat/>
    <w:rPr>
      <w:rFonts w:cs="Times New Roman"/>
    </w:rPr>
  </w:style>
  <w:style w:type="character" w:customStyle="1" w:styleId="ListLabel2707">
    <w:name w:val="ListLabel 2707"/>
    <w:qFormat/>
    <w:rPr>
      <w:rFonts w:cs="Times New Roman"/>
    </w:rPr>
  </w:style>
  <w:style w:type="character" w:customStyle="1" w:styleId="ListLabel2708">
    <w:name w:val="ListLabel 2708"/>
    <w:qFormat/>
    <w:rPr>
      <w:rFonts w:cs="Times New Roman"/>
    </w:rPr>
  </w:style>
  <w:style w:type="character" w:customStyle="1" w:styleId="ListLabel2709">
    <w:name w:val="ListLabel 2709"/>
    <w:qFormat/>
    <w:rPr>
      <w:rFonts w:cs="Times New Roman"/>
    </w:rPr>
  </w:style>
  <w:style w:type="character" w:customStyle="1" w:styleId="ListLabel2710">
    <w:name w:val="ListLabel 2710"/>
    <w:qFormat/>
    <w:rPr>
      <w:rFonts w:cs="Times New Roman"/>
    </w:rPr>
  </w:style>
  <w:style w:type="character" w:customStyle="1" w:styleId="ListLabel2711">
    <w:name w:val="ListLabel 2711"/>
    <w:qFormat/>
    <w:rPr>
      <w:rFonts w:cs="Times New Roman"/>
    </w:rPr>
  </w:style>
  <w:style w:type="character" w:customStyle="1" w:styleId="ListLabel2712">
    <w:name w:val="ListLabel 2712"/>
    <w:qFormat/>
    <w:rPr>
      <w:rFonts w:cs="Times New Roman"/>
    </w:rPr>
  </w:style>
  <w:style w:type="character" w:customStyle="1" w:styleId="ListLabel2713">
    <w:name w:val="ListLabel 2713"/>
    <w:qFormat/>
    <w:rPr>
      <w:rFonts w:cs="Times New Roman"/>
    </w:rPr>
  </w:style>
  <w:style w:type="character" w:customStyle="1" w:styleId="ListLabel2714">
    <w:name w:val="ListLabel 2714"/>
    <w:qFormat/>
    <w:rPr>
      <w:rFonts w:cs="Times New Roman"/>
    </w:rPr>
  </w:style>
  <w:style w:type="character" w:customStyle="1" w:styleId="ListLabel2715">
    <w:name w:val="ListLabel 2715"/>
    <w:qFormat/>
    <w:rPr>
      <w:rFonts w:cs="Times New Roman"/>
    </w:rPr>
  </w:style>
  <w:style w:type="character" w:customStyle="1" w:styleId="ListLabel2716">
    <w:name w:val="ListLabel 2716"/>
    <w:qFormat/>
    <w:rPr>
      <w:rFonts w:cs="Times New Roman"/>
    </w:rPr>
  </w:style>
  <w:style w:type="character" w:customStyle="1" w:styleId="ListLabel2717">
    <w:name w:val="ListLabel 2717"/>
    <w:qFormat/>
    <w:rPr>
      <w:rFonts w:cs="Times New Roman"/>
      <w:sz w:val="20"/>
    </w:rPr>
  </w:style>
  <w:style w:type="character" w:customStyle="1" w:styleId="ListLabel2718">
    <w:name w:val="ListLabel 2718"/>
    <w:qFormat/>
    <w:rPr>
      <w:rFonts w:cs="Times New Roman"/>
    </w:rPr>
  </w:style>
  <w:style w:type="character" w:customStyle="1" w:styleId="ListLabel2719">
    <w:name w:val="ListLabel 2719"/>
    <w:qFormat/>
    <w:rPr>
      <w:rFonts w:cs="Times New Roman"/>
    </w:rPr>
  </w:style>
  <w:style w:type="character" w:customStyle="1" w:styleId="ListLabel2720">
    <w:name w:val="ListLabel 2720"/>
    <w:qFormat/>
    <w:rPr>
      <w:rFonts w:cs="Times New Roman"/>
    </w:rPr>
  </w:style>
  <w:style w:type="character" w:customStyle="1" w:styleId="ListLabel2721">
    <w:name w:val="ListLabel 2721"/>
    <w:qFormat/>
    <w:rPr>
      <w:rFonts w:cs="Times New Roman"/>
    </w:rPr>
  </w:style>
  <w:style w:type="character" w:customStyle="1" w:styleId="ListLabel2722">
    <w:name w:val="ListLabel 2722"/>
    <w:qFormat/>
    <w:rPr>
      <w:rFonts w:cs="Times New Roman"/>
    </w:rPr>
  </w:style>
  <w:style w:type="character" w:customStyle="1" w:styleId="ListLabel2723">
    <w:name w:val="ListLabel 2723"/>
    <w:qFormat/>
    <w:rPr>
      <w:rFonts w:cs="Times New Roman"/>
    </w:rPr>
  </w:style>
  <w:style w:type="character" w:customStyle="1" w:styleId="ListLabel2724">
    <w:name w:val="ListLabel 2724"/>
    <w:qFormat/>
    <w:rPr>
      <w:rFonts w:cs="Times New Roman"/>
    </w:rPr>
  </w:style>
  <w:style w:type="character" w:customStyle="1" w:styleId="ListLabel2725">
    <w:name w:val="ListLabel 2725"/>
    <w:qFormat/>
    <w:rPr>
      <w:rFonts w:cs="Times New Roman"/>
    </w:rPr>
  </w:style>
  <w:style w:type="character" w:customStyle="1" w:styleId="ListLabel2726">
    <w:name w:val="ListLabel 2726"/>
    <w:qFormat/>
    <w:rPr>
      <w:rFonts w:cs="Symbol"/>
      <w:b/>
    </w:rPr>
  </w:style>
  <w:style w:type="character" w:customStyle="1" w:styleId="ListLabel2727">
    <w:name w:val="ListLabel 2727"/>
    <w:qFormat/>
    <w:rPr>
      <w:rFonts w:cs="Courier New"/>
    </w:rPr>
  </w:style>
  <w:style w:type="character" w:customStyle="1" w:styleId="ListLabel2728">
    <w:name w:val="ListLabel 2728"/>
    <w:qFormat/>
    <w:rPr>
      <w:rFonts w:cs="Wingdings"/>
    </w:rPr>
  </w:style>
  <w:style w:type="character" w:customStyle="1" w:styleId="ListLabel2729">
    <w:name w:val="ListLabel 2729"/>
    <w:qFormat/>
    <w:rPr>
      <w:rFonts w:cs="Symbol"/>
    </w:rPr>
  </w:style>
  <w:style w:type="character" w:customStyle="1" w:styleId="ListLabel2730">
    <w:name w:val="ListLabel 2730"/>
    <w:qFormat/>
    <w:rPr>
      <w:rFonts w:cs="Courier New"/>
    </w:rPr>
  </w:style>
  <w:style w:type="character" w:customStyle="1" w:styleId="ListLabel2731">
    <w:name w:val="ListLabel 2731"/>
    <w:qFormat/>
    <w:rPr>
      <w:rFonts w:cs="Wingdings"/>
    </w:rPr>
  </w:style>
  <w:style w:type="character" w:customStyle="1" w:styleId="ListLabel2732">
    <w:name w:val="ListLabel 2732"/>
    <w:qFormat/>
    <w:rPr>
      <w:rFonts w:cs="Symbol"/>
    </w:rPr>
  </w:style>
  <w:style w:type="character" w:customStyle="1" w:styleId="ListLabel2733">
    <w:name w:val="ListLabel 2733"/>
    <w:qFormat/>
    <w:rPr>
      <w:rFonts w:cs="Courier New"/>
    </w:rPr>
  </w:style>
  <w:style w:type="character" w:customStyle="1" w:styleId="ListLabel2734">
    <w:name w:val="ListLabel 2734"/>
    <w:qFormat/>
    <w:rPr>
      <w:rFonts w:cs="Wingdings"/>
    </w:rPr>
  </w:style>
  <w:style w:type="paragraph" w:customStyle="1" w:styleId="Stilnaslova">
    <w:name w:val="Stil naslova"/>
    <w:basedOn w:val="Normal"/>
    <w:next w:val="Tijeloteksta"/>
    <w:qFormat/>
    <w:pPr>
      <w:keepNext/>
      <w:spacing w:before="240" w:after="120"/>
    </w:pPr>
    <w:rPr>
      <w:rFonts w:ascii="Liberation Sans" w:eastAsia="Microsoft YaHei" w:hAnsi="Liberation Sans" w:cs="Arial"/>
      <w:sz w:val="28"/>
      <w:szCs w:val="28"/>
    </w:rPr>
  </w:style>
  <w:style w:type="paragraph" w:styleId="Tijeloteksta">
    <w:name w:val="Body Text"/>
    <w:basedOn w:val="Normal"/>
    <w:link w:val="TijelotekstaChar"/>
    <w:uiPriority w:val="99"/>
    <w:rsid w:val="001B70D9"/>
    <w:pPr>
      <w:spacing w:after="120"/>
    </w:pPr>
  </w:style>
  <w:style w:type="paragraph" w:styleId="Popis">
    <w:name w:val="List"/>
    <w:basedOn w:val="Tijeloteksta"/>
    <w:rPr>
      <w:rFonts w:cs="Arial"/>
    </w:rPr>
  </w:style>
  <w:style w:type="paragraph" w:styleId="Opisslike">
    <w:name w:val="caption"/>
    <w:basedOn w:val="Normal"/>
    <w:next w:val="Normal"/>
    <w:uiPriority w:val="99"/>
    <w:qFormat/>
    <w:rsid w:val="001B70D9"/>
    <w:pPr>
      <w:spacing w:after="0" w:line="360" w:lineRule="auto"/>
    </w:pPr>
    <w:rPr>
      <w:rFonts w:cs="Arial"/>
      <w:b/>
      <w:bCs/>
      <w:sz w:val="20"/>
      <w:szCs w:val="20"/>
    </w:rPr>
  </w:style>
  <w:style w:type="paragraph" w:customStyle="1" w:styleId="Indeks">
    <w:name w:val="Indeks"/>
    <w:basedOn w:val="Normal"/>
    <w:qFormat/>
    <w:pPr>
      <w:suppressLineNumbers/>
    </w:pPr>
    <w:rPr>
      <w:rFonts w:cs="Arial"/>
    </w:rPr>
  </w:style>
  <w:style w:type="paragraph" w:styleId="Sadraj1">
    <w:name w:val="toc 1"/>
    <w:basedOn w:val="Normal"/>
    <w:next w:val="Normal"/>
    <w:autoRedefine/>
    <w:uiPriority w:val="99"/>
    <w:rsid w:val="00012B23"/>
    <w:pPr>
      <w:spacing w:before="120" w:after="120"/>
      <w:jc w:val="left"/>
    </w:pPr>
    <w:rPr>
      <w:rFonts w:cs="Calibri"/>
      <w:b/>
      <w:bCs/>
      <w:caps/>
      <w:sz w:val="20"/>
      <w:szCs w:val="20"/>
    </w:rPr>
  </w:style>
  <w:style w:type="paragraph" w:styleId="Sadraj2">
    <w:name w:val="toc 2"/>
    <w:basedOn w:val="Normal"/>
    <w:next w:val="Normal"/>
    <w:autoRedefine/>
    <w:uiPriority w:val="99"/>
    <w:rsid w:val="001B70D9"/>
    <w:pPr>
      <w:spacing w:after="0"/>
      <w:ind w:left="240"/>
      <w:jc w:val="left"/>
    </w:pPr>
    <w:rPr>
      <w:rFonts w:cs="Calibri"/>
      <w:smallCaps/>
      <w:sz w:val="20"/>
      <w:szCs w:val="20"/>
    </w:rPr>
  </w:style>
  <w:style w:type="paragraph" w:styleId="Sadraj3">
    <w:name w:val="toc 3"/>
    <w:basedOn w:val="Normal"/>
    <w:next w:val="Normal"/>
    <w:autoRedefine/>
    <w:uiPriority w:val="99"/>
    <w:rsid w:val="00A76A41"/>
    <w:pPr>
      <w:spacing w:after="0"/>
      <w:ind w:left="480"/>
      <w:jc w:val="left"/>
    </w:pPr>
    <w:rPr>
      <w:rFonts w:cs="Calibri"/>
      <w:i/>
      <w:iCs/>
      <w:sz w:val="20"/>
      <w:szCs w:val="20"/>
    </w:rPr>
  </w:style>
  <w:style w:type="paragraph" w:styleId="Sadraj4">
    <w:name w:val="toc 4"/>
    <w:basedOn w:val="Normal"/>
    <w:next w:val="Normal"/>
    <w:autoRedefine/>
    <w:uiPriority w:val="99"/>
    <w:rsid w:val="001B70D9"/>
    <w:pPr>
      <w:spacing w:after="0"/>
      <w:ind w:left="720"/>
      <w:jc w:val="left"/>
    </w:pPr>
    <w:rPr>
      <w:rFonts w:cs="Calibri"/>
      <w:sz w:val="18"/>
      <w:szCs w:val="18"/>
    </w:rPr>
  </w:style>
  <w:style w:type="paragraph" w:styleId="Odlomakpopisa">
    <w:name w:val="List Paragraph"/>
    <w:basedOn w:val="Normal"/>
    <w:link w:val="OdlomakpopisaChar"/>
    <w:uiPriority w:val="99"/>
    <w:qFormat/>
    <w:rsid w:val="001B70D9"/>
    <w:pPr>
      <w:ind w:left="720"/>
      <w:contextualSpacing/>
      <w:jc w:val="left"/>
    </w:pPr>
    <w:rPr>
      <w:sz w:val="22"/>
      <w:lang w:val="en-US"/>
    </w:rPr>
  </w:style>
  <w:style w:type="paragraph" w:styleId="Tekstbalonia">
    <w:name w:val="Balloon Text"/>
    <w:basedOn w:val="Normal"/>
    <w:link w:val="TekstbaloniaChar"/>
    <w:uiPriority w:val="99"/>
    <w:semiHidden/>
    <w:qFormat/>
    <w:rsid w:val="001B70D9"/>
    <w:pPr>
      <w:spacing w:after="0" w:line="240" w:lineRule="auto"/>
    </w:pPr>
    <w:rPr>
      <w:rFonts w:ascii="Tahoma" w:hAnsi="Tahoma" w:cs="Tahoma"/>
      <w:sz w:val="16"/>
      <w:szCs w:val="16"/>
    </w:rPr>
  </w:style>
  <w:style w:type="paragraph" w:styleId="Zaglavlje">
    <w:name w:val="header"/>
    <w:basedOn w:val="Normal"/>
    <w:link w:val="ZaglavljeChar"/>
    <w:uiPriority w:val="99"/>
    <w:rsid w:val="001B70D9"/>
    <w:pPr>
      <w:tabs>
        <w:tab w:val="center" w:pos="4536"/>
        <w:tab w:val="right" w:pos="9072"/>
      </w:tabs>
      <w:spacing w:after="0" w:line="240" w:lineRule="auto"/>
    </w:pPr>
  </w:style>
  <w:style w:type="paragraph" w:styleId="Podnoje">
    <w:name w:val="footer"/>
    <w:basedOn w:val="Normal"/>
    <w:link w:val="PodnojeChar"/>
    <w:uiPriority w:val="99"/>
    <w:rsid w:val="001B70D9"/>
    <w:pPr>
      <w:tabs>
        <w:tab w:val="center" w:pos="4536"/>
        <w:tab w:val="right" w:pos="9072"/>
      </w:tabs>
      <w:spacing w:after="0" w:line="240" w:lineRule="auto"/>
    </w:pPr>
  </w:style>
  <w:style w:type="paragraph" w:customStyle="1" w:styleId="NormalJustified">
    <w:name w:val="Normal + Justified"/>
    <w:basedOn w:val="Normal"/>
    <w:uiPriority w:val="99"/>
    <w:qFormat/>
    <w:rsid w:val="001B70D9"/>
    <w:pPr>
      <w:spacing w:after="0" w:line="240" w:lineRule="auto"/>
    </w:pPr>
    <w:rPr>
      <w:rFonts w:ascii="Times New Roman" w:eastAsia="Times New Roman" w:hAnsi="Times New Roman"/>
      <w:szCs w:val="24"/>
      <w:lang w:eastAsia="hr-HR"/>
    </w:rPr>
  </w:style>
  <w:style w:type="paragraph" w:customStyle="1" w:styleId="ColorfulList-Accent11">
    <w:name w:val="Colorful List - Accent 11"/>
    <w:basedOn w:val="Normal"/>
    <w:uiPriority w:val="99"/>
    <w:qFormat/>
    <w:rsid w:val="001B70D9"/>
    <w:pPr>
      <w:spacing w:after="0" w:line="360" w:lineRule="auto"/>
      <w:ind w:left="720"/>
    </w:pPr>
    <w:rPr>
      <w:rFonts w:ascii="Times New Roman" w:hAnsi="Times New Roman"/>
      <w:szCs w:val="24"/>
      <w:lang w:eastAsia="hr-HR"/>
    </w:rPr>
  </w:style>
  <w:style w:type="paragraph" w:customStyle="1" w:styleId="BodyText20">
    <w:name w:val="Body Text20"/>
    <w:basedOn w:val="Normal"/>
    <w:link w:val="Bodytext"/>
    <w:uiPriority w:val="99"/>
    <w:qFormat/>
    <w:rsid w:val="001B70D9"/>
    <w:pPr>
      <w:shd w:val="clear" w:color="auto" w:fill="FFFFFF"/>
      <w:spacing w:after="0" w:line="240" w:lineRule="atLeast"/>
      <w:ind w:hanging="1000"/>
      <w:jc w:val="left"/>
    </w:pPr>
    <w:rPr>
      <w:rFonts w:ascii="Times New Roman" w:hAnsi="Times New Roman"/>
      <w:sz w:val="21"/>
      <w:szCs w:val="20"/>
      <w:lang w:eastAsia="hr-HR"/>
    </w:rPr>
  </w:style>
  <w:style w:type="paragraph" w:customStyle="1" w:styleId="Default">
    <w:name w:val="Default"/>
    <w:uiPriority w:val="99"/>
    <w:qFormat/>
    <w:rsid w:val="001B70D9"/>
    <w:rPr>
      <w:rFonts w:ascii="Cambria" w:hAnsi="Cambria" w:cs="Cambria"/>
      <w:color w:val="000000"/>
      <w:sz w:val="24"/>
      <w:szCs w:val="24"/>
      <w:lang w:eastAsia="en-US"/>
    </w:rPr>
  </w:style>
  <w:style w:type="paragraph" w:styleId="Tekstfusnote">
    <w:name w:val="footnote text"/>
    <w:basedOn w:val="Normal"/>
  </w:style>
  <w:style w:type="paragraph" w:styleId="Tijeloteksta2">
    <w:name w:val="Body Text 2"/>
    <w:basedOn w:val="Normal"/>
    <w:link w:val="Tijeloteksta2Char"/>
    <w:uiPriority w:val="99"/>
    <w:qFormat/>
    <w:rsid w:val="00DC224A"/>
    <w:pPr>
      <w:spacing w:after="120" w:line="480" w:lineRule="auto"/>
    </w:pPr>
  </w:style>
  <w:style w:type="paragraph" w:customStyle="1" w:styleId="Bezproreda2">
    <w:name w:val="Bez proreda2"/>
    <w:link w:val="BezproredaChar"/>
    <w:uiPriority w:val="99"/>
    <w:qFormat/>
    <w:rsid w:val="00DC224A"/>
    <w:pPr>
      <w:spacing w:after="160" w:line="259" w:lineRule="auto"/>
    </w:pPr>
    <w:rPr>
      <w:color w:val="00000A"/>
      <w:sz w:val="24"/>
      <w:lang w:eastAsia="en-US"/>
    </w:rPr>
  </w:style>
  <w:style w:type="paragraph" w:customStyle="1" w:styleId="tekst11">
    <w:name w:val="tekst11"/>
    <w:basedOn w:val="Normal"/>
    <w:uiPriority w:val="99"/>
    <w:qFormat/>
    <w:rsid w:val="004171BC"/>
    <w:pPr>
      <w:spacing w:after="0" w:line="288" w:lineRule="auto"/>
      <w:ind w:firstLine="709"/>
    </w:pPr>
    <w:rPr>
      <w:rFonts w:ascii="Arial" w:eastAsia="Times New Roman" w:hAnsi="Arial"/>
      <w:sz w:val="22"/>
      <w:lang w:eastAsia="hr-HR"/>
    </w:rPr>
  </w:style>
  <w:style w:type="paragraph" w:styleId="Tekstkomentara">
    <w:name w:val="annotation text"/>
    <w:basedOn w:val="Normal"/>
    <w:link w:val="TekstkomentaraChar"/>
    <w:uiPriority w:val="99"/>
    <w:qFormat/>
    <w:rsid w:val="00C5458B"/>
    <w:pPr>
      <w:spacing w:line="240" w:lineRule="auto"/>
    </w:pPr>
    <w:rPr>
      <w:sz w:val="20"/>
      <w:szCs w:val="20"/>
    </w:rPr>
  </w:style>
  <w:style w:type="paragraph" w:styleId="Predmetkomentara">
    <w:name w:val="annotation subject"/>
    <w:basedOn w:val="Tekstkomentara"/>
    <w:link w:val="PredmetkomentaraChar"/>
    <w:uiPriority w:val="99"/>
    <w:semiHidden/>
    <w:qFormat/>
    <w:rsid w:val="00C5458B"/>
    <w:rPr>
      <w:b/>
      <w:bCs/>
    </w:rPr>
  </w:style>
  <w:style w:type="paragraph" w:customStyle="1" w:styleId="T-98-2">
    <w:name w:val="T-9/8-2"/>
    <w:basedOn w:val="Normal"/>
    <w:uiPriority w:val="99"/>
    <w:qFormat/>
    <w:rsid w:val="00D26B92"/>
    <w:pPr>
      <w:widowControl w:val="0"/>
      <w:tabs>
        <w:tab w:val="left" w:pos="2153"/>
      </w:tabs>
      <w:spacing w:after="43" w:line="240" w:lineRule="auto"/>
      <w:ind w:firstLine="342"/>
    </w:pPr>
    <w:rPr>
      <w:rFonts w:ascii="Times-NewRoman" w:hAnsi="Times-NewRoman"/>
      <w:sz w:val="20"/>
      <w:szCs w:val="20"/>
      <w:lang w:val="en-GB" w:eastAsia="hr-HR"/>
    </w:rPr>
  </w:style>
  <w:style w:type="paragraph" w:customStyle="1" w:styleId="Odlomakpopisa1">
    <w:name w:val="Odlomak popisa1"/>
    <w:basedOn w:val="Normal"/>
    <w:uiPriority w:val="99"/>
    <w:qFormat/>
    <w:rsid w:val="006705A6"/>
    <w:pPr>
      <w:suppressAutoHyphens/>
      <w:ind w:left="720"/>
      <w:textAlignment w:val="baseline"/>
    </w:pPr>
  </w:style>
  <w:style w:type="paragraph" w:styleId="StandardWeb">
    <w:name w:val="Normal (Web)"/>
    <w:basedOn w:val="Normal"/>
    <w:uiPriority w:val="99"/>
    <w:qFormat/>
    <w:rsid w:val="007C655D"/>
    <w:pPr>
      <w:spacing w:beforeAutospacing="1" w:afterAutospacing="1" w:line="240" w:lineRule="auto"/>
      <w:jc w:val="left"/>
    </w:pPr>
    <w:rPr>
      <w:rFonts w:ascii="Times New Roman" w:eastAsia="Times New Roman" w:hAnsi="Times New Roman"/>
      <w:szCs w:val="24"/>
      <w:lang w:eastAsia="hr-HR"/>
    </w:rPr>
  </w:style>
  <w:style w:type="paragraph" w:styleId="TOCNaslov">
    <w:name w:val="TOC Heading"/>
    <w:basedOn w:val="Naslov1"/>
    <w:next w:val="Normal"/>
    <w:uiPriority w:val="99"/>
    <w:qFormat/>
    <w:rsid w:val="008861A9"/>
    <w:pPr>
      <w:spacing w:before="240" w:line="259" w:lineRule="auto"/>
      <w:jc w:val="left"/>
    </w:pPr>
    <w:rPr>
      <w:rFonts w:ascii="Calibri Light" w:hAnsi="Calibri Light"/>
      <w:b w:val="0"/>
      <w:bCs w:val="0"/>
      <w:color w:val="2E74B5"/>
      <w:sz w:val="32"/>
      <w:szCs w:val="32"/>
      <w:lang w:eastAsia="hr-HR"/>
    </w:rPr>
  </w:style>
  <w:style w:type="paragraph" w:styleId="Sadraj5">
    <w:name w:val="toc 5"/>
    <w:basedOn w:val="Normal"/>
    <w:next w:val="Normal"/>
    <w:autoRedefine/>
    <w:uiPriority w:val="99"/>
    <w:rsid w:val="00A67446"/>
    <w:pPr>
      <w:spacing w:after="0"/>
      <w:ind w:left="960"/>
      <w:jc w:val="left"/>
    </w:pPr>
    <w:rPr>
      <w:rFonts w:cs="Calibri"/>
      <w:sz w:val="18"/>
      <w:szCs w:val="18"/>
    </w:rPr>
  </w:style>
  <w:style w:type="paragraph" w:styleId="Sadraj6">
    <w:name w:val="toc 6"/>
    <w:basedOn w:val="Normal"/>
    <w:next w:val="Normal"/>
    <w:autoRedefine/>
    <w:uiPriority w:val="99"/>
    <w:rsid w:val="008861A9"/>
    <w:pPr>
      <w:spacing w:after="0"/>
      <w:ind w:left="1200"/>
      <w:jc w:val="left"/>
    </w:pPr>
    <w:rPr>
      <w:rFonts w:cs="Calibri"/>
      <w:sz w:val="18"/>
      <w:szCs w:val="18"/>
    </w:rPr>
  </w:style>
  <w:style w:type="paragraph" w:styleId="Sadraj7">
    <w:name w:val="toc 7"/>
    <w:basedOn w:val="Normal"/>
    <w:next w:val="Normal"/>
    <w:autoRedefine/>
    <w:uiPriority w:val="99"/>
    <w:rsid w:val="008861A9"/>
    <w:pPr>
      <w:spacing w:after="0"/>
      <w:ind w:left="1440"/>
      <w:jc w:val="left"/>
    </w:pPr>
    <w:rPr>
      <w:rFonts w:cs="Calibri"/>
      <w:sz w:val="18"/>
      <w:szCs w:val="18"/>
    </w:rPr>
  </w:style>
  <w:style w:type="paragraph" w:styleId="Sadraj8">
    <w:name w:val="toc 8"/>
    <w:basedOn w:val="Normal"/>
    <w:next w:val="Normal"/>
    <w:autoRedefine/>
    <w:uiPriority w:val="99"/>
    <w:rsid w:val="008861A9"/>
    <w:pPr>
      <w:spacing w:after="0"/>
      <w:ind w:left="1680"/>
      <w:jc w:val="left"/>
    </w:pPr>
    <w:rPr>
      <w:rFonts w:cs="Calibri"/>
      <w:sz w:val="18"/>
      <w:szCs w:val="18"/>
    </w:rPr>
  </w:style>
  <w:style w:type="paragraph" w:styleId="Sadraj9">
    <w:name w:val="toc 9"/>
    <w:basedOn w:val="Normal"/>
    <w:next w:val="Normal"/>
    <w:autoRedefine/>
    <w:uiPriority w:val="99"/>
    <w:rsid w:val="008861A9"/>
    <w:pPr>
      <w:spacing w:after="0"/>
      <w:ind w:left="1920"/>
      <w:jc w:val="left"/>
    </w:pPr>
    <w:rPr>
      <w:rFonts w:cs="Calibri"/>
      <w:sz w:val="18"/>
      <w:szCs w:val="18"/>
    </w:rPr>
  </w:style>
  <w:style w:type="paragraph" w:styleId="Bezproreda">
    <w:name w:val="No Spacing"/>
    <w:uiPriority w:val="99"/>
    <w:qFormat/>
    <w:rsid w:val="00691979"/>
    <w:pPr>
      <w:jc w:val="both"/>
    </w:pPr>
    <w:rPr>
      <w:color w:val="00000A"/>
      <w:sz w:val="24"/>
      <w:lang w:eastAsia="en-US"/>
    </w:rPr>
  </w:style>
  <w:style w:type="paragraph" w:customStyle="1" w:styleId="sluben">
    <w:name w:val="služben"/>
    <w:basedOn w:val="Bezproreda2"/>
    <w:uiPriority w:val="99"/>
    <w:qFormat/>
    <w:rsid w:val="009B6F3A"/>
  </w:style>
  <w:style w:type="paragraph" w:styleId="Tablicaslika">
    <w:name w:val="table of figures"/>
    <w:basedOn w:val="Normal"/>
    <w:next w:val="Normal"/>
    <w:uiPriority w:val="99"/>
    <w:qFormat/>
    <w:rsid w:val="009B6F3A"/>
    <w:pPr>
      <w:spacing w:after="0"/>
      <w:ind w:left="480" w:hanging="480"/>
      <w:jc w:val="left"/>
    </w:pPr>
    <w:rPr>
      <w:rFonts w:cs="Calibri"/>
      <w:smallCaps/>
      <w:sz w:val="20"/>
      <w:szCs w:val="20"/>
    </w:rPr>
  </w:style>
  <w:style w:type="paragraph" w:customStyle="1" w:styleId="CM8">
    <w:name w:val="CM8"/>
    <w:basedOn w:val="Default"/>
    <w:next w:val="Default"/>
    <w:uiPriority w:val="99"/>
    <w:qFormat/>
    <w:rsid w:val="00715CCD"/>
    <w:pPr>
      <w:widowControl w:val="0"/>
      <w:spacing w:line="271" w:lineRule="atLeast"/>
    </w:pPr>
    <w:rPr>
      <w:rFonts w:ascii="Arial" w:eastAsia="Times New Roman" w:hAnsi="Arial" w:cs="Times New Roman"/>
      <w:color w:val="00000A"/>
      <w:lang w:eastAsia="hr-HR"/>
    </w:rPr>
  </w:style>
  <w:style w:type="paragraph" w:customStyle="1" w:styleId="Tekstfusnote1">
    <w:name w:val="Tekst fusnote1"/>
    <w:basedOn w:val="Normal"/>
    <w:uiPriority w:val="99"/>
    <w:qFormat/>
    <w:rsid w:val="002D6D14"/>
    <w:pPr>
      <w:suppressAutoHyphens/>
      <w:spacing w:after="0" w:line="240" w:lineRule="auto"/>
      <w:textAlignment w:val="baseline"/>
    </w:pPr>
    <w:rPr>
      <w:sz w:val="20"/>
      <w:szCs w:val="20"/>
    </w:rPr>
  </w:style>
  <w:style w:type="paragraph" w:customStyle="1" w:styleId="Tijeloteksta4">
    <w:name w:val="Tijelo teksta4"/>
    <w:basedOn w:val="Normal"/>
    <w:uiPriority w:val="99"/>
    <w:qFormat/>
    <w:rsid w:val="00C973D5"/>
    <w:pPr>
      <w:widowControl w:val="0"/>
      <w:shd w:val="clear" w:color="auto" w:fill="FFFFFF"/>
      <w:spacing w:before="180" w:after="180" w:line="274" w:lineRule="exact"/>
    </w:pPr>
    <w:rPr>
      <w:rFonts w:ascii="Arial" w:hAnsi="Arial" w:cs="Arial"/>
      <w:color w:val="000000"/>
      <w:szCs w:val="24"/>
      <w:lang w:eastAsia="hr-HR"/>
    </w:rPr>
  </w:style>
  <w:style w:type="paragraph" w:customStyle="1" w:styleId="Tijeloteksta20">
    <w:name w:val="Tijelo teksta2"/>
    <w:basedOn w:val="Normal"/>
    <w:uiPriority w:val="99"/>
    <w:qFormat/>
    <w:rsid w:val="00C973D5"/>
    <w:pPr>
      <w:widowControl w:val="0"/>
      <w:shd w:val="clear" w:color="auto" w:fill="FFFFFF"/>
      <w:spacing w:before="180" w:after="180" w:line="274" w:lineRule="exact"/>
    </w:pPr>
    <w:rPr>
      <w:rFonts w:ascii="Arial" w:hAnsi="Arial" w:cs="Arial"/>
      <w:color w:val="000000"/>
      <w:szCs w:val="24"/>
      <w:lang w:eastAsia="hr-HR"/>
    </w:rPr>
  </w:style>
  <w:style w:type="paragraph" w:customStyle="1" w:styleId="Tablecaption30">
    <w:name w:val="Table caption (3)"/>
    <w:basedOn w:val="Normal"/>
    <w:link w:val="Tablecaption3"/>
    <w:uiPriority w:val="99"/>
    <w:qFormat/>
    <w:rsid w:val="006713E2"/>
    <w:pPr>
      <w:widowControl w:val="0"/>
      <w:shd w:val="clear" w:color="auto" w:fill="FFFFFF"/>
      <w:spacing w:after="0" w:line="240" w:lineRule="atLeast"/>
      <w:jc w:val="left"/>
    </w:pPr>
    <w:rPr>
      <w:rFonts w:ascii="Arial" w:hAnsi="Arial" w:cs="Arial"/>
      <w:b/>
      <w:bCs/>
      <w:sz w:val="22"/>
    </w:rPr>
  </w:style>
  <w:style w:type="paragraph" w:customStyle="1" w:styleId="Picturecaption40">
    <w:name w:val="Picture caption (4)"/>
    <w:basedOn w:val="Normal"/>
    <w:link w:val="Picturecaption4"/>
    <w:uiPriority w:val="99"/>
    <w:qFormat/>
    <w:rsid w:val="006E7291"/>
    <w:pPr>
      <w:widowControl w:val="0"/>
      <w:shd w:val="clear" w:color="auto" w:fill="FFFFFF"/>
      <w:spacing w:after="0" w:line="240" w:lineRule="atLeast"/>
      <w:jc w:val="left"/>
    </w:pPr>
    <w:rPr>
      <w:rFonts w:ascii="Franklin Gothic Heavy" w:hAnsi="Franklin Gothic Heavy" w:cs="Franklin Gothic Heavy"/>
      <w:sz w:val="11"/>
      <w:szCs w:val="11"/>
    </w:rPr>
  </w:style>
  <w:style w:type="paragraph" w:customStyle="1" w:styleId="Bodytext180">
    <w:name w:val="Body text (18)"/>
    <w:basedOn w:val="Normal"/>
    <w:link w:val="Bodytext18"/>
    <w:uiPriority w:val="99"/>
    <w:qFormat/>
    <w:rsid w:val="006E7291"/>
    <w:pPr>
      <w:widowControl w:val="0"/>
      <w:shd w:val="clear" w:color="auto" w:fill="FFFFFF"/>
      <w:spacing w:before="60" w:after="0" w:line="394" w:lineRule="exact"/>
      <w:ind w:firstLine="720"/>
    </w:pPr>
    <w:rPr>
      <w:rFonts w:ascii="Arial" w:hAnsi="Arial" w:cs="Arial"/>
      <w:i/>
      <w:iCs/>
      <w:sz w:val="23"/>
      <w:szCs w:val="23"/>
    </w:rPr>
  </w:style>
  <w:style w:type="paragraph" w:customStyle="1" w:styleId="Tijeloteksta3">
    <w:name w:val="Tijelo teksta3"/>
    <w:basedOn w:val="Normal"/>
    <w:uiPriority w:val="99"/>
    <w:qFormat/>
    <w:rsid w:val="00957EBB"/>
    <w:pPr>
      <w:widowControl w:val="0"/>
      <w:shd w:val="clear" w:color="auto" w:fill="FFFFFF"/>
      <w:spacing w:before="60" w:after="0" w:line="278" w:lineRule="exact"/>
    </w:pPr>
    <w:rPr>
      <w:rFonts w:ascii="Arial" w:hAnsi="Arial" w:cs="Arial"/>
    </w:rPr>
  </w:style>
  <w:style w:type="paragraph" w:customStyle="1" w:styleId="Naslov41">
    <w:name w:val="Naslov 41"/>
    <w:basedOn w:val="Normal"/>
    <w:next w:val="Normal"/>
    <w:uiPriority w:val="99"/>
    <w:qFormat/>
    <w:rsid w:val="00B9062D"/>
    <w:pPr>
      <w:keepNext/>
      <w:keepLines/>
      <w:suppressAutoHyphens/>
      <w:spacing w:before="200" w:after="0"/>
      <w:textAlignment w:val="baseline"/>
      <w:outlineLvl w:val="3"/>
    </w:pPr>
    <w:rPr>
      <w:rFonts w:eastAsia="Times New Roman"/>
      <w:bCs/>
      <w:iCs/>
      <w:sz w:val="20"/>
    </w:rPr>
  </w:style>
  <w:style w:type="paragraph" w:customStyle="1" w:styleId="BodyText21">
    <w:name w:val="Body Text 21"/>
    <w:basedOn w:val="Normal"/>
    <w:uiPriority w:val="99"/>
    <w:qFormat/>
    <w:rsid w:val="00043410"/>
    <w:pPr>
      <w:overflowPunct w:val="0"/>
      <w:spacing w:after="0" w:line="240" w:lineRule="auto"/>
      <w:ind w:left="426" w:hanging="426"/>
      <w:textAlignment w:val="baseline"/>
    </w:pPr>
    <w:rPr>
      <w:rFonts w:eastAsia="Times New Roman"/>
      <w:sz w:val="16"/>
      <w:szCs w:val="20"/>
      <w:lang w:eastAsia="hr-HR"/>
    </w:rPr>
  </w:style>
  <w:style w:type="paragraph" w:customStyle="1" w:styleId="Bezproreda1">
    <w:name w:val="Bez proreda1"/>
    <w:link w:val="NoSpacingChar"/>
    <w:uiPriority w:val="99"/>
    <w:qFormat/>
    <w:rsid w:val="00094AE3"/>
    <w:rPr>
      <w:color w:val="00000A"/>
      <w:sz w:val="24"/>
      <w:lang w:val="en-US" w:eastAsia="en-US"/>
    </w:rPr>
  </w:style>
  <w:style w:type="paragraph" w:customStyle="1" w:styleId="Sadrajitablice">
    <w:name w:val="Sadržaji tablice"/>
    <w:basedOn w:val="Normal"/>
    <w:uiPriority w:val="99"/>
    <w:qFormat/>
    <w:rsid w:val="00FB378E"/>
    <w:pPr>
      <w:suppressLineNumbers/>
      <w:suppressAutoHyphens/>
      <w:spacing w:after="0" w:line="240" w:lineRule="auto"/>
      <w:jc w:val="left"/>
    </w:pPr>
    <w:rPr>
      <w:rFonts w:ascii="Times New Roman" w:eastAsia="Times New Roman" w:hAnsi="Times New Roman"/>
      <w:szCs w:val="24"/>
      <w:lang w:val="en-GB" w:eastAsia="ar-SA"/>
    </w:rPr>
  </w:style>
  <w:style w:type="paragraph" w:customStyle="1" w:styleId="m1257402251027514809gmail-t-9-8">
    <w:name w:val="m_1257402251027514809gmail-t-9-8"/>
    <w:basedOn w:val="Normal"/>
    <w:uiPriority w:val="99"/>
    <w:qFormat/>
    <w:rsid w:val="002F6D86"/>
    <w:pPr>
      <w:suppressAutoHyphens/>
      <w:spacing w:before="100" w:after="100" w:line="240" w:lineRule="auto"/>
      <w:jc w:val="left"/>
      <w:textAlignment w:val="baseline"/>
    </w:pPr>
    <w:rPr>
      <w:rFonts w:ascii="Times New Roman" w:eastAsia="Times New Roman" w:hAnsi="Times New Roman"/>
      <w:szCs w:val="24"/>
      <w:lang w:eastAsia="hr-HR"/>
    </w:rPr>
  </w:style>
  <w:style w:type="paragraph" w:customStyle="1" w:styleId="box456673">
    <w:name w:val="box_456673"/>
    <w:basedOn w:val="Normal"/>
    <w:uiPriority w:val="99"/>
    <w:qFormat/>
    <w:rsid w:val="00FB2D5E"/>
    <w:pPr>
      <w:spacing w:beforeAutospacing="1" w:afterAutospacing="1" w:line="240" w:lineRule="auto"/>
      <w:jc w:val="left"/>
    </w:pPr>
    <w:rPr>
      <w:rFonts w:ascii="Times New Roman" w:eastAsia="Times New Roman" w:hAnsi="Times New Roman"/>
      <w:szCs w:val="24"/>
      <w:lang w:eastAsia="hr-HR"/>
    </w:rPr>
  </w:style>
  <w:style w:type="paragraph" w:customStyle="1" w:styleId="Style59">
    <w:name w:val="Style59"/>
    <w:basedOn w:val="Normal"/>
    <w:uiPriority w:val="99"/>
    <w:qFormat/>
    <w:rsid w:val="008B6BCD"/>
    <w:pPr>
      <w:widowControl w:val="0"/>
      <w:spacing w:after="0" w:line="240" w:lineRule="auto"/>
      <w:jc w:val="center"/>
    </w:pPr>
    <w:rPr>
      <w:rFonts w:ascii="Times New Roman" w:eastAsia="Times New Roman" w:hAnsi="Times New Roman"/>
      <w:szCs w:val="24"/>
      <w:lang w:eastAsia="hr-HR"/>
    </w:rPr>
  </w:style>
  <w:style w:type="paragraph" w:customStyle="1" w:styleId="Style78">
    <w:name w:val="Style78"/>
    <w:basedOn w:val="Normal"/>
    <w:uiPriority w:val="99"/>
    <w:qFormat/>
    <w:rsid w:val="008B6BCD"/>
    <w:pPr>
      <w:widowControl w:val="0"/>
      <w:spacing w:after="0" w:line="240" w:lineRule="auto"/>
      <w:jc w:val="left"/>
    </w:pPr>
    <w:rPr>
      <w:rFonts w:ascii="Times New Roman" w:eastAsia="Times New Roman" w:hAnsi="Times New Roman"/>
      <w:szCs w:val="24"/>
      <w:lang w:eastAsia="hr-HR"/>
    </w:rPr>
  </w:style>
  <w:style w:type="paragraph" w:customStyle="1" w:styleId="Style54">
    <w:name w:val="Style54"/>
    <w:basedOn w:val="Normal"/>
    <w:uiPriority w:val="99"/>
    <w:qFormat/>
    <w:rsid w:val="008B6BCD"/>
    <w:pPr>
      <w:widowControl w:val="0"/>
      <w:spacing w:after="0" w:line="240" w:lineRule="auto"/>
      <w:jc w:val="left"/>
    </w:pPr>
    <w:rPr>
      <w:rFonts w:ascii="Times New Roman" w:eastAsia="Times New Roman" w:hAnsi="Times New Roman"/>
      <w:szCs w:val="24"/>
      <w:lang w:eastAsia="hr-HR"/>
    </w:rPr>
  </w:style>
  <w:style w:type="paragraph" w:customStyle="1" w:styleId="Style37">
    <w:name w:val="Style37"/>
    <w:basedOn w:val="Normal"/>
    <w:uiPriority w:val="99"/>
    <w:qFormat/>
    <w:rsid w:val="00D97D6A"/>
    <w:pPr>
      <w:widowControl w:val="0"/>
      <w:spacing w:after="0" w:line="278" w:lineRule="exact"/>
    </w:pPr>
    <w:rPr>
      <w:rFonts w:ascii="Times New Roman" w:eastAsia="Times New Roman" w:hAnsi="Times New Roman"/>
      <w:szCs w:val="24"/>
      <w:lang w:eastAsia="hr-HR"/>
    </w:rPr>
  </w:style>
  <w:style w:type="paragraph" w:customStyle="1" w:styleId="Sadrajokvira">
    <w:name w:val="Sadržaj okvira"/>
    <w:basedOn w:val="Normal"/>
    <w:qFormat/>
  </w:style>
  <w:style w:type="table" w:styleId="Reetkatablice">
    <w:name w:val="Table Grid"/>
    <w:basedOn w:val="Obinatablica"/>
    <w:uiPriority w:val="99"/>
    <w:rsid w:val="001B70D9"/>
    <w:rPr>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
    <w:name w:val="Rešetka tablice1"/>
    <w:uiPriority w:val="99"/>
    <w:rsid w:val="00532A23"/>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
    <w:name w:val="Rešetka tablice2"/>
    <w:uiPriority w:val="99"/>
    <w:rsid w:val="00FA4789"/>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3">
    <w:name w:val="Rešetka tablice3"/>
    <w:uiPriority w:val="99"/>
    <w:rsid w:val="00F80D16"/>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4">
    <w:name w:val="Rešetka tablice4"/>
    <w:uiPriority w:val="99"/>
    <w:rsid w:val="007678F1"/>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5">
    <w:name w:val="Rešetka tablice5"/>
    <w:uiPriority w:val="99"/>
    <w:rsid w:val="00E615FA"/>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1">
    <w:name w:val="Rešetka tablice21"/>
    <w:uiPriority w:val="99"/>
    <w:rsid w:val="00A32B02"/>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6">
    <w:name w:val="Rešetka tablice6"/>
    <w:uiPriority w:val="99"/>
    <w:rsid w:val="00A47ABB"/>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7">
    <w:name w:val="Rešetka tablice7"/>
    <w:uiPriority w:val="99"/>
    <w:rsid w:val="00C32799"/>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41">
    <w:name w:val="Rešetka tablice41"/>
    <w:uiPriority w:val="99"/>
    <w:rsid w:val="00BC4D1A"/>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8">
    <w:name w:val="Rešetka tablice8"/>
    <w:uiPriority w:val="99"/>
    <w:rsid w:val="00A86E8E"/>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9">
    <w:name w:val="Rešetka tablice9"/>
    <w:uiPriority w:val="99"/>
    <w:rsid w:val="008F3BFA"/>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0">
    <w:name w:val="Rešetka tablice10"/>
    <w:uiPriority w:val="99"/>
    <w:rsid w:val="007539D8"/>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1">
    <w:name w:val="Rešetka tablice11"/>
    <w:uiPriority w:val="99"/>
    <w:rsid w:val="00440651"/>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2">
    <w:name w:val="Rešetka tablice12"/>
    <w:uiPriority w:val="99"/>
    <w:rsid w:val="00794549"/>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3">
    <w:name w:val="Rešetka tablice13"/>
    <w:uiPriority w:val="99"/>
    <w:rsid w:val="00313642"/>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11">
    <w:name w:val="Rešetka tablice111"/>
    <w:uiPriority w:val="99"/>
    <w:rsid w:val="00065DE8"/>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4">
    <w:name w:val="Rešetka tablice14"/>
    <w:uiPriority w:val="99"/>
    <w:rsid w:val="000337C7"/>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01">
    <w:name w:val="Rešetka tablice101"/>
    <w:uiPriority w:val="99"/>
    <w:rsid w:val="009F6780"/>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12">
    <w:name w:val="Rešetka tablice112"/>
    <w:uiPriority w:val="99"/>
    <w:rsid w:val="00332F43"/>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02">
    <w:name w:val="Rešetka tablice102"/>
    <w:uiPriority w:val="99"/>
    <w:rsid w:val="000D70E3"/>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31">
    <w:name w:val="Rešetka tablice131"/>
    <w:uiPriority w:val="99"/>
    <w:rsid w:val="00A81B1E"/>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71">
    <w:name w:val="Rešetka tablice71"/>
    <w:uiPriority w:val="99"/>
    <w:rsid w:val="00E725F3"/>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5">
    <w:name w:val="Rešetka tablice15"/>
    <w:uiPriority w:val="99"/>
    <w:rsid w:val="00663B6F"/>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6">
    <w:name w:val="Rešetka tablice16"/>
    <w:uiPriority w:val="99"/>
    <w:rsid w:val="00AB49CC"/>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7">
    <w:name w:val="Rešetka tablice17"/>
    <w:uiPriority w:val="99"/>
    <w:rsid w:val="00566D4F"/>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21">
    <w:name w:val="Rešetka tablice121"/>
    <w:uiPriority w:val="99"/>
    <w:rsid w:val="004A6DFD"/>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111">
    <w:name w:val="Rešetka tablice1111"/>
    <w:uiPriority w:val="99"/>
    <w:rsid w:val="007A61FB"/>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61">
    <w:name w:val="Rešetka tablice161"/>
    <w:uiPriority w:val="99"/>
    <w:rsid w:val="002B6FC8"/>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211">
    <w:name w:val="Rešetka tablice1211"/>
    <w:uiPriority w:val="99"/>
    <w:rsid w:val="003357A2"/>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1111">
    <w:name w:val="Rešetka tablice11111"/>
    <w:uiPriority w:val="99"/>
    <w:rsid w:val="00650D63"/>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8">
    <w:name w:val="Rešetka tablice18"/>
    <w:uiPriority w:val="99"/>
    <w:rsid w:val="00FE1D72"/>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51">
    <w:name w:val="Rešetka tablice151"/>
    <w:uiPriority w:val="99"/>
    <w:rsid w:val="009E058E"/>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9">
    <w:name w:val="Rešetka tablice19"/>
    <w:uiPriority w:val="99"/>
    <w:rsid w:val="00240A09"/>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0">
    <w:name w:val="Rešetka tablice20"/>
    <w:uiPriority w:val="99"/>
    <w:rsid w:val="00892F69"/>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2">
    <w:name w:val="Rešetka tablice22"/>
    <w:uiPriority w:val="99"/>
    <w:rsid w:val="00892F69"/>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011">
    <w:name w:val="Rešetka tablice1011"/>
    <w:uiPriority w:val="99"/>
    <w:rsid w:val="00AF3753"/>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121">
    <w:name w:val="Rešetka tablice1121"/>
    <w:uiPriority w:val="99"/>
    <w:rsid w:val="0005364E"/>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71">
    <w:name w:val="Rešetka tablice171"/>
    <w:uiPriority w:val="99"/>
    <w:rsid w:val="00D67907"/>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2111">
    <w:name w:val="Rešetka tablice12111"/>
    <w:uiPriority w:val="99"/>
    <w:rsid w:val="00206648"/>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3">
    <w:name w:val="Rešetka tablice23"/>
    <w:uiPriority w:val="99"/>
    <w:rsid w:val="00331DF8"/>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311">
    <w:name w:val="Rešetka tablice1311"/>
    <w:uiPriority w:val="99"/>
    <w:rsid w:val="005A6E5C"/>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511">
    <w:name w:val="Rešetka tablice1511"/>
    <w:uiPriority w:val="99"/>
    <w:rsid w:val="00CE09C3"/>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91">
    <w:name w:val="Rešetka tablice191"/>
    <w:uiPriority w:val="99"/>
    <w:rsid w:val="00625BCA"/>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01">
    <w:name w:val="Rešetka tablice201"/>
    <w:uiPriority w:val="99"/>
    <w:rsid w:val="00997904"/>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21">
    <w:name w:val="Rešetka tablice221"/>
    <w:uiPriority w:val="99"/>
    <w:rsid w:val="00997904"/>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611">
    <w:name w:val="Rešetka tablice1611"/>
    <w:uiPriority w:val="99"/>
    <w:rsid w:val="00F10B89"/>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4">
    <w:name w:val="Rešetka tablice24"/>
    <w:uiPriority w:val="99"/>
    <w:rsid w:val="00F10B89"/>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0111">
    <w:name w:val="Rešetka tablice10111"/>
    <w:uiPriority w:val="99"/>
    <w:rsid w:val="002A14CE"/>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1211">
    <w:name w:val="Rešetka tablice11211"/>
    <w:uiPriority w:val="99"/>
    <w:rsid w:val="002A14CE"/>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1112">
    <w:name w:val="Rešetka tablice11112"/>
    <w:uiPriority w:val="99"/>
    <w:rsid w:val="00496FDE"/>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6111">
    <w:name w:val="Rešetka tablice16111"/>
    <w:uiPriority w:val="99"/>
    <w:rsid w:val="009533B0"/>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41">
    <w:name w:val="Rešetka tablice241"/>
    <w:uiPriority w:val="99"/>
    <w:rsid w:val="00AD77E8"/>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711">
    <w:name w:val="Rešetka tablice1711"/>
    <w:uiPriority w:val="99"/>
    <w:rsid w:val="00F00C16"/>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021">
    <w:name w:val="Rešetka tablice1021"/>
    <w:uiPriority w:val="99"/>
    <w:rsid w:val="00AB0636"/>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2112">
    <w:name w:val="Rešetka tablice12112"/>
    <w:uiPriority w:val="99"/>
    <w:rsid w:val="00560F3D"/>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25">
    <w:name w:val="Rešetka tablice25"/>
    <w:uiPriority w:val="99"/>
    <w:rsid w:val="0015335A"/>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312">
    <w:name w:val="Rešetka tablice1312"/>
    <w:uiPriority w:val="99"/>
    <w:rsid w:val="000D3D60"/>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11121">
    <w:name w:val="Rešetka tablice111121"/>
    <w:uiPriority w:val="99"/>
    <w:rsid w:val="00363DD3"/>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59.jpeg"/><Relationship Id="rId21" Type="http://schemas.openxmlformats.org/officeDocument/2006/relationships/header" Target="header1.xm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1.png"/><Relationship Id="rId68" Type="http://schemas.openxmlformats.org/officeDocument/2006/relationships/footer" Target="footer6.xml"/><Relationship Id="rId84" Type="http://schemas.openxmlformats.org/officeDocument/2006/relationships/hyperlink" Target="https://hr.wikipedia.org/wiki/&#352;irenje_morskog_dna" TargetMode="External"/><Relationship Id="rId89" Type="http://schemas.openxmlformats.org/officeDocument/2006/relationships/hyperlink" Target="https://hr.wikipedia.org/wiki/Euroazija" TargetMode="External"/><Relationship Id="rId112" Type="http://schemas.openxmlformats.org/officeDocument/2006/relationships/image" Target="media/image56.png"/><Relationship Id="rId16" Type="http://schemas.openxmlformats.org/officeDocument/2006/relationships/image" Target="media/image10.jpeg"/><Relationship Id="rId107" Type="http://schemas.openxmlformats.org/officeDocument/2006/relationships/footer" Target="footer8.xml"/><Relationship Id="rId11" Type="http://schemas.openxmlformats.org/officeDocument/2006/relationships/image" Target="media/image5.png"/><Relationship Id="rId32" Type="http://schemas.openxmlformats.org/officeDocument/2006/relationships/footer" Target="footer4.xml"/><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hyperlink" Target="https://hr.wikipedia.org/wiki/Brana" TargetMode="External"/><Relationship Id="rId74" Type="http://schemas.openxmlformats.org/officeDocument/2006/relationships/hyperlink" Target="https://hr.wikipedia.org/wiki/Zemljina_kora" TargetMode="External"/><Relationship Id="rId79" Type="http://schemas.openxmlformats.org/officeDocument/2006/relationships/hyperlink" Target="https://hr.wikipedia.org/wiki/Hipocentar" TargetMode="External"/><Relationship Id="rId102" Type="http://schemas.openxmlformats.org/officeDocument/2006/relationships/image" Target="media/image52.png"/><Relationship Id="rId5" Type="http://schemas.openxmlformats.org/officeDocument/2006/relationships/footnotes" Target="footnotes.xml"/><Relationship Id="rId90" Type="http://schemas.openxmlformats.org/officeDocument/2006/relationships/hyperlink" Target="https://hr.wikipedia.org/wiki/Europa" TargetMode="External"/><Relationship Id="rId95" Type="http://schemas.openxmlformats.org/officeDocument/2006/relationships/hyperlink" Target="https://hr.wikipedia.org/wiki/Sibir" TargetMode="External"/><Relationship Id="rId22" Type="http://schemas.openxmlformats.org/officeDocument/2006/relationships/footer" Target="footer1.xml"/><Relationship Id="rId27" Type="http://schemas.openxmlformats.org/officeDocument/2006/relationships/image" Target="media/image16.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2.png"/><Relationship Id="rId69" Type="http://schemas.openxmlformats.org/officeDocument/2006/relationships/image" Target="media/image43.png"/><Relationship Id="rId113" Type="http://schemas.openxmlformats.org/officeDocument/2006/relationships/image" Target="media/image57.png"/><Relationship Id="rId118" Type="http://schemas.openxmlformats.org/officeDocument/2006/relationships/header" Target="header11.xml"/><Relationship Id="rId80" Type="http://schemas.openxmlformats.org/officeDocument/2006/relationships/hyperlink" Target="https://hr.wikipedia.org/wiki/Epicentar" TargetMode="External"/><Relationship Id="rId85" Type="http://schemas.openxmlformats.org/officeDocument/2006/relationships/hyperlink" Target="https://hr.wikipedia.org/wiki/Klizi&#353;te" TargetMode="External"/><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hyperlink" Target="https://hr.wikipedia.org/wiki/Led" TargetMode="External"/><Relationship Id="rId103" Type="http://schemas.openxmlformats.org/officeDocument/2006/relationships/image" Target="media/image53.png"/><Relationship Id="rId108" Type="http://schemas.openxmlformats.org/officeDocument/2006/relationships/image" Target="media/image54.png"/><Relationship Id="rId54" Type="http://schemas.openxmlformats.org/officeDocument/2006/relationships/image" Target="media/image39.png"/><Relationship Id="rId70" Type="http://schemas.openxmlformats.org/officeDocument/2006/relationships/image" Target="media/image44.png"/><Relationship Id="rId75" Type="http://schemas.openxmlformats.org/officeDocument/2006/relationships/hyperlink" Target="https://hr.wikipedia.org/wiki/Energija" TargetMode="External"/><Relationship Id="rId91" Type="http://schemas.openxmlformats.org/officeDocument/2006/relationships/hyperlink" Target="https://hr.wikipedia.org/wiki/Azija" TargetMode="External"/><Relationship Id="rId96" Type="http://schemas.openxmlformats.org/officeDocument/2006/relationships/hyperlink" Target="https://hr.wikipedia.org/w/index.php?title=Srednjeatlanstki_hrbat&amp;action=edit&amp;redlink=1"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2.xml"/><Relationship Id="rId28" Type="http://schemas.openxmlformats.org/officeDocument/2006/relationships/image" Target="media/image17.png"/><Relationship Id="rId49" Type="http://schemas.openxmlformats.org/officeDocument/2006/relationships/image" Target="media/image34.jpeg"/><Relationship Id="rId114" Type="http://schemas.openxmlformats.org/officeDocument/2006/relationships/image" Target="media/image58.png"/><Relationship Id="rId119" Type="http://schemas.openxmlformats.org/officeDocument/2006/relationships/footer" Target="footer11.xml"/><Relationship Id="rId44" Type="http://schemas.openxmlformats.org/officeDocument/2006/relationships/image" Target="media/image29.png"/><Relationship Id="rId60" Type="http://schemas.openxmlformats.org/officeDocument/2006/relationships/hyperlink" Target="https://hr.wikipedia.org/wiki/Vodotok" TargetMode="External"/><Relationship Id="rId65" Type="http://schemas.openxmlformats.org/officeDocument/2006/relationships/header" Target="header5.xml"/><Relationship Id="rId81" Type="http://schemas.openxmlformats.org/officeDocument/2006/relationships/hyperlink" Target="https://hr.wikipedia.org/wiki/Mercalli-Cancani-Siebergova_ljestvica" TargetMode="External"/><Relationship Id="rId86" Type="http://schemas.openxmlformats.org/officeDocument/2006/relationships/hyperlink" Target="https://hr.wikipedia.org/wiki/Hipocentar"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24.png"/><Relationship Id="rId109" Type="http://schemas.openxmlformats.org/officeDocument/2006/relationships/header" Target="header9.xml"/><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hyperlink" Target="https://hr.wikipedia.org/wiki/Jakost" TargetMode="External"/><Relationship Id="rId97" Type="http://schemas.openxmlformats.org/officeDocument/2006/relationships/image" Target="media/image47.png"/><Relationship Id="rId104" Type="http://schemas.openxmlformats.org/officeDocument/2006/relationships/header" Target="header7.xml"/><Relationship Id="rId120"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45.png"/><Relationship Id="rId92" Type="http://schemas.openxmlformats.org/officeDocument/2006/relationships/hyperlink" Target="https://hr.wikipedia.org/wiki/Indija" TargetMode="External"/><Relationship Id="rId2" Type="http://schemas.openxmlformats.org/officeDocument/2006/relationships/styles" Target="styles.xml"/><Relationship Id="rId29" Type="http://schemas.openxmlformats.org/officeDocument/2006/relationships/header" Target="header3.xml"/><Relationship Id="rId24" Type="http://schemas.openxmlformats.org/officeDocument/2006/relationships/footer" Target="footer2.xml"/><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footer" Target="footer5.xml"/><Relationship Id="rId87" Type="http://schemas.openxmlformats.org/officeDocument/2006/relationships/hyperlink" Target="https://hr.wikipedia.org/wiki/Epicentar" TargetMode="External"/><Relationship Id="rId110" Type="http://schemas.openxmlformats.org/officeDocument/2006/relationships/footer" Target="footer9.xml"/><Relationship Id="rId115" Type="http://schemas.openxmlformats.org/officeDocument/2006/relationships/header" Target="header10.xml"/><Relationship Id="rId61" Type="http://schemas.openxmlformats.org/officeDocument/2006/relationships/hyperlink" Target="https://hr.wikipedia.org/wiki/Potres" TargetMode="External"/><Relationship Id="rId82" Type="http://schemas.openxmlformats.org/officeDocument/2006/relationships/hyperlink" Target="https://hr.wikipedia.org/wiki/Litosfera" TargetMode="External"/><Relationship Id="rId19" Type="http://schemas.openxmlformats.org/officeDocument/2006/relationships/hyperlink" Target="mailto:ured@os-klostar-podravski.skole.hr" TargetMode="External"/><Relationship Id="rId14" Type="http://schemas.openxmlformats.org/officeDocument/2006/relationships/image" Target="media/image8.png"/><Relationship Id="rId30" Type="http://schemas.openxmlformats.org/officeDocument/2006/relationships/footer" Target="footer3.xml"/><Relationship Id="rId35" Type="http://schemas.openxmlformats.org/officeDocument/2006/relationships/image" Target="media/image20.png"/><Relationship Id="rId56" Type="http://schemas.openxmlformats.org/officeDocument/2006/relationships/hyperlink" Target="https://hr.wikipedia.org/wiki/Voda" TargetMode="External"/><Relationship Id="rId77" Type="http://schemas.openxmlformats.org/officeDocument/2006/relationships/hyperlink" Target="https://hr.wikipedia.org/wiki/Richterova_ljestvica" TargetMode="External"/><Relationship Id="rId100" Type="http://schemas.openxmlformats.org/officeDocument/2006/relationships/image" Target="media/image50.png"/><Relationship Id="rId105" Type="http://schemas.openxmlformats.org/officeDocument/2006/relationships/footer" Target="footer7.xml"/><Relationship Id="rId8" Type="http://schemas.openxmlformats.org/officeDocument/2006/relationships/image" Target="media/image2.png"/><Relationship Id="rId51" Type="http://schemas.openxmlformats.org/officeDocument/2006/relationships/image" Target="media/image36.png"/><Relationship Id="rId72" Type="http://schemas.openxmlformats.org/officeDocument/2006/relationships/image" Target="media/image46.png"/><Relationship Id="rId93" Type="http://schemas.openxmlformats.org/officeDocument/2006/relationships/hyperlink" Target="https://hr.wikipedia.org/wiki/Arapski_poluotok" TargetMode="External"/><Relationship Id="rId98" Type="http://schemas.openxmlformats.org/officeDocument/2006/relationships/image" Target="media/image48.png"/><Relationship Id="rId121"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4.png"/><Relationship Id="rId46" Type="http://schemas.openxmlformats.org/officeDocument/2006/relationships/image" Target="media/image31.png"/><Relationship Id="rId67" Type="http://schemas.openxmlformats.org/officeDocument/2006/relationships/header" Target="header6.xml"/><Relationship Id="rId116" Type="http://schemas.openxmlformats.org/officeDocument/2006/relationships/footer" Target="footer10.xml"/><Relationship Id="rId20" Type="http://schemas.openxmlformats.org/officeDocument/2006/relationships/image" Target="media/image13.png"/><Relationship Id="rId41" Type="http://schemas.openxmlformats.org/officeDocument/2006/relationships/image" Target="media/image26.png"/><Relationship Id="rId62" Type="http://schemas.openxmlformats.org/officeDocument/2006/relationships/hyperlink" Target="https://hr.wikipedia.org/wiki/Republika_Hrvatska" TargetMode="External"/><Relationship Id="rId83" Type="http://schemas.openxmlformats.org/officeDocument/2006/relationships/hyperlink" Target="https://hr.wikipedia.org/wiki/Subdukcija" TargetMode="External"/><Relationship Id="rId88" Type="http://schemas.openxmlformats.org/officeDocument/2006/relationships/hyperlink" Target="https://hr.wikipedia.org/wiki/Litosferne_plo&#269;e" TargetMode="External"/><Relationship Id="rId111" Type="http://schemas.openxmlformats.org/officeDocument/2006/relationships/image" Target="media/image55.png"/><Relationship Id="rId15" Type="http://schemas.openxmlformats.org/officeDocument/2006/relationships/image" Target="media/image9.jpeg"/><Relationship Id="rId36" Type="http://schemas.openxmlformats.org/officeDocument/2006/relationships/image" Target="media/image21.jpeg"/><Relationship Id="rId57" Type="http://schemas.openxmlformats.org/officeDocument/2006/relationships/hyperlink" Target="https://hr.wikipedia.org/wiki/Oborine" TargetMode="External"/><Relationship Id="rId106" Type="http://schemas.openxmlformats.org/officeDocument/2006/relationships/header" Target="header8.xml"/><Relationship Id="rId10" Type="http://schemas.openxmlformats.org/officeDocument/2006/relationships/image" Target="media/image4.png"/><Relationship Id="rId31" Type="http://schemas.openxmlformats.org/officeDocument/2006/relationships/header" Target="header4.xml"/><Relationship Id="rId52" Type="http://schemas.openxmlformats.org/officeDocument/2006/relationships/image" Target="media/image37.png"/><Relationship Id="rId73" Type="http://schemas.openxmlformats.org/officeDocument/2006/relationships/hyperlink" Target="https://hr.wikipedia.org/wiki/Tektonska_plo&#269;a" TargetMode="External"/><Relationship Id="rId78" Type="http://schemas.openxmlformats.org/officeDocument/2006/relationships/hyperlink" Target="https://hr.wikipedia.org/wiki/Dubina" TargetMode="External"/><Relationship Id="rId94" Type="http://schemas.openxmlformats.org/officeDocument/2006/relationships/hyperlink" Target="https://hr.wikipedia.org/w/index.php?title=Verkojansk&amp;action=edit&amp;redlink=1" TargetMode="External"/><Relationship Id="rId99" Type="http://schemas.openxmlformats.org/officeDocument/2006/relationships/image" Target="media/image49.png"/><Relationship Id="rId101"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223</Pages>
  <Words>51768</Words>
  <Characters>295079</Characters>
  <Application>Microsoft Office Word</Application>
  <DocSecurity>0</DocSecurity>
  <Lines>2458</Lines>
  <Paragraphs>692</Paragraphs>
  <ScaleCrop>false</ScaleCrop>
  <Company/>
  <LinksUpToDate>false</LinksUpToDate>
  <CharactersWithSpaces>346155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Procjena rizika od velikih nesreća za Općinu Kloštar Podravski 2018</dc:title>
  <dc:subject/>
  <dc:creator>PC1</dc:creator>
  <dc:description/>
  <cp:lastModifiedBy>Opcina Klostar Podravski</cp:lastModifiedBy>
  <cp:revision>2</cp:revision>
  <cp:lastPrinted>2018-03-29T12:07:00Z</cp:lastPrinted>
  <dcterms:created xsi:type="dcterms:W3CDTF">2020-04-23T07:58:00Z</dcterms:created>
  <dcterms:modified xsi:type="dcterms:W3CDTF">2020-04-23T07:58:00Z</dcterms:modified>
  <dc:language>hr-HR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