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ind w:firstLine="708"/>
        <w:jc w:val="both"/>
        <w:rPr/>
      </w:pPr>
      <w:r>
        <w:rPr>
          <w:rFonts w:ascii="Times New Roman" w:hAnsi="Times New Roman"/>
          <w:sz w:val="20"/>
          <w:szCs w:val="20"/>
        </w:rPr>
        <w:t>Na temelju članka 51. Odluke o komunalnom redu na području Općine Kloštar Podravski („Narodne novine“ broj 17.09. i 15/13) i članka 32. Statuta Općine Kloštar Podravski („Službeni glasnik Koprivničko-križevačke županije“ broj 6/13. i 3/18), Općinsko vijeće Općine Kloštar Podravski na 18. sjednici, održanoj 27. ožujka donijelo je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PRAVILNIK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kriterijima za određivanje naknada za postavljanje reklama i reklamnih panoa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Članak 1.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Ovim se Pravilnikom utvrđuju kriteriji za određivanje naknada za postavljanje reklama i reklamnih panoa uz javne površine i na javnim površinama na području Općine Kloštar Podravski.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Članak 2.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Visina naknada za postavljanje reklama i reklamnih panoa određuju se prema: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-vrsti reklame i reklamnog panoa koji se postavlja,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-reklamnoj površini reklame i reklamnog panoa.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Članak 3.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Vrste reklama i reklamnih panoa koji se postavljaju utvrđeni su u Tabeli iz članka 5. stavka 1. ovog Pravilnika.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postavljanje osvjetljenih reklama i reklamnih panoa naknada se uvećava za 20% od jediničnog iznosa utvrđenog u Tabeli 1. iz stavka ovog članka.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Članak 4.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Naknada za postavljanje reklama i reklamnih panoa obračunava se mjesečno.</w:t>
      </w:r>
    </w:p>
    <w:p>
      <w:pPr>
        <w:pStyle w:val="Normal"/>
        <w:spacing w:before="0" w:after="0"/>
        <w:ind w:firstLine="708"/>
        <w:rPr>
          <w:rFonts w:ascii="Times New Roman" w:hAnsi="Times New Roman"/>
          <w:bCs/>
          <w:color w:val="222222"/>
          <w:sz w:val="20"/>
          <w:szCs w:val="20"/>
          <w:highlight w:val="white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Visina naknade, s obzirom na reklamnu površinu reklame i reklamnog panoa, određuje se prema </w:t>
      </w:r>
      <w:r>
        <w:rPr>
          <w:rFonts w:ascii="Times New Roman" w:hAnsi="Times New Roman"/>
          <w:bCs/>
          <w:color w:val="222222"/>
          <w:sz w:val="20"/>
          <w:szCs w:val="20"/>
          <w:shd w:fill="FFFFFF" w:val="clear"/>
        </w:rPr>
        <w:t>m</w:t>
      </w:r>
      <w:r>
        <w:rPr>
          <w:rFonts w:ascii="Times New Roman" w:hAnsi="Times New Roman"/>
          <w:bCs/>
          <w:color w:val="222222"/>
          <w:sz w:val="20"/>
          <w:szCs w:val="20"/>
          <w:shd w:fill="FFFFFF" w:val="clear"/>
          <w:vertAlign w:val="superscript"/>
        </w:rPr>
        <w:t>2.</w:t>
      </w:r>
    </w:p>
    <w:p>
      <w:pPr>
        <w:pStyle w:val="Normal"/>
        <w:spacing w:before="0" w:after="0"/>
        <w:ind w:firstLine="708"/>
        <w:rPr>
          <w:rFonts w:ascii="Times New Roman" w:hAnsi="Times New Roman"/>
          <w:bCs/>
          <w:color w:val="222222"/>
          <w:sz w:val="20"/>
          <w:szCs w:val="20"/>
          <w:highlight w:val="white"/>
          <w:vertAlign w:val="superscript"/>
        </w:rPr>
      </w:pPr>
      <w:r>
        <w:rPr>
          <w:rFonts w:ascii="Times New Roman" w:hAnsi="Times New Roman"/>
          <w:bCs/>
          <w:color w:val="222222"/>
          <w:sz w:val="20"/>
          <w:szCs w:val="20"/>
          <w:highlight w:val="white"/>
          <w:vertAlign w:val="superscript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Članak 5.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Visina naknade za postavljanje reklama i reklamnih panoa na javne površine utvrđuje se u Tabeli kako slijedi: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Reetkatablice"/>
        <w:tblW w:w="7655" w:type="dxa"/>
        <w:jc w:val="left"/>
        <w:tblInd w:w="137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2"/>
        <w:gridCol w:w="2360"/>
        <w:gridCol w:w="2413"/>
      </w:tblGrid>
      <w:tr>
        <w:trPr/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VRSTE REKLAMA, REKLAMNIH PANOA I PLAKATI</w:t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NAČIN OBRAČUNA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VISINA NAKNADE NA JAVNIM POVRŠINAMA kn/</w:t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shd w:fill="FFFFFF" w:val="clear"/>
              </w:rPr>
              <w:t xml:space="preserve"> m</w:t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shd w:fill="FFFFFF" w:val="clear"/>
                <w:vertAlign w:val="superscript"/>
              </w:rPr>
              <w:t>2</w:t>
            </w:r>
          </w:p>
        </w:tc>
      </w:tr>
      <w:tr>
        <w:trPr/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1.reklamne zastave</w:t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mjesečno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>
        <w:trPr/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2.reklamna platna na građevinskim skela i građevinama</w:t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mjesečno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</w:tr>
      <w:tr>
        <w:trPr/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3.transparenti</w:t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mjesečno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>
        <w:trPr/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4.oslikane reklamne poruke (na pročeljima, zidovima, ogradama)</w:t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mjesečno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</w:tr>
      <w:tr>
        <w:trPr/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5.reklamni natpisi, reklamne ploče</w:t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mjesečno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128,00</w:t>
            </w:r>
          </w:p>
        </w:tc>
      </w:tr>
      <w:tr>
        <w:trPr/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6.putokazni reklamni panoi</w:t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mjesečno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</w:tr>
      <w:tr>
        <w:trPr/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7.veliki reklamni panoi (jumbo i slično),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-veliki reklamni panoi na građevini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-samostojeći od 6 </w:t>
            </w:r>
            <w:r>
              <w:rPr>
                <w:rFonts w:ascii="Times New Roman" w:hAnsi="Times New Roman"/>
                <w:bCs/>
                <w:color w:val="222222"/>
                <w:sz w:val="20"/>
                <w:szCs w:val="20"/>
                <w:shd w:fill="FFFFFF" w:val="clear"/>
              </w:rPr>
              <w:t>m</w:t>
            </w:r>
            <w:r>
              <w:rPr>
                <w:rFonts w:ascii="Times New Roman" w:hAnsi="Times New Roman"/>
                <w:bCs/>
                <w:color w:val="222222"/>
                <w:sz w:val="20"/>
                <w:szCs w:val="20"/>
                <w:shd w:fill="FFFFFF" w:val="clear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12  </w:t>
            </w:r>
            <w:r>
              <w:rPr>
                <w:rFonts w:ascii="Times New Roman" w:hAnsi="Times New Roman"/>
                <w:bCs/>
                <w:color w:val="222222"/>
                <w:sz w:val="20"/>
                <w:szCs w:val="20"/>
                <w:shd w:fill="FFFFFF" w:val="clear"/>
              </w:rPr>
              <w:t>m</w:t>
            </w:r>
            <w:r>
              <w:rPr>
                <w:rFonts w:ascii="Times New Roman" w:hAnsi="Times New Roman"/>
                <w:bCs/>
                <w:color w:val="222222"/>
                <w:sz w:val="20"/>
                <w:szCs w:val="20"/>
                <w:shd w:fill="FFFFFF" w:val="clear"/>
                <w:vertAlign w:val="superscript"/>
              </w:rPr>
              <w:t>2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mjesečno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46,00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</w:tr>
      <w:tr>
        <w:trPr/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veliki reklamni panoi od 12 </w:t>
            </w:r>
            <w:r>
              <w:rPr>
                <w:rFonts w:ascii="Times New Roman" w:hAnsi="Times New Roman"/>
                <w:bCs/>
                <w:color w:val="222222"/>
                <w:sz w:val="20"/>
                <w:szCs w:val="20"/>
                <w:shd w:fill="FFFFFF" w:val="clear"/>
              </w:rPr>
              <w:t>m</w:t>
            </w:r>
            <w:r>
              <w:rPr>
                <w:rFonts w:ascii="Times New Roman" w:hAnsi="Times New Roman"/>
                <w:bCs/>
                <w:color w:val="222222"/>
                <w:sz w:val="20"/>
                <w:szCs w:val="20"/>
                <w:shd w:fill="FFFFFF" w:val="clear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60 </w:t>
            </w:r>
            <w:r>
              <w:rPr>
                <w:rFonts w:ascii="Times New Roman" w:hAnsi="Times New Roman"/>
                <w:bCs/>
                <w:color w:val="222222"/>
                <w:sz w:val="20"/>
                <w:szCs w:val="20"/>
                <w:shd w:fill="FFFFFF" w:val="clear"/>
              </w:rPr>
              <w:t>m</w:t>
            </w:r>
            <w:r>
              <w:rPr>
                <w:rFonts w:ascii="Times New Roman" w:hAnsi="Times New Roman"/>
                <w:bCs/>
                <w:color w:val="222222"/>
                <w:sz w:val="20"/>
                <w:szCs w:val="20"/>
                <w:shd w:fill="FFFFFF" w:val="clear"/>
                <w:vertAlign w:val="superscript"/>
              </w:rPr>
              <w:t>2</w:t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mjesečno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>
        <w:trPr/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reklamni uređaji i konstrukcije</w:t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mjesečno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>
        <w:trPr/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. plakati </w:t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mjesečno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128,00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Visina naknada za postavljanje reklama i reklamnih panoa uz javne površine na nekretninama u vlasništvu drugih pravnih i fizičkih  osoba iznosi 30% od iznosa naknada utvrđenih u Tabeli iz stavka 1. ovog članka, osim za postavljanje plakata za koje se ne plaća naknada.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Članak 6.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privremeno korištenje nekretnina do 30 dana na kojima se postavlja reklama i reklamni panoi za isticanje obavijesti o humanitarnim, kulturnim ili sportskim manifestacijama od posebnog značaja za Općinu Kloštar Podravski ne plaća se naknada, uz prethodno pozitivno mišljenje nadležnog općinskog upravnog tijela.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privremeno korištenje nekretnina na koji se postavlja reklama i reklamni panoi za obilježavanje državnih praznika i blagdana ne plaća se naknada.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Političkim strankama i nezavisnim kandidatima koji sudjeluju na izborima Općinsko vijeće Općine Kloštar Podravski može odobriti privremeno korištenje određenih nekretnina i predmeta za oglašavanje u vlasništvu Općine Kloštar Podravski za isticanje izbornih plakata u svrhu njihove izborne promidžbe.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privremeno korištenje nekretnina iz stavka 3. ovog članka ne plaća se naknada.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Članak 7.</w:t>
      </w:r>
    </w:p>
    <w:p>
      <w:pPr>
        <w:pStyle w:val="Normal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Ovaj Pravilnik stupa na snagu osmog dana od dana objave u „Službenom glasniku Koprivničko-križevačke županije“.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KLOŠTAR PODRAVSKI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KLASA: 363-02/19-01/04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URBROJ: 2137/16-19-01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Kloštar Podravski,  27. ožujka 2019.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 xml:space="preserve">                PREDSJEDNIK: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 xml:space="preserve">                  Antun Karas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43a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35c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2900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LibreOffice/6.3.1.2$Windows_X86_64 LibreOffice_project/b79626edf0065ac373bd1df5c28bd630b4424273</Application>
  <Pages>4</Pages>
  <Words>494</Words>
  <Characters>2937</Characters>
  <CharactersWithSpaces>3431</CharactersWithSpaces>
  <Paragraphs>69</Paragraphs>
  <Company>Kloštar Podravski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2019-03-20T11:00:00Z</dcterms:created>
  <dc:creator>Općina</dc:creator>
  <dc:description/>
  <dc:language>hr-HR</dc:language>
  <cp:lastModifiedBy/>
  <cp:lastPrinted>2019-03-28T11:56:17Z</cp:lastPrinted>
  <dcterms:modified xsi:type="dcterms:W3CDTF">2019-04-05T08:57:13Z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