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 w:val="left" w:pos="7088" w:leader="none"/>
        </w:tabs>
        <w:jc w:val="right"/>
        <w:rPr>
          <w:rFonts w:ascii="Calibri" w:hAnsi="Calibri" w:cs="Calibri"/>
          <w:b/>
          <w:b/>
          <w:i/>
          <w:i/>
          <w:color w:val="000000"/>
          <w:sz w:val="24"/>
          <w:szCs w:val="24"/>
          <w:u w:val="single"/>
        </w:rPr>
      </w:pPr>
      <w:r>
        <w:rPr>
          <w:rFonts w:cs="Calibri" w:ascii="Calibri" w:hAnsi="Calibri"/>
          <w:color w:val="548DD4"/>
          <w:sz w:val="24"/>
          <w:szCs w:val="22"/>
        </w:rPr>
        <w:t xml:space="preserve"> </w:t>
      </w:r>
    </w:p>
    <w:p>
      <w:pPr>
        <w:pStyle w:val="Normal"/>
        <w:tabs>
          <w:tab w:val="clear" w:pos="708"/>
          <w:tab w:val="left" w:pos="709" w:leader="none"/>
          <w:tab w:val="left" w:pos="7088" w:leader="none"/>
        </w:tabs>
        <w:rPr>
          <w:color w:val="000000"/>
          <w:sz w:val="24"/>
          <w:szCs w:val="24"/>
        </w:rPr>
      </w:pPr>
      <w:r>
        <w:rPr>
          <w:rFonts w:cs="Calibri" w:ascii="Calibri" w:hAnsi="Calibri"/>
          <w:color w:val="548DD4"/>
          <w:sz w:val="24"/>
          <w:szCs w:val="24"/>
        </w:rPr>
        <w:tab/>
      </w:r>
      <w:r>
        <w:rPr>
          <w:color w:val="000000"/>
          <w:sz w:val="24"/>
          <w:szCs w:val="24"/>
        </w:rPr>
        <w:t>Na temelju članka 35. Zakona o lokalnoj i područnoj (regionalnoj) samoupravi ("Narodne novine" broj 33/01, 60/01. – vjerodostojno tumačenje, 129/05, 109/07, 125/08, 36/09, 150/11, 144/12, 19/13. – pročišćeni tekst, 137/15. – ispravak, 123/17. i 98/19) i članka 32. Statuta Općine Kloštar Podravski ("Službeni glasnik Koprivničko-križevačke županije“ broj 6/13. i 3/18), a u vezi s člankom 8. Zakona o lokalnoj i područnoj (regionalnoj) samoupravi, Općinsko vijeće Općine Kloštar Podravski  na 27. sjednici održanoj 16. ožujka 2020. donijelo je</w:t>
      </w:r>
    </w:p>
    <w:p>
      <w:pPr>
        <w:pStyle w:val="Normal"/>
        <w:tabs>
          <w:tab w:val="clear" w:pos="708"/>
          <w:tab w:val="left" w:pos="709" w:leader="none"/>
          <w:tab w:val="left" w:pos="7088" w:leader="none"/>
        </w:tabs>
        <w:rPr>
          <w:color w:val="000000"/>
          <w:sz w:val="24"/>
          <w:szCs w:val="24"/>
        </w:rPr>
      </w:pPr>
      <w:r>
        <w:rPr>
          <w:color w:val="000000"/>
          <w:sz w:val="24"/>
          <w:szCs w:val="24"/>
        </w:rPr>
      </w:r>
    </w:p>
    <w:p>
      <w:pPr>
        <w:pStyle w:val="Normal"/>
        <w:tabs>
          <w:tab w:val="clear" w:pos="708"/>
          <w:tab w:val="left" w:pos="709" w:leader="none"/>
          <w:tab w:val="left" w:pos="7088" w:leader="none"/>
        </w:tabs>
        <w:rPr>
          <w:color w:val="000000"/>
          <w:sz w:val="24"/>
          <w:szCs w:val="24"/>
        </w:rPr>
      </w:pPr>
      <w:r>
        <w:rPr>
          <w:color w:val="000000"/>
          <w:sz w:val="24"/>
          <w:szCs w:val="24"/>
        </w:rPr>
      </w:r>
    </w:p>
    <w:p>
      <w:pPr>
        <w:pStyle w:val="Stilnaslova1"/>
        <w:rPr>
          <w:color w:val="000000"/>
          <w:sz w:val="24"/>
          <w:szCs w:val="24"/>
        </w:rPr>
      </w:pPr>
      <w:r>
        <w:rPr>
          <w:color w:val="000000"/>
          <w:sz w:val="24"/>
          <w:szCs w:val="24"/>
        </w:rPr>
        <w:t xml:space="preserve">S T A T U T A R N U  O D L U K U </w:t>
      </w:r>
    </w:p>
    <w:p>
      <w:pPr>
        <w:pStyle w:val="Stilnaslova1"/>
        <w:rPr>
          <w:color w:val="000000"/>
          <w:sz w:val="24"/>
          <w:szCs w:val="24"/>
        </w:rPr>
      </w:pPr>
      <w:r>
        <w:rPr>
          <w:color w:val="000000"/>
          <w:sz w:val="24"/>
          <w:szCs w:val="24"/>
        </w:rPr>
        <w:t>o izmjenama Statuta Općine Kloštar Podravski</w:t>
      </w:r>
    </w:p>
    <w:p>
      <w:pPr>
        <w:pStyle w:val="Normal"/>
        <w:rPr>
          <w:color w:val="000000"/>
          <w:sz w:val="24"/>
          <w:szCs w:val="24"/>
        </w:rPr>
      </w:pPr>
      <w:r>
        <w:rPr>
          <w:color w:val="000000"/>
          <w:sz w:val="24"/>
          <w:szCs w:val="24"/>
        </w:rPr>
      </w:r>
    </w:p>
    <w:p>
      <w:pPr>
        <w:pStyle w:val="Normal"/>
        <w:jc w:val="center"/>
        <w:rPr>
          <w:b/>
          <w:b/>
          <w:color w:val="000000"/>
          <w:sz w:val="24"/>
          <w:szCs w:val="24"/>
        </w:rPr>
      </w:pPr>
      <w:r>
        <w:rPr>
          <w:b/>
          <w:color w:val="000000"/>
          <w:sz w:val="24"/>
          <w:szCs w:val="24"/>
        </w:rPr>
        <w:t>Članak  1.</w:t>
      </w:r>
    </w:p>
    <w:p>
      <w:pPr>
        <w:pStyle w:val="Normal"/>
        <w:rPr>
          <w:color w:val="000000"/>
          <w:sz w:val="24"/>
          <w:szCs w:val="24"/>
        </w:rPr>
      </w:pPr>
      <w:r>
        <w:rPr>
          <w:color w:val="000000"/>
          <w:sz w:val="24"/>
          <w:szCs w:val="24"/>
        </w:rPr>
        <w:tab/>
        <w:t>U Statutu Općine Kloštar Podravski („Službeni glasnik Koprivničko-križevačke županije“ broj 6/13. i 3/18) (u daljnjem tekstu: Statut), članak 7. mijenja se i glasi:</w:t>
      </w:r>
    </w:p>
    <w:p>
      <w:pPr>
        <w:pStyle w:val="Normal"/>
        <w:ind w:firstLine="708"/>
        <w:rPr>
          <w:color w:val="000000"/>
          <w:sz w:val="24"/>
          <w:szCs w:val="24"/>
        </w:rPr>
      </w:pPr>
      <w:r>
        <w:rPr>
          <w:color w:val="000000"/>
          <w:sz w:val="24"/>
          <w:szCs w:val="24"/>
          <w:lang w:eastAsia="en-US"/>
        </w:rPr>
        <w:t>„</w:t>
      </w:r>
      <w:r>
        <w:rPr>
          <w:color w:val="000000"/>
          <w:sz w:val="24"/>
          <w:szCs w:val="24"/>
          <w:lang w:eastAsia="en-US"/>
        </w:rPr>
        <w:t>Dan Općine je blagdan Dan državnosti, 30. svibnja.“.</w:t>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Članak  2.</w:t>
      </w:r>
    </w:p>
    <w:p>
      <w:pPr>
        <w:pStyle w:val="Normal"/>
        <w:ind w:firstLine="708"/>
        <w:rPr>
          <w:color w:val="000000"/>
          <w:sz w:val="24"/>
          <w:szCs w:val="24"/>
        </w:rPr>
      </w:pPr>
      <w:r>
        <w:rPr>
          <w:color w:val="000000"/>
          <w:sz w:val="24"/>
          <w:szCs w:val="24"/>
        </w:rPr>
        <w:t>U članku 21., stavku 2. riječ „središnjem“ briše se.</w:t>
      </w:r>
    </w:p>
    <w:p>
      <w:pPr>
        <w:pStyle w:val="Normal"/>
        <w:rPr>
          <w:color w:val="000000"/>
          <w:sz w:val="24"/>
          <w:szCs w:val="24"/>
        </w:rPr>
      </w:pPr>
      <w:r>
        <w:rPr>
          <w:color w:val="000000"/>
          <w:sz w:val="24"/>
          <w:szCs w:val="24"/>
        </w:rPr>
        <w:tab/>
        <w:t>U istom članku, stavku 3. riječ „središnje“ briše se.</w:t>
      </w:r>
    </w:p>
    <w:p>
      <w:pPr>
        <w:pStyle w:val="Normal"/>
        <w:rPr>
          <w:color w:val="000000"/>
          <w:sz w:val="24"/>
          <w:szCs w:val="24"/>
        </w:rPr>
      </w:pPr>
      <w:r>
        <w:rPr>
          <w:color w:val="000000"/>
          <w:sz w:val="24"/>
          <w:szCs w:val="24"/>
        </w:rPr>
      </w:r>
    </w:p>
    <w:p>
      <w:pPr>
        <w:pStyle w:val="Normal"/>
        <w:jc w:val="center"/>
        <w:rPr>
          <w:b/>
          <w:b/>
          <w:color w:val="000000"/>
          <w:sz w:val="24"/>
          <w:szCs w:val="24"/>
        </w:rPr>
      </w:pPr>
      <w:r>
        <w:rPr>
          <w:b/>
          <w:color w:val="000000"/>
          <w:sz w:val="24"/>
          <w:szCs w:val="24"/>
        </w:rPr>
        <w:t>Članak  3.</w:t>
      </w:r>
    </w:p>
    <w:p>
      <w:pPr>
        <w:pStyle w:val="Normal"/>
        <w:spacing w:before="96" w:after="96"/>
        <w:rPr>
          <w:color w:val="000000"/>
          <w:sz w:val="24"/>
          <w:szCs w:val="24"/>
          <w:lang w:eastAsia="en-US"/>
        </w:rPr>
      </w:pPr>
      <w:r>
        <w:rPr>
          <w:color w:val="000000"/>
          <w:sz w:val="24"/>
          <w:szCs w:val="24"/>
        </w:rPr>
        <w:tab/>
      </w:r>
      <w:r>
        <w:rPr>
          <w:color w:val="000000"/>
          <w:sz w:val="24"/>
          <w:szCs w:val="24"/>
          <w:lang w:eastAsia="en-US"/>
        </w:rPr>
        <w:t>U članku 49., stavku 1., podstavak 20. mijenja se i glasi:</w:t>
      </w:r>
    </w:p>
    <w:p>
      <w:pPr>
        <w:pStyle w:val="Normal"/>
        <w:spacing w:before="96" w:after="96"/>
        <w:rPr>
          <w:color w:val="000000"/>
          <w:sz w:val="24"/>
          <w:szCs w:val="24"/>
          <w:lang w:eastAsia="en-US"/>
        </w:rPr>
      </w:pPr>
      <w:r>
        <w:rPr>
          <w:color w:val="000000"/>
          <w:sz w:val="24"/>
          <w:szCs w:val="24"/>
          <w:lang w:eastAsia="en-US"/>
        </w:rPr>
        <w:tab/>
        <w:t>„ -istodobno s izvješćem o izvršenju Proračuna podnosi Općinskom vijeću izvješće o izvršenju programa održavanja komunalne infrastrukture i programu građenja objekata i uređaja komunalne infrastrukture za prethodnu godinu,“.</w:t>
      </w:r>
    </w:p>
    <w:p>
      <w:pPr>
        <w:pStyle w:val="Normal"/>
        <w:spacing w:before="96" w:after="96"/>
        <w:ind w:firstLine="708"/>
        <w:rPr>
          <w:color w:val="000000"/>
          <w:sz w:val="24"/>
          <w:szCs w:val="24"/>
          <w:lang w:eastAsia="en-US"/>
        </w:rPr>
      </w:pPr>
      <w:r>
        <w:rPr>
          <w:color w:val="000000"/>
          <w:sz w:val="24"/>
          <w:szCs w:val="24"/>
          <w:lang w:eastAsia="en-US"/>
        </w:rPr>
        <w:t>U istom članku i stavku, podstavak 24. mijenja se i glasi:</w:t>
      </w:r>
    </w:p>
    <w:p>
      <w:pPr>
        <w:pStyle w:val="Normal"/>
        <w:spacing w:before="96" w:after="96"/>
        <w:rPr>
          <w:color w:val="000000"/>
          <w:sz w:val="24"/>
          <w:szCs w:val="24"/>
          <w:lang w:eastAsia="en-US"/>
        </w:rPr>
      </w:pPr>
      <w:r>
        <w:rPr>
          <w:color w:val="000000"/>
          <w:sz w:val="24"/>
          <w:szCs w:val="24"/>
          <w:lang w:eastAsia="en-US"/>
        </w:rPr>
        <w:tab/>
        <w:t>„ - usmjerava djelovanje Jedinstvenog upravnog odjela i službi Općine u obavljanju poslova iz samoupravnog djelokruga Općine, odnosno povjerenih poslova državne uprave ,“.</w:t>
      </w:r>
    </w:p>
    <w:p>
      <w:pPr>
        <w:pStyle w:val="Normal"/>
        <w:spacing w:before="96" w:after="96"/>
        <w:rPr>
          <w:color w:val="000000"/>
          <w:sz w:val="24"/>
          <w:szCs w:val="24"/>
          <w:lang w:eastAsia="en-US"/>
        </w:rPr>
      </w:pPr>
      <w:r>
        <w:rPr>
          <w:color w:val="000000"/>
          <w:sz w:val="24"/>
          <w:szCs w:val="24"/>
          <w:lang w:eastAsia="en-US"/>
        </w:rPr>
        <w:tab/>
        <w:t>U istom članku i stavku, podstavak 25. mijenja se i glasi:</w:t>
      </w:r>
    </w:p>
    <w:p>
      <w:pPr>
        <w:pStyle w:val="Normal"/>
        <w:spacing w:before="96" w:after="96"/>
        <w:rPr>
          <w:color w:val="000000"/>
          <w:sz w:val="24"/>
          <w:szCs w:val="24"/>
          <w:lang w:eastAsia="en-US"/>
        </w:rPr>
      </w:pPr>
      <w:r>
        <w:rPr>
          <w:color w:val="000000"/>
          <w:sz w:val="24"/>
          <w:szCs w:val="24"/>
          <w:lang w:eastAsia="en-US"/>
        </w:rPr>
        <w:tab/>
        <w:t>„ - nadzire rad Jedinstvenog upravnog odjela i službi u samoupravnom djelokrugu i povjerenim poslovima državne uprave,“.</w:t>
      </w:r>
    </w:p>
    <w:p>
      <w:pPr>
        <w:pStyle w:val="Normal"/>
        <w:spacing w:before="96" w:after="96"/>
        <w:rPr>
          <w:color w:val="000000"/>
          <w:sz w:val="24"/>
          <w:szCs w:val="24"/>
          <w:lang w:eastAsia="en-US"/>
        </w:rPr>
      </w:pPr>
      <w:r>
        <w:rPr>
          <w:color w:val="000000"/>
          <w:sz w:val="24"/>
          <w:szCs w:val="24"/>
          <w:lang w:eastAsia="en-US"/>
        </w:rPr>
      </w:r>
    </w:p>
    <w:p>
      <w:pPr>
        <w:pStyle w:val="Normal"/>
        <w:spacing w:before="96" w:after="96"/>
        <w:jc w:val="center"/>
        <w:rPr>
          <w:b/>
          <w:b/>
          <w:color w:val="000000"/>
          <w:sz w:val="24"/>
          <w:szCs w:val="24"/>
          <w:lang w:eastAsia="en-US"/>
        </w:rPr>
      </w:pPr>
      <w:r>
        <w:rPr>
          <w:b/>
          <w:color w:val="000000"/>
          <w:sz w:val="24"/>
          <w:szCs w:val="24"/>
          <w:lang w:eastAsia="en-US"/>
        </w:rPr>
        <w:t>Članak 4.</w:t>
      </w:r>
    </w:p>
    <w:p>
      <w:pPr>
        <w:pStyle w:val="Normal"/>
        <w:spacing w:before="96" w:after="96"/>
        <w:rPr>
          <w:color w:val="000000"/>
          <w:sz w:val="24"/>
          <w:szCs w:val="24"/>
          <w:lang w:eastAsia="en-US"/>
        </w:rPr>
      </w:pPr>
      <w:r>
        <w:rPr>
          <w:b/>
          <w:color w:val="000000"/>
          <w:sz w:val="24"/>
          <w:szCs w:val="24"/>
          <w:lang w:eastAsia="en-US"/>
        </w:rPr>
        <w:tab/>
      </w:r>
      <w:r>
        <w:rPr>
          <w:color w:val="000000"/>
          <w:sz w:val="24"/>
          <w:szCs w:val="24"/>
          <w:lang w:eastAsia="en-US"/>
        </w:rPr>
        <w:t>Članak 52. mijenja se i glasi:</w:t>
      </w:r>
    </w:p>
    <w:p>
      <w:pPr>
        <w:pStyle w:val="Normal"/>
        <w:spacing w:before="96" w:after="96"/>
        <w:rPr>
          <w:color w:val="000000"/>
          <w:sz w:val="24"/>
          <w:szCs w:val="24"/>
          <w:lang w:eastAsia="en-US"/>
        </w:rPr>
      </w:pPr>
      <w:r>
        <w:rPr>
          <w:color w:val="000000"/>
          <w:sz w:val="24"/>
          <w:szCs w:val="24"/>
          <w:lang w:eastAsia="en-US"/>
        </w:rPr>
        <w:tab/>
        <w:t>„ 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w:t>
      </w:r>
      <w:r>
        <w:rPr>
          <w:sz w:val="24"/>
          <w:szCs w:val="24"/>
          <w:lang w:eastAsia="en-US"/>
        </w:rPr>
        <w:t>.</w:t>
      </w:r>
    </w:p>
    <w:p>
      <w:pPr>
        <w:pStyle w:val="Normal"/>
        <w:spacing w:before="96" w:after="96"/>
        <w:rPr>
          <w:color w:val="000000"/>
          <w:sz w:val="24"/>
          <w:szCs w:val="24"/>
        </w:rPr>
      </w:pPr>
      <w:r>
        <w:rPr>
          <w:color w:val="000000"/>
          <w:sz w:val="24"/>
          <w:szCs w:val="24"/>
        </w:rPr>
        <w:tab/>
        <w:t>Ako Općinsko vijeće ne otkloni uočene nedostatke iz stavka 1. ovoga članka, Općinski načelnik dužan je bez odgode o tome obavijestiti nadležno tijelo državne uprave u čijem je djelokrugu opći akt i dostaviti mu odluku o obustavi općeg akta.</w:t>
      </w:r>
    </w:p>
    <w:p>
      <w:pPr>
        <w:pStyle w:val="Normal"/>
        <w:spacing w:before="96" w:after="96"/>
        <w:rPr>
          <w:color w:val="000000"/>
          <w:sz w:val="24"/>
          <w:szCs w:val="24"/>
          <w:lang w:eastAsia="en-US"/>
        </w:rPr>
      </w:pPr>
      <w:r>
        <w:rPr>
          <w:color w:val="000000"/>
          <w:sz w:val="24"/>
          <w:szCs w:val="24"/>
          <w:lang w:eastAsia="en-US"/>
        </w:rPr>
        <w:tab/>
        <w:t>Općinski načelnik  ima pravo obustaviti od primjene akt mjesnog odbora ako ocijeni da se tim aktom povređuje zakon, Statut ili opći akti koje je donijelo Općinsko vijeće.“.</w:t>
      </w:r>
    </w:p>
    <w:p>
      <w:pPr>
        <w:pStyle w:val="Normal"/>
        <w:spacing w:before="96" w:after="96"/>
        <w:rPr>
          <w:color w:val="000000"/>
          <w:sz w:val="24"/>
          <w:szCs w:val="24"/>
          <w:lang w:eastAsia="en-US"/>
        </w:rPr>
      </w:pPr>
      <w:r>
        <w:rPr>
          <w:color w:val="000000"/>
          <w:sz w:val="24"/>
          <w:szCs w:val="24"/>
          <w:lang w:eastAsia="en-US"/>
        </w:rPr>
      </w:r>
    </w:p>
    <w:p>
      <w:pPr>
        <w:pStyle w:val="Normal"/>
        <w:spacing w:before="96" w:after="96"/>
        <w:jc w:val="center"/>
        <w:rPr>
          <w:b/>
          <w:b/>
          <w:color w:val="000000"/>
          <w:sz w:val="24"/>
          <w:szCs w:val="24"/>
          <w:lang w:eastAsia="en-US"/>
        </w:rPr>
      </w:pPr>
      <w:r>
        <w:rPr>
          <w:b/>
          <w:color w:val="000000"/>
          <w:sz w:val="24"/>
          <w:szCs w:val="24"/>
          <w:lang w:eastAsia="en-US"/>
        </w:rPr>
        <w:t>Članak 5.</w:t>
      </w:r>
    </w:p>
    <w:p>
      <w:pPr>
        <w:pStyle w:val="Normal"/>
        <w:spacing w:before="96" w:after="96"/>
        <w:rPr>
          <w:color w:val="000000"/>
          <w:sz w:val="24"/>
          <w:szCs w:val="24"/>
          <w:lang w:eastAsia="en-US"/>
        </w:rPr>
      </w:pPr>
      <w:r>
        <w:rPr>
          <w:color w:val="000000"/>
          <w:sz w:val="24"/>
          <w:szCs w:val="24"/>
          <w:lang w:eastAsia="en-US"/>
        </w:rPr>
        <w:tab/>
        <w:t>U članku 59., stavak 1. mijenja se i glasi:</w:t>
      </w:r>
    </w:p>
    <w:p>
      <w:pPr>
        <w:pStyle w:val="Normal"/>
        <w:spacing w:before="96" w:after="96"/>
        <w:rPr>
          <w:color w:val="000000"/>
          <w:sz w:val="24"/>
          <w:szCs w:val="24"/>
          <w:lang w:eastAsia="en-US"/>
        </w:rPr>
      </w:pPr>
      <w:r>
        <w:rPr>
          <w:color w:val="000000"/>
          <w:sz w:val="24"/>
          <w:szCs w:val="24"/>
          <w:lang w:eastAsia="en-US"/>
        </w:rPr>
        <w:tab/>
        <w:t>„ Za obavljanje poslova iz samoupravnog djelokruga Općine te obavljanje povjerenih poslova državne uprave, ustrojava se Jedinstveni upravni odjel.“.</w:t>
      </w:r>
    </w:p>
    <w:p>
      <w:pPr>
        <w:pStyle w:val="Normal"/>
        <w:spacing w:before="96" w:after="96"/>
        <w:rPr>
          <w:color w:val="000000"/>
          <w:sz w:val="24"/>
          <w:szCs w:val="24"/>
          <w:lang w:eastAsia="en-US"/>
        </w:rPr>
      </w:pPr>
      <w:r>
        <w:rPr>
          <w:color w:val="000000"/>
          <w:sz w:val="24"/>
          <w:szCs w:val="24"/>
          <w:lang w:eastAsia="en-US"/>
        </w:rPr>
      </w:r>
    </w:p>
    <w:p>
      <w:pPr>
        <w:pStyle w:val="Normal"/>
        <w:spacing w:before="96" w:after="96"/>
        <w:jc w:val="center"/>
        <w:rPr>
          <w:b/>
          <w:b/>
          <w:color w:val="000000"/>
          <w:sz w:val="24"/>
          <w:szCs w:val="24"/>
          <w:lang w:eastAsia="en-US"/>
        </w:rPr>
      </w:pPr>
      <w:r>
        <w:rPr>
          <w:b/>
          <w:color w:val="000000"/>
          <w:sz w:val="24"/>
          <w:szCs w:val="24"/>
          <w:lang w:eastAsia="en-US"/>
        </w:rPr>
        <w:t>Članak 6.</w:t>
      </w:r>
    </w:p>
    <w:p>
      <w:pPr>
        <w:pStyle w:val="Normal"/>
        <w:spacing w:before="96" w:after="96"/>
        <w:rPr>
          <w:color w:val="000000"/>
          <w:sz w:val="24"/>
          <w:szCs w:val="24"/>
          <w:lang w:eastAsia="en-US"/>
        </w:rPr>
      </w:pPr>
      <w:r>
        <w:rPr>
          <w:color w:val="000000"/>
          <w:sz w:val="24"/>
          <w:szCs w:val="24"/>
          <w:lang w:eastAsia="en-US"/>
        </w:rPr>
        <w:tab/>
        <w:t>Članak 99. mijenja se i glasi:</w:t>
      </w:r>
    </w:p>
    <w:p>
      <w:pPr>
        <w:pStyle w:val="Normal"/>
        <w:spacing w:before="96" w:after="96"/>
        <w:rPr>
          <w:color w:val="000000"/>
          <w:sz w:val="24"/>
          <w:szCs w:val="24"/>
          <w:lang w:eastAsia="en-US"/>
        </w:rPr>
      </w:pPr>
      <w:r>
        <w:rPr>
          <w:color w:val="000000"/>
          <w:sz w:val="24"/>
          <w:szCs w:val="24"/>
          <w:lang w:eastAsia="en-US"/>
        </w:rPr>
        <w:tab/>
        <w:t>„Nadzor nad zakonitosti općih akata koje Općinsko vijeće donosi u okviru samoupravnog djelokruga obavljaju nadležna tijela državne uprave, svako u svojem djelokrugu, sukladno posebnom zakonu“.</w:t>
      </w:r>
    </w:p>
    <w:p>
      <w:pPr>
        <w:pStyle w:val="Normal"/>
        <w:spacing w:before="96" w:after="96"/>
        <w:rPr>
          <w:color w:val="000000"/>
          <w:sz w:val="24"/>
          <w:szCs w:val="24"/>
          <w:lang w:eastAsia="en-US"/>
        </w:rPr>
      </w:pPr>
      <w:r>
        <w:rPr>
          <w:color w:val="000000"/>
          <w:sz w:val="24"/>
          <w:szCs w:val="24"/>
          <w:lang w:eastAsia="en-US"/>
        </w:rPr>
      </w:r>
    </w:p>
    <w:p>
      <w:pPr>
        <w:pStyle w:val="Normal"/>
        <w:spacing w:before="96" w:after="96"/>
        <w:jc w:val="center"/>
        <w:rPr>
          <w:b/>
          <w:b/>
          <w:color w:val="000000"/>
          <w:sz w:val="24"/>
          <w:szCs w:val="24"/>
          <w:lang w:eastAsia="en-US"/>
        </w:rPr>
      </w:pPr>
      <w:r>
        <w:rPr>
          <w:b/>
          <w:color w:val="000000"/>
          <w:sz w:val="24"/>
          <w:szCs w:val="24"/>
          <w:lang w:eastAsia="en-US"/>
        </w:rPr>
        <w:t>Članak 7.</w:t>
      </w:r>
    </w:p>
    <w:p>
      <w:pPr>
        <w:pStyle w:val="Normal"/>
        <w:spacing w:before="96" w:after="96"/>
        <w:rPr>
          <w:color w:val="000000"/>
          <w:sz w:val="24"/>
          <w:szCs w:val="24"/>
          <w:lang w:eastAsia="en-US"/>
        </w:rPr>
      </w:pPr>
      <w:r>
        <w:rPr>
          <w:sz w:val="24"/>
          <w:szCs w:val="24"/>
        </w:rPr>
        <w:tab/>
      </w:r>
      <w:r>
        <w:rPr>
          <w:color w:val="000000"/>
          <w:sz w:val="24"/>
          <w:szCs w:val="24"/>
          <w:lang w:eastAsia="en-US"/>
        </w:rPr>
        <w:t>U članku 103., stavak 2. mijenja se i glasi:</w:t>
      </w:r>
    </w:p>
    <w:p>
      <w:pPr>
        <w:pStyle w:val="Normal"/>
        <w:tabs>
          <w:tab w:val="clear" w:pos="708"/>
          <w:tab w:val="left" w:pos="709" w:leader="none"/>
          <w:tab w:val="left" w:pos="7088" w:leader="none"/>
        </w:tabs>
        <w:rPr>
          <w:sz w:val="24"/>
          <w:szCs w:val="24"/>
        </w:rPr>
      </w:pPr>
      <w:r>
        <w:rPr>
          <w:sz w:val="24"/>
          <w:szCs w:val="24"/>
        </w:rPr>
        <w:tab/>
        <w:t xml:space="preserve"> „Javnost rada općinskog načelnika osigurava se objavljivanjem općih akata općinskog načelnika u „Službenom glasniku Koprivničko-križevačke županije“ i na internetskim stranicama Općine.“.</w:t>
      </w:r>
    </w:p>
    <w:p>
      <w:pPr>
        <w:pStyle w:val="Normal"/>
        <w:tabs>
          <w:tab w:val="clear" w:pos="708"/>
          <w:tab w:val="left" w:pos="709" w:leader="none"/>
          <w:tab w:val="left" w:pos="7088" w:leader="none"/>
        </w:tabs>
        <w:rPr>
          <w:b/>
          <w:b/>
          <w:color w:val="000000"/>
          <w:sz w:val="24"/>
          <w:szCs w:val="24"/>
          <w:lang w:eastAsia="en-US"/>
        </w:rPr>
      </w:pPr>
      <w:r>
        <w:rPr>
          <w:b/>
          <w:color w:val="000000"/>
          <w:sz w:val="24"/>
          <w:szCs w:val="24"/>
          <w:lang w:eastAsia="en-US"/>
        </w:rPr>
      </w:r>
    </w:p>
    <w:p>
      <w:pPr>
        <w:pStyle w:val="Normal"/>
        <w:spacing w:before="96" w:after="96"/>
        <w:jc w:val="center"/>
        <w:rPr>
          <w:b/>
          <w:b/>
          <w:color w:val="000000"/>
          <w:sz w:val="24"/>
          <w:szCs w:val="24"/>
          <w:lang w:eastAsia="en-US"/>
        </w:rPr>
      </w:pPr>
      <w:r>
        <w:rPr>
          <w:b/>
          <w:color w:val="000000"/>
          <w:sz w:val="24"/>
          <w:szCs w:val="24"/>
          <w:lang w:eastAsia="en-US"/>
        </w:rPr>
        <w:t>Članak 8.</w:t>
      </w:r>
    </w:p>
    <w:p>
      <w:pPr>
        <w:pStyle w:val="Normal"/>
        <w:ind w:firstLine="720"/>
        <w:rPr>
          <w:color w:val="000000"/>
          <w:sz w:val="24"/>
          <w:szCs w:val="24"/>
        </w:rPr>
      </w:pPr>
      <w:r>
        <w:rPr>
          <w:color w:val="000000"/>
          <w:sz w:val="24"/>
          <w:szCs w:val="24"/>
        </w:rPr>
        <w:t>Ova Statutarna odluka o izmjenama i dopunama Statuta Općine Kloštar Podravski stupa na snagu osmog dana od dana objave u "Službenom glasniku Koprivničko-križevačke županije“.</w:t>
      </w:r>
    </w:p>
    <w:p>
      <w:pPr>
        <w:pStyle w:val="Normal"/>
        <w:spacing w:before="96" w:after="96"/>
        <w:rPr>
          <w:color w:val="000000"/>
          <w:sz w:val="24"/>
          <w:szCs w:val="24"/>
          <w:lang w:eastAsia="en-US"/>
        </w:rPr>
      </w:pPr>
      <w:r>
        <w:rPr>
          <w:color w:val="000000"/>
          <w:sz w:val="24"/>
          <w:szCs w:val="24"/>
          <w:lang w:eastAsia="en-US"/>
        </w:rPr>
      </w:r>
    </w:p>
    <w:p>
      <w:pPr>
        <w:pStyle w:val="Normal"/>
        <w:spacing w:before="96" w:after="96"/>
        <w:jc w:val="center"/>
        <w:rPr>
          <w:color w:val="000000"/>
          <w:sz w:val="24"/>
          <w:szCs w:val="24"/>
          <w:lang w:eastAsia="en-US"/>
        </w:rPr>
      </w:pPr>
      <w:r>
        <w:rPr>
          <w:color w:val="000000"/>
          <w:sz w:val="24"/>
          <w:szCs w:val="24"/>
          <w:lang w:eastAsia="en-US"/>
        </w:rPr>
        <w:t xml:space="preserve">OPĆINSKO VIJEĆE </w:t>
      </w:r>
    </w:p>
    <w:p>
      <w:pPr>
        <w:pStyle w:val="Normal"/>
        <w:spacing w:before="96" w:after="96"/>
        <w:jc w:val="center"/>
        <w:rPr>
          <w:color w:val="000000"/>
          <w:sz w:val="24"/>
          <w:szCs w:val="24"/>
          <w:lang w:eastAsia="en-US"/>
        </w:rPr>
      </w:pPr>
      <w:r>
        <w:rPr>
          <w:color w:val="000000"/>
          <w:sz w:val="24"/>
          <w:szCs w:val="24"/>
          <w:lang w:eastAsia="en-US"/>
        </w:rPr>
        <w:t>OPĆINE KLOŠTAR PODRAVSKI</w:t>
      </w:r>
    </w:p>
    <w:p>
      <w:pPr>
        <w:pStyle w:val="Normal"/>
        <w:spacing w:before="96" w:after="96"/>
        <w:rPr>
          <w:color w:val="000000"/>
          <w:sz w:val="24"/>
          <w:szCs w:val="24"/>
          <w:lang w:eastAsia="en-US"/>
        </w:rPr>
      </w:pPr>
      <w:r>
        <w:rPr>
          <w:color w:val="000000"/>
          <w:sz w:val="24"/>
          <w:szCs w:val="24"/>
          <w:lang w:eastAsia="en-US"/>
        </w:rPr>
      </w:r>
    </w:p>
    <w:p>
      <w:pPr>
        <w:pStyle w:val="NoSpacing"/>
        <w:rPr>
          <w:sz w:val="24"/>
          <w:szCs w:val="24"/>
          <w:lang w:eastAsia="en-US"/>
        </w:rPr>
      </w:pPr>
      <w:r>
        <w:rPr>
          <w:sz w:val="24"/>
          <w:szCs w:val="24"/>
          <w:lang w:eastAsia="en-US"/>
        </w:rPr>
        <w:t>KLASA:012-03/20-01/01</w:t>
      </w:r>
    </w:p>
    <w:p>
      <w:pPr>
        <w:pStyle w:val="NoSpacing"/>
        <w:rPr>
          <w:sz w:val="24"/>
          <w:szCs w:val="24"/>
          <w:lang w:eastAsia="en-US"/>
        </w:rPr>
      </w:pPr>
      <w:r>
        <w:rPr>
          <w:sz w:val="24"/>
          <w:szCs w:val="24"/>
          <w:lang w:eastAsia="en-US"/>
        </w:rPr>
        <w:t>URBROJ:2137/16-20-01</w:t>
      </w:r>
    </w:p>
    <w:p>
      <w:pPr>
        <w:pStyle w:val="NoSpacing"/>
        <w:rPr>
          <w:sz w:val="24"/>
          <w:szCs w:val="24"/>
          <w:lang w:eastAsia="en-US"/>
        </w:rPr>
      </w:pPr>
      <w:r>
        <w:rPr>
          <w:sz w:val="24"/>
          <w:szCs w:val="24"/>
          <w:lang w:eastAsia="en-US"/>
        </w:rPr>
        <w:t>Kloštar Podravski, 20. ožujka 2020.</w:t>
      </w:r>
    </w:p>
    <w:p>
      <w:pPr>
        <w:pStyle w:val="Normal"/>
        <w:spacing w:before="96" w:after="96"/>
        <w:rPr>
          <w:color w:val="000000"/>
          <w:sz w:val="24"/>
          <w:szCs w:val="24"/>
          <w:lang w:eastAsia="en-US"/>
        </w:rPr>
      </w:pPr>
      <w:r>
        <w:rPr>
          <w:color w:val="000000"/>
          <w:sz w:val="24"/>
          <w:szCs w:val="24"/>
          <w:lang w:eastAsia="en-US"/>
        </w:rPr>
      </w:r>
    </w:p>
    <w:p>
      <w:pPr>
        <w:pStyle w:val="Normal"/>
        <w:spacing w:before="96" w:after="96"/>
        <w:jc w:val="right"/>
        <w:rPr>
          <w:color w:val="000000"/>
          <w:sz w:val="24"/>
          <w:szCs w:val="24"/>
          <w:lang w:eastAsia="en-US"/>
        </w:rPr>
      </w:pPr>
      <w:r>
        <w:rPr>
          <w:color w:val="000000"/>
          <w:sz w:val="24"/>
          <w:szCs w:val="24"/>
          <w:lang w:eastAsia="en-US"/>
        </w:rPr>
        <w:t>PREDSJEDNIK:</w:t>
      </w:r>
    </w:p>
    <w:p>
      <w:pPr>
        <w:pStyle w:val="Normal"/>
        <w:spacing w:before="96" w:after="96"/>
        <w:jc w:val="right"/>
        <w:rPr>
          <w:bCs/>
          <w:color w:val="000000"/>
          <w:sz w:val="24"/>
          <w:szCs w:val="24"/>
          <w:lang w:eastAsia="en-US"/>
        </w:rPr>
      </w:pPr>
      <w:r>
        <w:rPr>
          <w:bCs/>
          <w:color w:val="000000"/>
          <w:sz w:val="24"/>
          <w:szCs w:val="24"/>
          <w:lang w:eastAsia="en-US"/>
        </w:rPr>
        <w:t>Antun Karas</w:t>
      </w:r>
      <w:bookmarkStart w:id="0" w:name="_GoBack"/>
      <w:bookmarkEnd w:id="0"/>
    </w:p>
    <w:p>
      <w:pPr>
        <w:pStyle w:val="Normal"/>
        <w:spacing w:before="96" w:after="96"/>
        <w:jc w:val="righ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hr-HR" w:eastAsia="hr-H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4fb"/>
    <w:pPr>
      <w:widowControl/>
      <w:bidi w:val="0"/>
      <w:jc w:val="both"/>
    </w:pPr>
    <w:rPr>
      <w:rFonts w:ascii="Times New Roman" w:hAnsi="Times New Roman" w:eastAsia="Times New Roman" w:cs="Times New Roman"/>
      <w:color w:val="auto"/>
      <w:kern w:val="0"/>
      <w:sz w:val="22"/>
      <w:szCs w:val="20"/>
      <w:lang w:val="hr-HR" w:eastAsia="hr-HR" w:bidi="ar-SA"/>
    </w:rPr>
  </w:style>
  <w:style w:type="paragraph" w:styleId="Stilnaslova1">
    <w:name w:val="Heading 1"/>
    <w:basedOn w:val="Normal"/>
    <w:next w:val="Normal"/>
    <w:link w:val="Naslov1Char"/>
    <w:uiPriority w:val="99"/>
    <w:qFormat/>
    <w:rsid w:val="008804fb"/>
    <w:pPr>
      <w:keepNext w:val="true"/>
      <w:tabs>
        <w:tab w:val="clear" w:pos="708"/>
        <w:tab w:val="left" w:pos="709" w:leader="none"/>
        <w:tab w:val="left" w:pos="7088" w:leader="none"/>
      </w:tabs>
      <w:jc w:val="center"/>
      <w:outlineLvl w:val="0"/>
    </w:pPr>
    <w:rPr>
      <w:b/>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9"/>
    <w:qFormat/>
    <w:locked/>
    <w:rsid w:val="008804fb"/>
    <w:rPr>
      <w:rFonts w:ascii="Times New Roman" w:hAnsi="Times New Roman" w:cs="Times New Roman"/>
      <w:b/>
      <w:sz w:val="20"/>
      <w:szCs w:val="20"/>
      <w:lang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99"/>
    <w:qFormat/>
    <w:rsid w:val="00185054"/>
    <w:pPr>
      <w:widowControl/>
      <w:bidi w:val="0"/>
      <w:jc w:val="both"/>
    </w:pPr>
    <w:rPr>
      <w:rFonts w:ascii="Times New Roman" w:hAnsi="Times New Roman" w:eastAsia="Times New Roman" w:cs="Times New Roman"/>
      <w:color w:val="auto"/>
      <w:kern w:val="0"/>
      <w:sz w:val="22"/>
      <w:szCs w:val="20"/>
      <w:lang w:val="hr-HR" w:eastAsia="hr-HR"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LibreOffice/6.3.1.2$Windows_X86_64 LibreOffice_project/b79626edf0065ac373bd1df5c28bd630b4424273</Application>
  <Pages>3</Pages>
  <Words>536</Words>
  <Characters>3048</Characters>
  <CharactersWithSpaces>3576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2020-03-26T10:25:00Z</dcterms:created>
  <dc:creator>Helena</dc:creator>
  <dc:description/>
  <dc:language>hr-HR</dc:language>
  <cp:lastModifiedBy>Opcina Klostar Podravski</cp:lastModifiedBy>
  <cp:lastPrinted>2020-04-06T07:41:00Z</cp:lastPrinted>
  <dcterms:modified xsi:type="dcterms:W3CDTF">2020-04-06T07:42:00Z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